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1E874" w14:textId="3DBC4C63" w:rsidR="00591969" w:rsidRPr="0031551B" w:rsidRDefault="00591969" w:rsidP="00591969">
      <w:pPr>
        <w:pStyle w:val="Header"/>
        <w:jc w:val="center"/>
        <w:rPr>
          <w:rFonts w:ascii="Intel Clear" w:hAnsi="Intel Clear" w:cs="Intel Clear"/>
        </w:rPr>
      </w:pPr>
      <w:r w:rsidRPr="0031551B">
        <w:rPr>
          <w:rFonts w:ascii="Intel Clear" w:hAnsi="Intel Clear" w:cs="Intel Clear"/>
        </w:rPr>
        <w:t>3GPP TSG-RAN WG2 Meeting #97bis</w:t>
      </w:r>
      <w:r w:rsidRPr="0031551B">
        <w:rPr>
          <w:rFonts w:ascii="Intel Clear" w:hAnsi="Intel Clear" w:cs="Intel Clear"/>
        </w:rPr>
        <w:tab/>
      </w:r>
      <w:bookmarkStart w:id="0" w:name="_GoBack"/>
      <w:r w:rsidR="005F0D72" w:rsidRPr="005F0D72">
        <w:rPr>
          <w:rFonts w:ascii="Intel Clear" w:hAnsi="Intel Clear" w:cs="Intel Clear"/>
        </w:rPr>
        <w:t>R2-1703428</w:t>
      </w:r>
      <w:bookmarkEnd w:id="0"/>
    </w:p>
    <w:p w14:paraId="3671E875" w14:textId="77777777" w:rsidR="00591969" w:rsidRPr="0031551B" w:rsidRDefault="00591969" w:rsidP="00591969">
      <w:pPr>
        <w:pStyle w:val="Header"/>
        <w:rPr>
          <w:rFonts w:ascii="Intel Clear" w:hAnsi="Intel Clear" w:cs="Intel Clear"/>
        </w:rPr>
      </w:pPr>
      <w:r w:rsidRPr="0031551B">
        <w:rPr>
          <w:rFonts w:ascii="Intel Clear" w:hAnsi="Intel Clear" w:cs="Intel Clear"/>
        </w:rPr>
        <w:t>Spokane, USA, 3rd – 7th April 2017</w:t>
      </w:r>
    </w:p>
    <w:p w14:paraId="3671E876" w14:textId="77777777" w:rsidR="00591969" w:rsidRPr="0031551B" w:rsidRDefault="00591969" w:rsidP="00591969">
      <w:pPr>
        <w:pStyle w:val="Header"/>
        <w:rPr>
          <w:rFonts w:ascii="Intel Clear" w:hAnsi="Intel Clear" w:cs="Intel Clear"/>
        </w:rPr>
      </w:pPr>
    </w:p>
    <w:p w14:paraId="3671E877" w14:textId="7A0FC6B7" w:rsidR="00591969" w:rsidRPr="0031551B" w:rsidRDefault="00591969" w:rsidP="00591969">
      <w:pPr>
        <w:ind w:left="1988" w:hanging="1988"/>
        <w:jc w:val="both"/>
        <w:rPr>
          <w:rFonts w:ascii="Intel Clear" w:hAnsi="Intel Clear" w:cs="Intel Clear"/>
          <w:sz w:val="24"/>
        </w:rPr>
      </w:pPr>
      <w:r w:rsidRPr="0031551B">
        <w:rPr>
          <w:rFonts w:ascii="Intel Clear" w:hAnsi="Intel Clear" w:cs="Intel Clear"/>
          <w:b/>
          <w:sz w:val="24"/>
        </w:rPr>
        <w:t>Title:</w:t>
      </w:r>
      <w:r w:rsidRPr="0031551B">
        <w:rPr>
          <w:rFonts w:ascii="Intel Clear" w:hAnsi="Intel Clear" w:cs="Intel Clear"/>
          <w:sz w:val="24"/>
        </w:rPr>
        <w:t xml:space="preserve"> </w:t>
      </w:r>
      <w:r w:rsidRPr="0031551B">
        <w:rPr>
          <w:rFonts w:ascii="Intel Clear" w:hAnsi="Intel Clear" w:cs="Intel Clear"/>
        </w:rPr>
        <w:tab/>
      </w:r>
      <w:r w:rsidR="000434C3">
        <w:rPr>
          <w:rFonts w:ascii="Intel Clear" w:hAnsi="Intel Clear" w:cs="Intel Clear"/>
          <w:sz w:val="24"/>
        </w:rPr>
        <w:t>EN-</w:t>
      </w:r>
      <w:r w:rsidRPr="007019D5">
        <w:rPr>
          <w:rFonts w:ascii="Intel Clear" w:hAnsi="Intel Clear" w:cs="Intel Clear"/>
          <w:sz w:val="24"/>
        </w:rPr>
        <w:t xml:space="preserve">DC </w:t>
      </w:r>
      <w:r>
        <w:rPr>
          <w:rFonts w:ascii="Intel Clear" w:hAnsi="Intel Clear" w:cs="Intel Clear"/>
          <w:sz w:val="24"/>
        </w:rPr>
        <w:t xml:space="preserve">procedures </w:t>
      </w:r>
      <w:r w:rsidR="006B049E">
        <w:rPr>
          <w:rFonts w:ascii="Intel Clear" w:hAnsi="Intel Clear" w:cs="Intel Clear"/>
          <w:sz w:val="24"/>
        </w:rPr>
        <w:t>and network handling</w:t>
      </w:r>
    </w:p>
    <w:p w14:paraId="3671E878" w14:textId="77777777" w:rsidR="00591969" w:rsidRPr="0031551B" w:rsidRDefault="00591969" w:rsidP="00591969">
      <w:pPr>
        <w:tabs>
          <w:tab w:val="left" w:pos="1985"/>
        </w:tabs>
        <w:ind w:left="1980" w:hanging="1980"/>
        <w:jc w:val="both"/>
        <w:rPr>
          <w:rFonts w:ascii="Intel Clear" w:hAnsi="Intel Clear" w:cs="Intel Clear"/>
          <w:sz w:val="24"/>
        </w:rPr>
      </w:pPr>
      <w:r w:rsidRPr="0031551B">
        <w:rPr>
          <w:rFonts w:ascii="Intel Clear" w:hAnsi="Intel Clear" w:cs="Intel Clear"/>
          <w:b/>
          <w:sz w:val="24"/>
        </w:rPr>
        <w:t xml:space="preserve">Source: </w:t>
      </w:r>
      <w:r w:rsidRPr="0031551B">
        <w:rPr>
          <w:rFonts w:ascii="Intel Clear" w:hAnsi="Intel Clear" w:cs="Intel Clear"/>
          <w:b/>
          <w:sz w:val="24"/>
        </w:rPr>
        <w:tab/>
      </w:r>
      <w:r w:rsidRPr="0031551B">
        <w:rPr>
          <w:rFonts w:ascii="Intel Clear" w:hAnsi="Intel Clear" w:cs="Intel Clear"/>
          <w:sz w:val="24"/>
        </w:rPr>
        <w:t>Intel Corporation</w:t>
      </w:r>
    </w:p>
    <w:p w14:paraId="3671E879" w14:textId="77777777" w:rsidR="00591969" w:rsidRPr="0031551B" w:rsidRDefault="00591969" w:rsidP="00591969">
      <w:pPr>
        <w:tabs>
          <w:tab w:val="left" w:pos="1985"/>
        </w:tabs>
        <w:jc w:val="both"/>
        <w:rPr>
          <w:rFonts w:ascii="Intel Clear" w:hAnsi="Intel Clear" w:cs="Intel Clear"/>
          <w:sz w:val="24"/>
        </w:rPr>
      </w:pPr>
      <w:r w:rsidRPr="0031551B">
        <w:rPr>
          <w:rFonts w:ascii="Intel Clear" w:hAnsi="Intel Clear" w:cs="Intel Clear"/>
          <w:b/>
          <w:sz w:val="24"/>
        </w:rPr>
        <w:t>Agenda item:</w:t>
      </w:r>
      <w:r w:rsidRPr="0031551B">
        <w:rPr>
          <w:rFonts w:ascii="Intel Clear" w:hAnsi="Intel Clear" w:cs="Intel Clear"/>
          <w:sz w:val="24"/>
        </w:rPr>
        <w:tab/>
        <w:t>10.2.2.2</w:t>
      </w:r>
    </w:p>
    <w:p w14:paraId="3671E87A" w14:textId="77777777" w:rsidR="00591969" w:rsidRPr="0031551B" w:rsidRDefault="00591969" w:rsidP="00591969">
      <w:pPr>
        <w:pBdr>
          <w:bottom w:val="single" w:sz="6" w:space="1" w:color="auto"/>
        </w:pBdr>
        <w:tabs>
          <w:tab w:val="left" w:pos="1985"/>
        </w:tabs>
        <w:ind w:right="-441"/>
        <w:jc w:val="both"/>
        <w:rPr>
          <w:rFonts w:ascii="Intel Clear" w:hAnsi="Intel Clear" w:cs="Intel Clear"/>
          <w:sz w:val="24"/>
        </w:rPr>
      </w:pPr>
      <w:r w:rsidRPr="0031551B">
        <w:rPr>
          <w:rFonts w:ascii="Intel Clear" w:hAnsi="Intel Clear" w:cs="Intel Clear"/>
          <w:b/>
          <w:sz w:val="24"/>
        </w:rPr>
        <w:t>Document for:</w:t>
      </w:r>
      <w:r w:rsidRPr="0031551B">
        <w:rPr>
          <w:rFonts w:ascii="Intel Clear" w:hAnsi="Intel Clear" w:cs="Intel Clear"/>
          <w:sz w:val="24"/>
        </w:rPr>
        <w:tab/>
        <w:t>Discussion and Decision</w:t>
      </w:r>
    </w:p>
    <w:p w14:paraId="3671E87B" w14:textId="77777777" w:rsidR="00681090" w:rsidRDefault="00591969" w:rsidP="00591969">
      <w:pPr>
        <w:pStyle w:val="Heading1"/>
      </w:pPr>
      <w:r>
        <w:t>Introduction</w:t>
      </w:r>
    </w:p>
    <w:p w14:paraId="3671E87C" w14:textId="77777777" w:rsidR="00AA2817" w:rsidRDefault="00591969">
      <w:r>
        <w:t>The following decisions were made on NSA dual connectivity procedures:</w:t>
      </w:r>
    </w:p>
    <w:p w14:paraId="3671E87D" w14:textId="77777777" w:rsidR="00591969" w:rsidRDefault="00591969" w:rsidP="00591969">
      <w:pPr>
        <w:pStyle w:val="Doc-text2"/>
      </w:pPr>
    </w:p>
    <w:p w14:paraId="3671E87E" w14:textId="77777777" w:rsidR="00591969" w:rsidRDefault="00591969" w:rsidP="00591969">
      <w:pPr>
        <w:pStyle w:val="Doc-text2"/>
        <w:pBdr>
          <w:top w:val="single" w:sz="4" w:space="1" w:color="auto"/>
          <w:left w:val="single" w:sz="4" w:space="4" w:color="auto"/>
          <w:bottom w:val="single" w:sz="4" w:space="1" w:color="auto"/>
          <w:right w:val="single" w:sz="4" w:space="4" w:color="auto"/>
        </w:pBdr>
      </w:pPr>
      <w:r>
        <w:t>Agreements</w:t>
      </w:r>
    </w:p>
    <w:p w14:paraId="3671E87F" w14:textId="77777777" w:rsidR="00591969" w:rsidRDefault="00591969" w:rsidP="00591969">
      <w:pPr>
        <w:pStyle w:val="Doc-text2"/>
        <w:pBdr>
          <w:top w:val="single" w:sz="4" w:space="1" w:color="auto"/>
          <w:left w:val="single" w:sz="4" w:space="4" w:color="auto"/>
          <w:bottom w:val="single" w:sz="4" w:space="1" w:color="auto"/>
          <w:right w:val="single" w:sz="4" w:space="4" w:color="auto"/>
        </w:pBdr>
      </w:pPr>
      <w:r>
        <w:t>1</w:t>
      </w:r>
      <w:r>
        <w:tab/>
        <w:t>Secondary node initiates the secondary node change procedure in the connected active mode.</w:t>
      </w:r>
    </w:p>
    <w:p w14:paraId="3671E880" w14:textId="77777777" w:rsidR="00591969" w:rsidRDefault="00591969" w:rsidP="00591969">
      <w:pPr>
        <w:pStyle w:val="Doc-text2"/>
        <w:pBdr>
          <w:top w:val="single" w:sz="4" w:space="1" w:color="auto"/>
          <w:left w:val="single" w:sz="4" w:space="4" w:color="auto"/>
          <w:bottom w:val="single" w:sz="4" w:space="1" w:color="auto"/>
          <w:right w:val="single" w:sz="4" w:space="4" w:color="auto"/>
        </w:pBdr>
      </w:pPr>
      <w:r>
        <w:t>2</w:t>
      </w:r>
      <w:r>
        <w:tab/>
        <w:t>In some cases the MN is involved and takes final decision before the secondary node change occurs. FFS whether the MN needs to be involved for other cases (e.g. SN cell change without PDCP change)</w:t>
      </w:r>
    </w:p>
    <w:p w14:paraId="3671E881" w14:textId="77777777" w:rsidR="00591969" w:rsidRDefault="00591969" w:rsidP="00591969">
      <w:pPr>
        <w:pStyle w:val="Doc-text2"/>
        <w:pBdr>
          <w:top w:val="single" w:sz="4" w:space="1" w:color="auto"/>
          <w:left w:val="single" w:sz="4" w:space="4" w:color="auto"/>
          <w:bottom w:val="single" w:sz="4" w:space="1" w:color="auto"/>
          <w:right w:val="single" w:sz="4" w:space="4" w:color="auto"/>
        </w:pBdr>
      </w:pPr>
      <w:r>
        <w:t>3</w:t>
      </w:r>
      <w:r>
        <w:tab/>
        <w:t>The RRM measurement configuration for secondary node change is maintained by secondary node and also processes measurement reports.</w:t>
      </w:r>
    </w:p>
    <w:p w14:paraId="3671E882" w14:textId="77777777" w:rsidR="00591969" w:rsidRDefault="00591969" w:rsidP="00591969">
      <w:pPr>
        <w:pStyle w:val="Doc-text2"/>
        <w:pBdr>
          <w:top w:val="single" w:sz="4" w:space="1" w:color="auto"/>
          <w:left w:val="single" w:sz="4" w:space="4" w:color="auto"/>
          <w:bottom w:val="single" w:sz="4" w:space="1" w:color="auto"/>
          <w:right w:val="single" w:sz="4" w:space="4" w:color="auto"/>
        </w:pBdr>
      </w:pPr>
      <w:r>
        <w:t>FFS what additional information can be provided from the SN to the MN when the SN change is initiated.</w:t>
      </w:r>
    </w:p>
    <w:p w14:paraId="3671E883" w14:textId="77777777" w:rsidR="00591969" w:rsidRDefault="00591969" w:rsidP="00591969">
      <w:pPr>
        <w:pStyle w:val="Doc-text2"/>
        <w:pBdr>
          <w:top w:val="single" w:sz="4" w:space="1" w:color="auto"/>
          <w:left w:val="single" w:sz="4" w:space="4" w:color="auto"/>
          <w:bottom w:val="single" w:sz="4" w:space="1" w:color="auto"/>
          <w:right w:val="single" w:sz="4" w:space="4" w:color="auto"/>
        </w:pBdr>
      </w:pPr>
      <w:r>
        <w:t xml:space="preserve">FFS Whether master node can also initiate </w:t>
      </w:r>
      <w:r w:rsidRPr="00D73C56">
        <w:t>secondary node change procedure</w:t>
      </w:r>
      <w:r>
        <w:t xml:space="preserve"> (e.g. inter-freq HO for load balancing reasons)</w:t>
      </w:r>
    </w:p>
    <w:p w14:paraId="3671E884" w14:textId="77777777" w:rsidR="00591969" w:rsidRDefault="00591969" w:rsidP="00591969">
      <w:pPr>
        <w:pStyle w:val="Doc-text2"/>
      </w:pPr>
    </w:p>
    <w:p w14:paraId="3671E885" w14:textId="77777777" w:rsidR="00591969" w:rsidRDefault="00591969" w:rsidP="00591969">
      <w:r>
        <w:t xml:space="preserve">As mentioned in the FFS above, there are some aspects that need to be discussed further to reach agreement.  This document discusses these procedures in more detail. </w:t>
      </w:r>
    </w:p>
    <w:p w14:paraId="3671E886" w14:textId="77777777" w:rsidR="00591969" w:rsidRDefault="00591969" w:rsidP="00591969"/>
    <w:p w14:paraId="3671E887" w14:textId="77777777" w:rsidR="00591969" w:rsidRDefault="00591969" w:rsidP="00591969">
      <w:pPr>
        <w:pStyle w:val="Heading1"/>
      </w:pPr>
      <w:r>
        <w:t>Discussion</w:t>
      </w:r>
    </w:p>
    <w:p w14:paraId="3671E888" w14:textId="77777777" w:rsidR="00591969" w:rsidRDefault="00591969" w:rsidP="00591969"/>
    <w:p w14:paraId="3671E889" w14:textId="7E0605A8" w:rsidR="00C3105F" w:rsidRDefault="00C3105F" w:rsidP="00591969">
      <w:r>
        <w:t>LTE supports the following procedures related to dual connectivity</w:t>
      </w:r>
      <w:r w:rsidR="00A1398A">
        <w:t xml:space="preserve"> (procedure names </w:t>
      </w:r>
      <w:r w:rsidR="0059014A">
        <w:t xml:space="preserve">and description </w:t>
      </w:r>
      <w:r w:rsidR="00A1398A">
        <w:t xml:space="preserve">are from </w:t>
      </w:r>
      <w:r w:rsidR="008307E2">
        <w:t>TS</w:t>
      </w:r>
      <w:r w:rsidR="00A1398A">
        <w:t>36.300)</w:t>
      </w:r>
      <w:r>
        <w:t>:</w:t>
      </w:r>
    </w:p>
    <w:tbl>
      <w:tblPr>
        <w:tblStyle w:val="TableGrid"/>
        <w:tblW w:w="7911" w:type="dxa"/>
        <w:tblInd w:w="137" w:type="dxa"/>
        <w:tblLook w:val="04A0" w:firstRow="1" w:lastRow="0" w:firstColumn="1" w:lastColumn="0" w:noHBand="0" w:noVBand="1"/>
      </w:tblPr>
      <w:tblGrid>
        <w:gridCol w:w="2808"/>
        <w:gridCol w:w="5103"/>
      </w:tblGrid>
      <w:tr w:rsidR="00D25986" w:rsidRPr="00BB5768" w14:paraId="054B63B0" w14:textId="31270DD5" w:rsidTr="00753796">
        <w:tc>
          <w:tcPr>
            <w:tcW w:w="2808" w:type="dxa"/>
          </w:tcPr>
          <w:p w14:paraId="41D436E9" w14:textId="77777777" w:rsidR="00D25986" w:rsidRPr="00BB5768" w:rsidRDefault="00D25986" w:rsidP="00753796">
            <w:proofErr w:type="spellStart"/>
            <w:r w:rsidRPr="00BB5768">
              <w:t>SeNB</w:t>
            </w:r>
            <w:proofErr w:type="spellEnd"/>
            <w:r w:rsidRPr="00BB5768">
              <w:t xml:space="preserve"> Addition</w:t>
            </w:r>
          </w:p>
        </w:tc>
        <w:tc>
          <w:tcPr>
            <w:tcW w:w="5103" w:type="dxa"/>
          </w:tcPr>
          <w:p w14:paraId="424A6B09" w14:textId="2FD494AA" w:rsidR="00D25986" w:rsidRPr="00BB5768" w:rsidRDefault="00D25986" w:rsidP="00753796">
            <w:pPr>
              <w:ind w:right="-18"/>
            </w:pPr>
            <w:r w:rsidRPr="005132EF">
              <w:rPr>
                <w:lang w:eastAsia="ja-JP"/>
              </w:rPr>
              <w:t xml:space="preserve">The </w:t>
            </w:r>
            <w:proofErr w:type="spellStart"/>
            <w:r w:rsidRPr="005132EF">
              <w:rPr>
                <w:lang w:eastAsia="ja-JP"/>
              </w:rPr>
              <w:t>SeNB</w:t>
            </w:r>
            <w:proofErr w:type="spellEnd"/>
            <w:r w:rsidRPr="005132EF">
              <w:rPr>
                <w:lang w:eastAsia="ja-JP"/>
              </w:rPr>
              <w:t xml:space="preserve"> Addition procedure is initiated by the </w:t>
            </w:r>
            <w:proofErr w:type="spellStart"/>
            <w:r w:rsidRPr="005132EF">
              <w:rPr>
                <w:lang w:eastAsia="ja-JP"/>
              </w:rPr>
              <w:t>MeNB</w:t>
            </w:r>
            <w:proofErr w:type="spellEnd"/>
            <w:r w:rsidRPr="005132EF">
              <w:rPr>
                <w:lang w:eastAsia="ja-JP"/>
              </w:rPr>
              <w:t xml:space="preserve"> and is used to establish a UE context at the </w:t>
            </w:r>
            <w:proofErr w:type="spellStart"/>
            <w:r w:rsidRPr="005132EF">
              <w:rPr>
                <w:lang w:eastAsia="ja-JP"/>
              </w:rPr>
              <w:t>SeNB</w:t>
            </w:r>
            <w:proofErr w:type="spellEnd"/>
            <w:r w:rsidRPr="005132EF">
              <w:rPr>
                <w:lang w:eastAsia="ja-JP"/>
              </w:rPr>
              <w:t xml:space="preserve"> in order to provide radio resources from the </w:t>
            </w:r>
            <w:proofErr w:type="spellStart"/>
            <w:r w:rsidRPr="005132EF">
              <w:rPr>
                <w:lang w:eastAsia="ja-JP"/>
              </w:rPr>
              <w:t>SeNB</w:t>
            </w:r>
            <w:proofErr w:type="spellEnd"/>
            <w:r w:rsidRPr="005132EF">
              <w:rPr>
                <w:lang w:eastAsia="ja-JP"/>
              </w:rPr>
              <w:t xml:space="preserve"> to the UE.</w:t>
            </w:r>
          </w:p>
        </w:tc>
      </w:tr>
      <w:tr w:rsidR="00D25986" w:rsidRPr="00BB5768" w14:paraId="70A50A7B" w14:textId="3BF91D20" w:rsidTr="00753796">
        <w:tc>
          <w:tcPr>
            <w:tcW w:w="2808" w:type="dxa"/>
          </w:tcPr>
          <w:p w14:paraId="383BFEA6" w14:textId="77777777" w:rsidR="00D25986" w:rsidRPr="00BB5768" w:rsidRDefault="00D25986" w:rsidP="00753796">
            <w:pPr>
              <w:ind w:left="148"/>
            </w:pPr>
            <w:proofErr w:type="spellStart"/>
            <w:r w:rsidRPr="00BB5768">
              <w:t>SeNB</w:t>
            </w:r>
            <w:proofErr w:type="spellEnd"/>
            <w:r w:rsidRPr="00BB5768">
              <w:t xml:space="preserve"> Modification</w:t>
            </w:r>
          </w:p>
        </w:tc>
        <w:tc>
          <w:tcPr>
            <w:tcW w:w="5103" w:type="dxa"/>
          </w:tcPr>
          <w:p w14:paraId="5EDF1AD5" w14:textId="31F0F637" w:rsidR="00D25986" w:rsidRPr="00BB5768" w:rsidRDefault="000E1A69" w:rsidP="00753796">
            <w:pPr>
              <w:rPr>
                <w:lang w:eastAsia="ja-JP"/>
              </w:rPr>
            </w:pPr>
            <w:r w:rsidRPr="005132EF">
              <w:rPr>
                <w:lang w:eastAsia="ja-JP"/>
              </w:rPr>
              <w:t xml:space="preserve">The </w:t>
            </w:r>
            <w:proofErr w:type="spellStart"/>
            <w:r w:rsidRPr="005132EF">
              <w:rPr>
                <w:lang w:eastAsia="ja-JP"/>
              </w:rPr>
              <w:t>SeNB</w:t>
            </w:r>
            <w:proofErr w:type="spellEnd"/>
            <w:r w:rsidRPr="005132EF">
              <w:rPr>
                <w:lang w:eastAsia="ja-JP"/>
              </w:rPr>
              <w:t xml:space="preserve"> Modification procedure may be initiated either by the </w:t>
            </w:r>
            <w:proofErr w:type="spellStart"/>
            <w:r w:rsidRPr="005132EF">
              <w:rPr>
                <w:lang w:eastAsia="ja-JP"/>
              </w:rPr>
              <w:t>MeNB</w:t>
            </w:r>
            <w:proofErr w:type="spellEnd"/>
            <w:r w:rsidRPr="005132EF">
              <w:rPr>
                <w:lang w:eastAsia="ja-JP"/>
              </w:rPr>
              <w:t xml:space="preserve"> or by the </w:t>
            </w:r>
            <w:proofErr w:type="spellStart"/>
            <w:r w:rsidRPr="005132EF">
              <w:rPr>
                <w:lang w:eastAsia="ja-JP"/>
              </w:rPr>
              <w:t>SeNB</w:t>
            </w:r>
            <w:proofErr w:type="spellEnd"/>
            <w:r w:rsidRPr="005132EF">
              <w:rPr>
                <w:rFonts w:hint="eastAsia"/>
                <w:lang w:eastAsia="ja-JP"/>
              </w:rPr>
              <w:t xml:space="preserve"> and </w:t>
            </w:r>
            <w:r w:rsidRPr="005132EF">
              <w:rPr>
                <w:lang w:eastAsia="ja-JP"/>
              </w:rPr>
              <w:t xml:space="preserve">be used to modify, establish or release bearer contexts, to transfer bearer contexts to and from the </w:t>
            </w:r>
            <w:proofErr w:type="spellStart"/>
            <w:r w:rsidRPr="005132EF">
              <w:rPr>
                <w:lang w:eastAsia="ja-JP"/>
              </w:rPr>
              <w:t>SeNB</w:t>
            </w:r>
            <w:proofErr w:type="spellEnd"/>
            <w:r w:rsidRPr="005132EF">
              <w:rPr>
                <w:lang w:eastAsia="ja-JP"/>
              </w:rPr>
              <w:t xml:space="preserve"> or to modify other properties of the UE context </w:t>
            </w:r>
            <w:r w:rsidRPr="005132EF">
              <w:rPr>
                <w:rFonts w:hint="eastAsia"/>
                <w:lang w:eastAsia="ja-JP"/>
              </w:rPr>
              <w:t>within</w:t>
            </w:r>
            <w:r w:rsidRPr="005132EF">
              <w:rPr>
                <w:lang w:eastAsia="ja-JP"/>
              </w:rPr>
              <w:t xml:space="preserve"> the </w:t>
            </w:r>
            <w:r w:rsidRPr="005132EF">
              <w:rPr>
                <w:rFonts w:hint="eastAsia"/>
                <w:lang w:eastAsia="ja-JP"/>
              </w:rPr>
              <w:t xml:space="preserve">same </w:t>
            </w:r>
            <w:proofErr w:type="spellStart"/>
            <w:r>
              <w:rPr>
                <w:lang w:eastAsia="ja-JP"/>
              </w:rPr>
              <w:t>SeNB</w:t>
            </w:r>
            <w:proofErr w:type="spellEnd"/>
            <w:r>
              <w:rPr>
                <w:lang w:eastAsia="ja-JP"/>
              </w:rPr>
              <w:t>.</w:t>
            </w:r>
          </w:p>
        </w:tc>
      </w:tr>
      <w:tr w:rsidR="00D25986" w:rsidRPr="00BB5768" w14:paraId="5F0D0FD6" w14:textId="30153EC9" w:rsidTr="00753796">
        <w:tc>
          <w:tcPr>
            <w:tcW w:w="2808" w:type="dxa"/>
          </w:tcPr>
          <w:p w14:paraId="06900B45" w14:textId="77777777" w:rsidR="00D25986" w:rsidRPr="00BB5768" w:rsidRDefault="00D25986" w:rsidP="00753796">
            <w:pPr>
              <w:ind w:left="148"/>
            </w:pPr>
            <w:r w:rsidRPr="00BB5768">
              <w:t>Intra-</w:t>
            </w:r>
            <w:proofErr w:type="spellStart"/>
            <w:r w:rsidRPr="00BB5768">
              <w:t>MeNB</w:t>
            </w:r>
            <w:proofErr w:type="spellEnd"/>
            <w:r w:rsidRPr="00BB5768">
              <w:t xml:space="preserve"> handover involving SCG change</w:t>
            </w:r>
          </w:p>
        </w:tc>
        <w:tc>
          <w:tcPr>
            <w:tcW w:w="5103" w:type="dxa"/>
          </w:tcPr>
          <w:p w14:paraId="3A1683F4" w14:textId="387951B0" w:rsidR="00D25986" w:rsidRPr="00BB5768" w:rsidRDefault="000E1A69" w:rsidP="00753796">
            <w:pPr>
              <w:ind w:right="-18"/>
            </w:pPr>
            <w:r w:rsidRPr="005132EF">
              <w:rPr>
                <w:rFonts w:hint="eastAsia"/>
                <w:lang w:eastAsia="ja-JP"/>
              </w:rPr>
              <w:t xml:space="preserve">This procedure is used to perform handover within the same </w:t>
            </w:r>
            <w:proofErr w:type="spellStart"/>
            <w:r w:rsidRPr="005132EF">
              <w:rPr>
                <w:rFonts w:hint="eastAsia"/>
                <w:lang w:eastAsia="ja-JP"/>
              </w:rPr>
              <w:t>MeNB</w:t>
            </w:r>
            <w:proofErr w:type="spellEnd"/>
            <w:r w:rsidRPr="005132EF">
              <w:rPr>
                <w:rFonts w:hint="eastAsia"/>
                <w:lang w:eastAsia="ja-JP"/>
              </w:rPr>
              <w:t xml:space="preserve"> while keeping the SCG in the same </w:t>
            </w:r>
            <w:proofErr w:type="spellStart"/>
            <w:r w:rsidRPr="005132EF">
              <w:rPr>
                <w:rFonts w:hint="eastAsia"/>
                <w:lang w:eastAsia="ja-JP"/>
              </w:rPr>
              <w:t>SeNB</w:t>
            </w:r>
            <w:proofErr w:type="spellEnd"/>
            <w:r w:rsidRPr="005132EF">
              <w:rPr>
                <w:lang w:eastAsia="ja-JP"/>
              </w:rPr>
              <w:t>.</w:t>
            </w:r>
          </w:p>
        </w:tc>
      </w:tr>
      <w:tr w:rsidR="00D25986" w:rsidRPr="00BB5768" w14:paraId="1BEC68D4" w14:textId="0CD106CE" w:rsidTr="00753796">
        <w:tc>
          <w:tcPr>
            <w:tcW w:w="2808" w:type="dxa"/>
          </w:tcPr>
          <w:p w14:paraId="1325604F" w14:textId="77777777" w:rsidR="00D25986" w:rsidRPr="00BB5768" w:rsidRDefault="00D25986" w:rsidP="00753796">
            <w:pPr>
              <w:ind w:left="148"/>
            </w:pPr>
            <w:proofErr w:type="spellStart"/>
            <w:r w:rsidRPr="00BB5768">
              <w:lastRenderedPageBreak/>
              <w:t>SeNB</w:t>
            </w:r>
            <w:proofErr w:type="spellEnd"/>
            <w:r w:rsidRPr="00BB5768">
              <w:t xml:space="preserve"> Release</w:t>
            </w:r>
          </w:p>
        </w:tc>
        <w:tc>
          <w:tcPr>
            <w:tcW w:w="5103" w:type="dxa"/>
          </w:tcPr>
          <w:p w14:paraId="49FEB42C" w14:textId="008AB9A8" w:rsidR="00D25986" w:rsidRPr="00BB5768" w:rsidRDefault="000E1A69" w:rsidP="00753796">
            <w:pPr>
              <w:ind w:left="61" w:right="-18"/>
            </w:pPr>
            <w:r w:rsidRPr="000E1A69">
              <w:t xml:space="preserve">The </w:t>
            </w:r>
            <w:proofErr w:type="spellStart"/>
            <w:r w:rsidRPr="000E1A69">
              <w:t>SeNB</w:t>
            </w:r>
            <w:proofErr w:type="spellEnd"/>
            <w:r w:rsidRPr="000E1A69">
              <w:t xml:space="preserve"> Release procedure is used to initiate the release of the UE context at the </w:t>
            </w:r>
            <w:proofErr w:type="spellStart"/>
            <w:r w:rsidRPr="000E1A69">
              <w:t>SeNB</w:t>
            </w:r>
            <w:proofErr w:type="spellEnd"/>
            <w:r w:rsidRPr="000E1A69">
              <w:t>. The recipient node of this request cannot reject.</w:t>
            </w:r>
          </w:p>
        </w:tc>
      </w:tr>
      <w:tr w:rsidR="00D25986" w:rsidRPr="00BB5768" w14:paraId="2476B12D" w14:textId="4B52E3AF" w:rsidTr="00753796">
        <w:tc>
          <w:tcPr>
            <w:tcW w:w="2808" w:type="dxa"/>
          </w:tcPr>
          <w:p w14:paraId="577E5459" w14:textId="77777777" w:rsidR="00D25986" w:rsidRPr="00BB5768" w:rsidRDefault="00D25986" w:rsidP="00753796">
            <w:pPr>
              <w:ind w:left="148"/>
            </w:pPr>
            <w:r w:rsidRPr="00BB5768">
              <w:t xml:space="preserve">Change of </w:t>
            </w:r>
            <w:proofErr w:type="spellStart"/>
            <w:r w:rsidRPr="00BB5768">
              <w:t>SeNB</w:t>
            </w:r>
            <w:proofErr w:type="spellEnd"/>
          </w:p>
        </w:tc>
        <w:tc>
          <w:tcPr>
            <w:tcW w:w="5103" w:type="dxa"/>
          </w:tcPr>
          <w:p w14:paraId="45F59966" w14:textId="4D167686" w:rsidR="00D25986" w:rsidRPr="00BB5768" w:rsidRDefault="000E1A69" w:rsidP="00753796">
            <w:pPr>
              <w:ind w:left="61" w:right="-18"/>
            </w:pPr>
            <w:r w:rsidRPr="005132EF">
              <w:rPr>
                <w:lang w:eastAsia="ja-JP"/>
              </w:rPr>
              <w:t xml:space="preserve">The change of </w:t>
            </w:r>
            <w:proofErr w:type="spellStart"/>
            <w:r w:rsidRPr="005132EF">
              <w:rPr>
                <w:lang w:eastAsia="ja-JP"/>
              </w:rPr>
              <w:t>SeNB</w:t>
            </w:r>
            <w:proofErr w:type="spellEnd"/>
            <w:r w:rsidRPr="005132EF">
              <w:rPr>
                <w:lang w:eastAsia="ja-JP"/>
              </w:rPr>
              <w:t xml:space="preserve"> procedure </w:t>
            </w:r>
            <w:r w:rsidRPr="005132EF">
              <w:rPr>
                <w:rFonts w:hint="eastAsia"/>
                <w:lang w:eastAsia="ja-JP"/>
              </w:rPr>
              <w:t>is in</w:t>
            </w:r>
            <w:r w:rsidRPr="005132EF">
              <w:rPr>
                <w:lang w:eastAsia="ja-JP"/>
              </w:rPr>
              <w:t>i</w:t>
            </w:r>
            <w:r w:rsidRPr="005132EF">
              <w:rPr>
                <w:rFonts w:hint="eastAsia"/>
                <w:lang w:eastAsia="ja-JP"/>
              </w:rPr>
              <w:t xml:space="preserve">tiated by </w:t>
            </w:r>
            <w:proofErr w:type="spellStart"/>
            <w:r w:rsidRPr="005132EF">
              <w:rPr>
                <w:rFonts w:hint="eastAsia"/>
                <w:lang w:eastAsia="ja-JP"/>
              </w:rPr>
              <w:t>MeNB</w:t>
            </w:r>
            <w:proofErr w:type="spellEnd"/>
            <w:r w:rsidRPr="005132EF">
              <w:rPr>
                <w:rFonts w:hint="eastAsia"/>
                <w:lang w:eastAsia="ja-JP"/>
              </w:rPr>
              <w:t xml:space="preserve"> and used</w:t>
            </w:r>
            <w:r w:rsidRPr="005132EF">
              <w:rPr>
                <w:lang w:eastAsia="ja-JP"/>
              </w:rPr>
              <w:t xml:space="preserve"> to transfer a UE context from a source </w:t>
            </w:r>
            <w:proofErr w:type="spellStart"/>
            <w:r w:rsidRPr="005132EF">
              <w:rPr>
                <w:lang w:eastAsia="ja-JP"/>
              </w:rPr>
              <w:t>SeNB</w:t>
            </w:r>
            <w:proofErr w:type="spellEnd"/>
            <w:r w:rsidRPr="005132EF">
              <w:rPr>
                <w:lang w:eastAsia="ja-JP"/>
              </w:rPr>
              <w:t xml:space="preserve"> to a target </w:t>
            </w:r>
            <w:proofErr w:type="spellStart"/>
            <w:r w:rsidRPr="005132EF">
              <w:rPr>
                <w:lang w:eastAsia="ja-JP"/>
              </w:rPr>
              <w:t>SeNB</w:t>
            </w:r>
            <w:proofErr w:type="spellEnd"/>
            <w:r w:rsidRPr="005132EF">
              <w:rPr>
                <w:rFonts w:hint="eastAsia"/>
                <w:lang w:eastAsia="ja-JP"/>
              </w:rPr>
              <w:t xml:space="preserve"> and to change the SCG configuration in UE from one </w:t>
            </w:r>
            <w:proofErr w:type="spellStart"/>
            <w:r w:rsidRPr="005132EF">
              <w:rPr>
                <w:rFonts w:hint="eastAsia"/>
                <w:lang w:eastAsia="ja-JP"/>
              </w:rPr>
              <w:t>SeNB</w:t>
            </w:r>
            <w:proofErr w:type="spellEnd"/>
            <w:r w:rsidRPr="005132EF">
              <w:rPr>
                <w:rFonts w:hint="eastAsia"/>
                <w:lang w:eastAsia="ja-JP"/>
              </w:rPr>
              <w:t xml:space="preserve"> to another</w:t>
            </w:r>
            <w:r w:rsidRPr="005132EF">
              <w:rPr>
                <w:lang w:eastAsia="ja-JP"/>
              </w:rPr>
              <w:t>.</w:t>
            </w:r>
          </w:p>
        </w:tc>
      </w:tr>
      <w:tr w:rsidR="00D25986" w:rsidRPr="00BB5768" w14:paraId="27DFF3CC" w14:textId="7A0ABC50" w:rsidTr="00753796">
        <w:tc>
          <w:tcPr>
            <w:tcW w:w="2808" w:type="dxa"/>
          </w:tcPr>
          <w:p w14:paraId="7877D2D3" w14:textId="77777777" w:rsidR="00D25986" w:rsidRPr="00BB5768" w:rsidRDefault="00D25986" w:rsidP="00753796">
            <w:pPr>
              <w:ind w:left="148"/>
            </w:pPr>
            <w:proofErr w:type="spellStart"/>
            <w:r w:rsidRPr="00BB5768">
              <w:t>MeNB</w:t>
            </w:r>
            <w:proofErr w:type="spellEnd"/>
            <w:r w:rsidRPr="00BB5768">
              <w:t xml:space="preserve"> to </w:t>
            </w:r>
            <w:proofErr w:type="spellStart"/>
            <w:r w:rsidRPr="00BB5768">
              <w:t>eNB</w:t>
            </w:r>
            <w:proofErr w:type="spellEnd"/>
            <w:r w:rsidRPr="00BB5768">
              <w:t xml:space="preserve"> Change</w:t>
            </w:r>
          </w:p>
        </w:tc>
        <w:tc>
          <w:tcPr>
            <w:tcW w:w="5103" w:type="dxa"/>
          </w:tcPr>
          <w:p w14:paraId="08E7363D" w14:textId="55233C2D" w:rsidR="00D25986" w:rsidRPr="00BB5768" w:rsidRDefault="00E5250C" w:rsidP="00753796">
            <w:pPr>
              <w:ind w:left="61" w:right="-18"/>
            </w:pPr>
            <w:r w:rsidRPr="005132EF">
              <w:rPr>
                <w:lang w:eastAsia="ja-JP"/>
              </w:rPr>
              <w:t xml:space="preserve">The </w:t>
            </w:r>
            <w:proofErr w:type="spellStart"/>
            <w:r w:rsidRPr="005132EF">
              <w:rPr>
                <w:lang w:eastAsia="ja-JP"/>
              </w:rPr>
              <w:t>MeNB</w:t>
            </w:r>
            <w:proofErr w:type="spellEnd"/>
            <w:r w:rsidRPr="005132EF">
              <w:rPr>
                <w:lang w:eastAsia="ja-JP"/>
              </w:rPr>
              <w:t xml:space="preserve"> to </w:t>
            </w:r>
            <w:proofErr w:type="spellStart"/>
            <w:r w:rsidRPr="005132EF">
              <w:rPr>
                <w:lang w:eastAsia="ja-JP"/>
              </w:rPr>
              <w:t>eNB</w:t>
            </w:r>
            <w:proofErr w:type="spellEnd"/>
            <w:r w:rsidRPr="005132EF">
              <w:rPr>
                <w:lang w:eastAsia="ja-JP"/>
              </w:rPr>
              <w:t xml:space="preserve"> Change procedure </w:t>
            </w:r>
            <w:r w:rsidRPr="005132EF">
              <w:rPr>
                <w:rFonts w:hint="eastAsia"/>
                <w:lang w:eastAsia="ja-JP"/>
              </w:rPr>
              <w:t xml:space="preserve">is used </w:t>
            </w:r>
            <w:r w:rsidRPr="005132EF">
              <w:rPr>
                <w:lang w:eastAsia="ja-JP"/>
              </w:rPr>
              <w:t xml:space="preserve">to transfer context data from a source </w:t>
            </w:r>
            <w:proofErr w:type="spellStart"/>
            <w:r w:rsidRPr="005132EF">
              <w:rPr>
                <w:lang w:eastAsia="ja-JP"/>
              </w:rPr>
              <w:t>MeNB</w:t>
            </w:r>
            <w:proofErr w:type="spellEnd"/>
            <w:r w:rsidRPr="005132EF">
              <w:rPr>
                <w:lang w:eastAsia="ja-JP"/>
              </w:rPr>
              <w:t>/</w:t>
            </w:r>
            <w:proofErr w:type="spellStart"/>
            <w:r w:rsidRPr="005132EF">
              <w:rPr>
                <w:lang w:eastAsia="ja-JP"/>
              </w:rPr>
              <w:t>SeNB</w:t>
            </w:r>
            <w:proofErr w:type="spellEnd"/>
            <w:r w:rsidRPr="005132EF">
              <w:rPr>
                <w:lang w:eastAsia="ja-JP"/>
              </w:rPr>
              <w:t xml:space="preserve"> to a target eNB.</w:t>
            </w:r>
            <w:r w:rsidR="005F0D72">
              <w:rPr>
                <w:lang w:eastAsia="ja-JP"/>
              </w:rPr>
              <w:t xml:space="preserve"> (</w:t>
            </w:r>
            <w:proofErr w:type="spellStart"/>
            <w:r w:rsidR="005F0D72">
              <w:rPr>
                <w:lang w:eastAsia="ja-JP"/>
              </w:rPr>
              <w:t>MeNB</w:t>
            </w:r>
            <w:proofErr w:type="spellEnd"/>
            <w:r w:rsidR="005F0D72">
              <w:rPr>
                <w:lang w:eastAsia="ja-JP"/>
              </w:rPr>
              <w:t xml:space="preserve"> HO while releasing SCG)</w:t>
            </w:r>
          </w:p>
        </w:tc>
      </w:tr>
      <w:tr w:rsidR="00D25986" w:rsidRPr="00BB5768" w14:paraId="5A1C53BB" w14:textId="2918684D" w:rsidTr="00753796">
        <w:tc>
          <w:tcPr>
            <w:tcW w:w="2808" w:type="dxa"/>
          </w:tcPr>
          <w:p w14:paraId="5598986C" w14:textId="77777777" w:rsidR="00D25986" w:rsidRPr="00BB5768" w:rsidRDefault="00D25986" w:rsidP="00753796">
            <w:pPr>
              <w:ind w:left="148"/>
            </w:pPr>
            <w:r w:rsidRPr="00BB5768">
              <w:t>SCG change</w:t>
            </w:r>
          </w:p>
        </w:tc>
        <w:tc>
          <w:tcPr>
            <w:tcW w:w="5103" w:type="dxa"/>
          </w:tcPr>
          <w:p w14:paraId="286616E9" w14:textId="5EE148EE" w:rsidR="00D25986" w:rsidRPr="00BB5768" w:rsidRDefault="00E5250C" w:rsidP="00753796">
            <w:pPr>
              <w:ind w:left="61" w:right="-18"/>
            </w:pPr>
            <w:r w:rsidRPr="00584246">
              <w:rPr>
                <w:lang w:val="en-US" w:eastAsia="ja-JP"/>
              </w:rPr>
              <w:t xml:space="preserve">"SCG change" refers to a synchronous </w:t>
            </w:r>
            <w:r w:rsidRPr="00584246">
              <w:rPr>
                <w:rFonts w:hint="eastAsia"/>
                <w:lang w:val="en-US" w:eastAsia="ja-JP"/>
              </w:rPr>
              <w:t xml:space="preserve">SCG reconfiguration procedure </w:t>
            </w:r>
            <w:r w:rsidRPr="00584246">
              <w:rPr>
                <w:lang w:val="en-US" w:eastAsia="ja-JP"/>
              </w:rPr>
              <w:t>towards the UE</w:t>
            </w:r>
            <w:r w:rsidRPr="00584246">
              <w:rPr>
                <w:rFonts w:hint="eastAsia"/>
                <w:lang w:val="en-US" w:eastAsia="ja-JP"/>
              </w:rPr>
              <w:t xml:space="preserve"> involving random access on </w:t>
            </w:r>
            <w:proofErr w:type="spellStart"/>
            <w:r w:rsidRPr="00584246">
              <w:rPr>
                <w:rFonts w:hint="eastAsia"/>
                <w:lang w:val="en-US" w:eastAsia="ja-JP"/>
              </w:rPr>
              <w:t>PSCell</w:t>
            </w:r>
            <w:proofErr w:type="spellEnd"/>
            <w:r w:rsidRPr="00584246">
              <w:rPr>
                <w:lang w:val="en-US" w:eastAsia="ja-JP"/>
              </w:rPr>
              <w:t xml:space="preserve">. </w:t>
            </w:r>
            <w:r w:rsidRPr="00584246">
              <w:rPr>
                <w:rFonts w:hint="eastAsia"/>
                <w:lang w:val="en-US" w:eastAsia="ja-JP"/>
              </w:rPr>
              <w:t>This procedure is used to establish SCG, and can be used to reconfigure the SCG configuration.</w:t>
            </w:r>
          </w:p>
        </w:tc>
      </w:tr>
      <w:tr w:rsidR="00D25986" w:rsidRPr="00BB5768" w14:paraId="20B8AA92" w14:textId="6F89A050" w:rsidTr="00753796">
        <w:tc>
          <w:tcPr>
            <w:tcW w:w="2808" w:type="dxa"/>
          </w:tcPr>
          <w:p w14:paraId="0BC50760" w14:textId="77777777" w:rsidR="00D25986" w:rsidRPr="00BB5768" w:rsidRDefault="00D25986" w:rsidP="00753796">
            <w:pPr>
              <w:ind w:left="148"/>
            </w:pPr>
            <w:proofErr w:type="spellStart"/>
            <w:r w:rsidRPr="00BB5768">
              <w:t>eNB</w:t>
            </w:r>
            <w:proofErr w:type="spellEnd"/>
            <w:r w:rsidRPr="00BB5768">
              <w:t xml:space="preserve"> to </w:t>
            </w:r>
            <w:proofErr w:type="spellStart"/>
            <w:r w:rsidRPr="00BB5768">
              <w:t>MeNB</w:t>
            </w:r>
            <w:proofErr w:type="spellEnd"/>
            <w:r w:rsidRPr="00BB5768">
              <w:t xml:space="preserve"> change</w:t>
            </w:r>
          </w:p>
        </w:tc>
        <w:tc>
          <w:tcPr>
            <w:tcW w:w="5103" w:type="dxa"/>
          </w:tcPr>
          <w:p w14:paraId="0DD81BB2" w14:textId="4035AAC1" w:rsidR="00D25986" w:rsidRPr="00BB5768" w:rsidRDefault="0059014A" w:rsidP="00753796">
            <w:pPr>
              <w:ind w:left="61" w:right="-18"/>
            </w:pPr>
            <w:r w:rsidRPr="0053768B">
              <w:rPr>
                <w:rFonts w:hint="eastAsia"/>
                <w:lang w:val="en-US" w:eastAsia="ja-JP"/>
              </w:rPr>
              <w:t xml:space="preserve">The </w:t>
            </w:r>
            <w:proofErr w:type="spellStart"/>
            <w:r w:rsidRPr="0053768B">
              <w:rPr>
                <w:rFonts w:hint="eastAsia"/>
                <w:lang w:val="en-US" w:eastAsia="ja-JP"/>
              </w:rPr>
              <w:t>eNB</w:t>
            </w:r>
            <w:proofErr w:type="spellEnd"/>
            <w:r w:rsidRPr="0053768B">
              <w:rPr>
                <w:rFonts w:hint="eastAsia"/>
                <w:lang w:val="en-US" w:eastAsia="ja-JP"/>
              </w:rPr>
              <w:t xml:space="preserve"> to </w:t>
            </w:r>
            <w:proofErr w:type="spellStart"/>
            <w:r w:rsidRPr="0053768B">
              <w:rPr>
                <w:rFonts w:hint="eastAsia"/>
                <w:lang w:val="en-US" w:eastAsia="ja-JP"/>
              </w:rPr>
              <w:t>MeNB</w:t>
            </w:r>
            <w:proofErr w:type="spellEnd"/>
            <w:r w:rsidRPr="0053768B">
              <w:rPr>
                <w:rFonts w:hint="eastAsia"/>
                <w:lang w:val="en-US" w:eastAsia="ja-JP"/>
              </w:rPr>
              <w:t xml:space="preserve"> change</w:t>
            </w:r>
            <w:r w:rsidRPr="0053768B">
              <w:rPr>
                <w:lang w:val="en-US"/>
              </w:rPr>
              <w:t xml:space="preserve"> </w:t>
            </w:r>
            <w:r w:rsidRPr="0053768B">
              <w:rPr>
                <w:rFonts w:hint="eastAsia"/>
                <w:lang w:val="en-US" w:eastAsia="ja-JP"/>
              </w:rPr>
              <w:t>procedure</w:t>
            </w:r>
            <w:r>
              <w:rPr>
                <w:rFonts w:hint="eastAsia"/>
                <w:lang w:val="en-US" w:eastAsia="ja-JP"/>
              </w:rPr>
              <w:t xml:space="preserve"> </w:t>
            </w:r>
            <w:r w:rsidRPr="00144A22">
              <w:rPr>
                <w:rFonts w:hint="eastAsia"/>
                <w:lang w:val="en-US"/>
              </w:rPr>
              <w:t xml:space="preserve">is used </w:t>
            </w:r>
            <w:r w:rsidRPr="00144A22">
              <w:rPr>
                <w:lang w:val="en-US"/>
              </w:rPr>
              <w:t>to</w:t>
            </w:r>
            <w:r>
              <w:rPr>
                <w:lang w:val="en-US"/>
              </w:rPr>
              <w:t xml:space="preserve"> transfer context data from a source </w:t>
            </w:r>
            <w:proofErr w:type="spellStart"/>
            <w:r>
              <w:rPr>
                <w:lang w:val="en-US"/>
              </w:rPr>
              <w:t>eNB</w:t>
            </w:r>
            <w:proofErr w:type="spellEnd"/>
            <w:r>
              <w:rPr>
                <w:lang w:val="en-US"/>
              </w:rPr>
              <w:t xml:space="preserve"> to a target </w:t>
            </w:r>
            <w:proofErr w:type="spellStart"/>
            <w:r>
              <w:rPr>
                <w:rFonts w:hint="eastAsia"/>
                <w:lang w:val="en-US"/>
              </w:rPr>
              <w:t>M</w:t>
            </w:r>
            <w:r>
              <w:rPr>
                <w:lang w:val="en-US"/>
              </w:rPr>
              <w:t>eNB</w:t>
            </w:r>
            <w:proofErr w:type="spellEnd"/>
            <w:r>
              <w:rPr>
                <w:rFonts w:hint="eastAsia"/>
                <w:lang w:val="en-US"/>
              </w:rPr>
              <w:t xml:space="preserve"> that adds an </w:t>
            </w:r>
            <w:proofErr w:type="spellStart"/>
            <w:r>
              <w:rPr>
                <w:rFonts w:hint="eastAsia"/>
                <w:lang w:val="en-US"/>
              </w:rPr>
              <w:t>SeNB</w:t>
            </w:r>
            <w:proofErr w:type="spellEnd"/>
            <w:r>
              <w:rPr>
                <w:rFonts w:hint="eastAsia"/>
                <w:lang w:val="en-US"/>
              </w:rPr>
              <w:t xml:space="preserve"> during the handover</w:t>
            </w:r>
            <w:r w:rsidRPr="00022958">
              <w:rPr>
                <w:lang w:val="en-US"/>
              </w:rPr>
              <w:t>.</w:t>
            </w:r>
          </w:p>
        </w:tc>
      </w:tr>
      <w:tr w:rsidR="00D25986" w14:paraId="75E58F16" w14:textId="36AB2E3E" w:rsidTr="00753796">
        <w:tc>
          <w:tcPr>
            <w:tcW w:w="2808" w:type="dxa"/>
          </w:tcPr>
          <w:p w14:paraId="67745B75" w14:textId="77777777" w:rsidR="00D25986" w:rsidRDefault="00D25986" w:rsidP="00753796">
            <w:pPr>
              <w:ind w:left="148"/>
            </w:pPr>
            <w:r w:rsidRPr="00BB5768">
              <w:t>Inter-</w:t>
            </w:r>
            <w:proofErr w:type="spellStart"/>
            <w:r w:rsidRPr="00BB5768">
              <w:t>MeNB</w:t>
            </w:r>
            <w:proofErr w:type="spellEnd"/>
            <w:r w:rsidRPr="00BB5768">
              <w:t xml:space="preserve"> handover without </w:t>
            </w:r>
            <w:proofErr w:type="spellStart"/>
            <w:r w:rsidRPr="00BB5768">
              <w:t>SeNB</w:t>
            </w:r>
            <w:proofErr w:type="spellEnd"/>
            <w:r w:rsidRPr="00BB5768">
              <w:t xml:space="preserve"> change</w:t>
            </w:r>
          </w:p>
        </w:tc>
        <w:tc>
          <w:tcPr>
            <w:tcW w:w="5103" w:type="dxa"/>
          </w:tcPr>
          <w:p w14:paraId="6019CB4D" w14:textId="67B7DA1C" w:rsidR="00D25986" w:rsidRPr="00BB5768" w:rsidRDefault="00E5250C" w:rsidP="00753796">
            <w:pPr>
              <w:ind w:left="61" w:right="-18"/>
            </w:pPr>
            <w:r>
              <w:rPr>
                <w:lang w:val="en-US"/>
              </w:rPr>
              <w:t>I</w:t>
            </w:r>
            <w:r>
              <w:rPr>
                <w:rFonts w:hint="eastAsia"/>
                <w:lang w:val="en-US"/>
              </w:rPr>
              <w:t>nter-</w:t>
            </w:r>
            <w:proofErr w:type="spellStart"/>
            <w:r>
              <w:rPr>
                <w:rFonts w:hint="eastAsia"/>
                <w:lang w:val="en-US"/>
              </w:rPr>
              <w:t>MeNB</w:t>
            </w:r>
            <w:proofErr w:type="spellEnd"/>
            <w:r>
              <w:rPr>
                <w:rFonts w:hint="eastAsia"/>
                <w:lang w:val="en-US"/>
              </w:rPr>
              <w:t xml:space="preserve"> handover without </w:t>
            </w:r>
            <w:proofErr w:type="spellStart"/>
            <w:r>
              <w:rPr>
                <w:rFonts w:hint="eastAsia"/>
                <w:lang w:val="en-US"/>
              </w:rPr>
              <w:t>SeNB</w:t>
            </w:r>
            <w:proofErr w:type="spellEnd"/>
            <w:r>
              <w:rPr>
                <w:rFonts w:hint="eastAsia"/>
                <w:lang w:val="en-US"/>
              </w:rPr>
              <w:t xml:space="preserve"> change</w:t>
            </w:r>
            <w:r>
              <w:rPr>
                <w:lang w:val="en-US"/>
              </w:rPr>
              <w:t xml:space="preserve"> </w:t>
            </w:r>
            <w:r w:rsidRPr="00144A22">
              <w:rPr>
                <w:rFonts w:hint="eastAsia"/>
                <w:lang w:val="en-US"/>
              </w:rPr>
              <w:t xml:space="preserve">is used </w:t>
            </w:r>
            <w:r w:rsidRPr="00144A22">
              <w:rPr>
                <w:lang w:val="en-US"/>
              </w:rPr>
              <w:t>to</w:t>
            </w:r>
            <w:r>
              <w:rPr>
                <w:lang w:val="en-US"/>
              </w:rPr>
              <w:t xml:space="preserve"> transfer context data from a source </w:t>
            </w:r>
            <w:proofErr w:type="spellStart"/>
            <w:r>
              <w:rPr>
                <w:lang w:val="en-US"/>
              </w:rPr>
              <w:t>MeNB</w:t>
            </w:r>
            <w:proofErr w:type="spellEnd"/>
            <w:r>
              <w:rPr>
                <w:lang w:val="en-US"/>
              </w:rPr>
              <w:t xml:space="preserve"> to a target </w:t>
            </w:r>
            <w:proofErr w:type="spellStart"/>
            <w:r>
              <w:rPr>
                <w:rFonts w:hint="eastAsia"/>
                <w:lang w:val="en-US"/>
              </w:rPr>
              <w:t>M</w:t>
            </w:r>
            <w:r>
              <w:rPr>
                <w:lang w:val="en-US"/>
              </w:rPr>
              <w:t>eNB</w:t>
            </w:r>
            <w:proofErr w:type="spellEnd"/>
            <w:r>
              <w:rPr>
                <w:rFonts w:hint="eastAsia"/>
                <w:lang w:val="en-US"/>
              </w:rPr>
              <w:t xml:space="preserve"> while the context at the </w:t>
            </w:r>
            <w:proofErr w:type="spellStart"/>
            <w:r>
              <w:rPr>
                <w:rFonts w:hint="eastAsia"/>
                <w:lang w:val="en-US"/>
              </w:rPr>
              <w:t>SeNB</w:t>
            </w:r>
            <w:proofErr w:type="spellEnd"/>
            <w:r>
              <w:rPr>
                <w:rFonts w:hint="eastAsia"/>
                <w:lang w:val="en-US"/>
              </w:rPr>
              <w:t xml:space="preserve"> is kept</w:t>
            </w:r>
          </w:p>
        </w:tc>
      </w:tr>
    </w:tbl>
    <w:p w14:paraId="3671E893" w14:textId="6DD50B86" w:rsidR="00BF387D" w:rsidRDefault="00BF387D" w:rsidP="008307E2"/>
    <w:p w14:paraId="3671E894" w14:textId="1BC10F75" w:rsidR="00402F1C" w:rsidRDefault="00402F1C" w:rsidP="00402F1C">
      <w:pPr>
        <w:spacing w:after="0"/>
      </w:pPr>
      <w:r>
        <w:t>It seems reasonable to consider supporting (at least) the same procedures for EN-DC.</w:t>
      </w:r>
      <w:r w:rsidR="00BF387D">
        <w:t xml:space="preserve">  The following table discusses these in detail</w:t>
      </w:r>
      <w:r w:rsidR="00A1398A">
        <w:t xml:space="preserve"> (procedure names updated to reflect terms for NR SCG)</w:t>
      </w:r>
      <w:r w:rsidR="00BF387D">
        <w:t>.  SCG change is discussed in more detail in the later section.</w:t>
      </w:r>
    </w:p>
    <w:p w14:paraId="3671E895" w14:textId="77777777" w:rsidR="00BF387D" w:rsidRDefault="00BF387D" w:rsidP="00402F1C">
      <w:pPr>
        <w:spacing w:after="0"/>
      </w:pPr>
    </w:p>
    <w:tbl>
      <w:tblPr>
        <w:tblStyle w:val="TableGrid"/>
        <w:tblW w:w="0" w:type="auto"/>
        <w:tblInd w:w="137" w:type="dxa"/>
        <w:tblLook w:val="04A0" w:firstRow="1" w:lastRow="0" w:firstColumn="1" w:lastColumn="0" w:noHBand="0" w:noVBand="1"/>
      </w:tblPr>
      <w:tblGrid>
        <w:gridCol w:w="1771"/>
        <w:gridCol w:w="1192"/>
        <w:gridCol w:w="2106"/>
        <w:gridCol w:w="3578"/>
      </w:tblGrid>
      <w:tr w:rsidR="00463898" w:rsidRPr="00FC0689" w14:paraId="3671E89A" w14:textId="77777777" w:rsidTr="002169F6">
        <w:tc>
          <w:tcPr>
            <w:tcW w:w="1771" w:type="dxa"/>
          </w:tcPr>
          <w:p w14:paraId="70CA66FB" w14:textId="77777777" w:rsidR="002169F6" w:rsidRDefault="00741BB0" w:rsidP="00B50531">
            <w:pPr>
              <w:rPr>
                <w:b/>
                <w:i/>
              </w:rPr>
            </w:pPr>
            <w:r w:rsidRPr="00FC0689">
              <w:rPr>
                <w:b/>
                <w:i/>
              </w:rPr>
              <w:t>Procedure</w:t>
            </w:r>
            <w:r w:rsidR="002169F6">
              <w:rPr>
                <w:b/>
                <w:i/>
              </w:rPr>
              <w:t>/</w:t>
            </w:r>
          </w:p>
          <w:p w14:paraId="3671E896" w14:textId="1FDDA218" w:rsidR="00741BB0" w:rsidRPr="00FC0689" w:rsidRDefault="002169F6" w:rsidP="00B50531">
            <w:pPr>
              <w:rPr>
                <w:b/>
                <w:i/>
              </w:rPr>
            </w:pPr>
            <w:r>
              <w:rPr>
                <w:b/>
                <w:i/>
              </w:rPr>
              <w:t>Scenario</w:t>
            </w:r>
          </w:p>
        </w:tc>
        <w:tc>
          <w:tcPr>
            <w:tcW w:w="1192" w:type="dxa"/>
          </w:tcPr>
          <w:p w14:paraId="3671E897" w14:textId="77777777" w:rsidR="00741BB0" w:rsidRPr="00FC0689" w:rsidRDefault="00BF387D" w:rsidP="00B50531">
            <w:pPr>
              <w:rPr>
                <w:b/>
                <w:i/>
              </w:rPr>
            </w:pPr>
            <w:r w:rsidRPr="00FC0689">
              <w:rPr>
                <w:b/>
                <w:i/>
              </w:rPr>
              <w:t>Initiating</w:t>
            </w:r>
            <w:r w:rsidR="00741BB0" w:rsidRPr="00FC0689">
              <w:rPr>
                <w:b/>
                <w:i/>
              </w:rPr>
              <w:t xml:space="preserve"> node</w:t>
            </w:r>
          </w:p>
        </w:tc>
        <w:tc>
          <w:tcPr>
            <w:tcW w:w="2106" w:type="dxa"/>
          </w:tcPr>
          <w:p w14:paraId="3671E898" w14:textId="77777777" w:rsidR="00741BB0" w:rsidRPr="00FC0689" w:rsidRDefault="00741BB0" w:rsidP="00B50531">
            <w:pPr>
              <w:rPr>
                <w:b/>
                <w:i/>
              </w:rPr>
            </w:pPr>
            <w:r w:rsidRPr="00FC0689">
              <w:rPr>
                <w:b/>
                <w:i/>
              </w:rPr>
              <w:t>Information exchange between network nodes</w:t>
            </w:r>
          </w:p>
        </w:tc>
        <w:tc>
          <w:tcPr>
            <w:tcW w:w="3578" w:type="dxa"/>
          </w:tcPr>
          <w:p w14:paraId="3671E899" w14:textId="77777777" w:rsidR="00741BB0" w:rsidRPr="00FC0689" w:rsidRDefault="00741BB0" w:rsidP="00741BB0">
            <w:pPr>
              <w:rPr>
                <w:b/>
                <w:i/>
              </w:rPr>
            </w:pPr>
            <w:r w:rsidRPr="00FC0689">
              <w:rPr>
                <w:b/>
                <w:i/>
              </w:rPr>
              <w:t>Other comments</w:t>
            </w:r>
          </w:p>
        </w:tc>
      </w:tr>
      <w:tr w:rsidR="00463898" w:rsidRPr="00B62314" w14:paraId="3671E89F" w14:textId="77777777" w:rsidTr="002169F6">
        <w:tc>
          <w:tcPr>
            <w:tcW w:w="1771" w:type="dxa"/>
          </w:tcPr>
          <w:p w14:paraId="3671E89B" w14:textId="15DDE179" w:rsidR="00741BB0" w:rsidRPr="00B62314" w:rsidRDefault="00741BB0" w:rsidP="002169F6">
            <w:pPr>
              <w:ind w:left="-9" w:firstLine="9"/>
            </w:pPr>
            <w:proofErr w:type="spellStart"/>
            <w:r w:rsidRPr="00B62314">
              <w:t>S</w:t>
            </w:r>
            <w:r w:rsidR="005F2D8C">
              <w:t>g</w:t>
            </w:r>
            <w:r w:rsidRPr="00B62314">
              <w:t>NB</w:t>
            </w:r>
            <w:proofErr w:type="spellEnd"/>
            <w:r w:rsidRPr="00B62314">
              <w:t xml:space="preserve"> Addition: </w:t>
            </w:r>
          </w:p>
        </w:tc>
        <w:tc>
          <w:tcPr>
            <w:tcW w:w="1192" w:type="dxa"/>
          </w:tcPr>
          <w:p w14:paraId="3671E89C" w14:textId="77777777" w:rsidR="00741BB0" w:rsidRPr="00B62314" w:rsidRDefault="00F455B3" w:rsidP="00B50531">
            <w:r>
              <w:t>MN</w:t>
            </w:r>
          </w:p>
        </w:tc>
        <w:tc>
          <w:tcPr>
            <w:tcW w:w="2106" w:type="dxa"/>
          </w:tcPr>
          <w:p w14:paraId="3671E89D" w14:textId="77777777" w:rsidR="00741BB0" w:rsidRPr="00B62314" w:rsidRDefault="00741BB0" w:rsidP="00B50531">
            <w:r>
              <w:t>SCG measurements provided by MN to SN as part of the SCG addition request</w:t>
            </w:r>
          </w:p>
        </w:tc>
        <w:tc>
          <w:tcPr>
            <w:tcW w:w="3578" w:type="dxa"/>
          </w:tcPr>
          <w:p w14:paraId="3671E89E" w14:textId="77777777" w:rsidR="00741BB0" w:rsidRDefault="00741BB0" w:rsidP="00B50531">
            <w:r>
              <w:t>MN configures SCG measurements, UE provides measurement reports to MN</w:t>
            </w:r>
            <w:r w:rsidR="00463898">
              <w:t>. MN requests SN to provide SN configuration that MN can send to UE.</w:t>
            </w:r>
          </w:p>
        </w:tc>
      </w:tr>
      <w:tr w:rsidR="00463898" w:rsidRPr="00B62314" w14:paraId="3671E8A4" w14:textId="77777777" w:rsidTr="002169F6">
        <w:tc>
          <w:tcPr>
            <w:tcW w:w="1771" w:type="dxa"/>
          </w:tcPr>
          <w:p w14:paraId="3671E8A0" w14:textId="7C1FAD07" w:rsidR="00741BB0" w:rsidRPr="00FC0689" w:rsidRDefault="00741BB0" w:rsidP="00B50531">
            <w:proofErr w:type="spellStart"/>
            <w:r w:rsidRPr="00FC0689">
              <w:t>S</w:t>
            </w:r>
            <w:r w:rsidR="00DF65B4">
              <w:t>g</w:t>
            </w:r>
            <w:r w:rsidRPr="00FC0689">
              <w:t>NB</w:t>
            </w:r>
            <w:proofErr w:type="spellEnd"/>
            <w:r w:rsidRPr="00FC0689">
              <w:t xml:space="preserve"> Modification</w:t>
            </w:r>
          </w:p>
        </w:tc>
        <w:tc>
          <w:tcPr>
            <w:tcW w:w="1192" w:type="dxa"/>
          </w:tcPr>
          <w:p w14:paraId="3671E8A1" w14:textId="204934F0" w:rsidR="00741BB0" w:rsidRPr="00FC0689" w:rsidRDefault="00F455B3" w:rsidP="00B50531">
            <w:r w:rsidRPr="00FC0689">
              <w:t>SN</w:t>
            </w:r>
            <w:r w:rsidR="006B049E">
              <w:t xml:space="preserve"> or MN</w:t>
            </w:r>
          </w:p>
        </w:tc>
        <w:tc>
          <w:tcPr>
            <w:tcW w:w="2106" w:type="dxa"/>
          </w:tcPr>
          <w:p w14:paraId="3671E8A2" w14:textId="77777777" w:rsidR="00741BB0" w:rsidRPr="00FC0689" w:rsidRDefault="000E78C4" w:rsidP="00B50531">
            <w:r>
              <w:t>FFS</w:t>
            </w:r>
          </w:p>
        </w:tc>
        <w:tc>
          <w:tcPr>
            <w:tcW w:w="3578" w:type="dxa"/>
          </w:tcPr>
          <w:p w14:paraId="3671E8A3" w14:textId="663DF015" w:rsidR="00741BB0" w:rsidRPr="00B62314" w:rsidRDefault="00FC0689" w:rsidP="00FC0689">
            <w:r>
              <w:t>This procedure is typically used in LTE for DRB changes, which do not require measurements.</w:t>
            </w:r>
            <w:r w:rsidR="000E78C4">
              <w:t xml:space="preserve">  Details are FFS</w:t>
            </w:r>
          </w:p>
        </w:tc>
      </w:tr>
      <w:tr w:rsidR="00463898" w:rsidRPr="00B62314" w14:paraId="3671E8A9" w14:textId="77777777" w:rsidTr="002169F6">
        <w:tc>
          <w:tcPr>
            <w:tcW w:w="1771" w:type="dxa"/>
          </w:tcPr>
          <w:p w14:paraId="3671E8A5" w14:textId="71305049" w:rsidR="00741BB0" w:rsidRPr="00B62314" w:rsidRDefault="00741BB0" w:rsidP="00B50531">
            <w:proofErr w:type="spellStart"/>
            <w:r w:rsidRPr="00B62314">
              <w:t>S</w:t>
            </w:r>
            <w:r w:rsidR="00DF65B4">
              <w:t>g</w:t>
            </w:r>
            <w:r w:rsidRPr="00B62314">
              <w:t>NB</w:t>
            </w:r>
            <w:proofErr w:type="spellEnd"/>
            <w:r w:rsidRPr="00B62314">
              <w:t xml:space="preserve"> Release</w:t>
            </w:r>
          </w:p>
        </w:tc>
        <w:tc>
          <w:tcPr>
            <w:tcW w:w="1192" w:type="dxa"/>
          </w:tcPr>
          <w:p w14:paraId="3671E8A6" w14:textId="77777777" w:rsidR="00741BB0" w:rsidRPr="00B62314" w:rsidRDefault="00F455B3" w:rsidP="00F455B3">
            <w:r>
              <w:t>MN or SN, but signalled by MN to UE</w:t>
            </w:r>
          </w:p>
        </w:tc>
        <w:tc>
          <w:tcPr>
            <w:tcW w:w="2106" w:type="dxa"/>
          </w:tcPr>
          <w:p w14:paraId="3671E8A7" w14:textId="15AD21C2" w:rsidR="00741BB0" w:rsidRPr="00B62314" w:rsidRDefault="001132F5" w:rsidP="00072602">
            <w:r>
              <w:t>Information about release of S</w:t>
            </w:r>
            <w:r w:rsidR="00461DF6">
              <w:t>N</w:t>
            </w:r>
            <w:r w:rsidR="00CB3AB1">
              <w:t xml:space="preserve"> from </w:t>
            </w:r>
            <w:r w:rsidR="005F2D8C">
              <w:t xml:space="preserve">SN </w:t>
            </w:r>
            <w:r w:rsidR="00CB3AB1">
              <w:t xml:space="preserve">node to </w:t>
            </w:r>
            <w:r w:rsidR="005F2D8C">
              <w:t>MN</w:t>
            </w:r>
            <w:r w:rsidR="00CB3AB1">
              <w:t>.</w:t>
            </w:r>
            <w:r w:rsidR="005F2D8C">
              <w:t xml:space="preserve">  (MN provides the release of SN information to UE as an </w:t>
            </w:r>
            <w:r w:rsidR="00072602">
              <w:t>MCG</w:t>
            </w:r>
            <w:r w:rsidR="005F2D8C">
              <w:t xml:space="preserve"> only message)</w:t>
            </w:r>
          </w:p>
        </w:tc>
        <w:tc>
          <w:tcPr>
            <w:tcW w:w="3578" w:type="dxa"/>
          </w:tcPr>
          <w:p w14:paraId="3671E8A8" w14:textId="7D0F0A57" w:rsidR="00741BB0" w:rsidRPr="00B62314" w:rsidRDefault="00072602" w:rsidP="00072602">
            <w:r>
              <w:t>SCG release is s</w:t>
            </w:r>
            <w:r w:rsidR="00FE680F">
              <w:t xml:space="preserve">ignalled to the UE </w:t>
            </w:r>
            <w:r>
              <w:t>directly  by the MN in the MCG configuration (no encapsulated SCG configuration)</w:t>
            </w:r>
            <w:r w:rsidR="00FE680F">
              <w:t xml:space="preserve"> </w:t>
            </w:r>
          </w:p>
        </w:tc>
      </w:tr>
      <w:tr w:rsidR="00463898" w:rsidRPr="00B62314" w14:paraId="3671E8AE" w14:textId="77777777" w:rsidTr="002169F6">
        <w:tc>
          <w:tcPr>
            <w:tcW w:w="1771" w:type="dxa"/>
          </w:tcPr>
          <w:p w14:paraId="3671E8AA" w14:textId="5736200A" w:rsidR="00741BB0" w:rsidRPr="00B62314" w:rsidRDefault="00741BB0" w:rsidP="00B50531">
            <w:proofErr w:type="spellStart"/>
            <w:r w:rsidRPr="00B62314">
              <w:t>MeNB</w:t>
            </w:r>
            <w:proofErr w:type="spellEnd"/>
            <w:r w:rsidRPr="00B62314">
              <w:t xml:space="preserve"> to </w:t>
            </w:r>
            <w:proofErr w:type="spellStart"/>
            <w:r w:rsidRPr="00B62314">
              <w:t>eNB</w:t>
            </w:r>
            <w:proofErr w:type="spellEnd"/>
            <w:r w:rsidRPr="00B62314">
              <w:t xml:space="preserve"> Change</w:t>
            </w:r>
            <w:r w:rsidR="00072602">
              <w:t xml:space="preserve"> (inter-</w:t>
            </w:r>
            <w:proofErr w:type="spellStart"/>
            <w:r w:rsidR="00072602">
              <w:t>MeNB</w:t>
            </w:r>
            <w:proofErr w:type="spellEnd"/>
            <w:r w:rsidR="00072602">
              <w:t xml:space="preserve"> HO with SCG release)</w:t>
            </w:r>
          </w:p>
        </w:tc>
        <w:tc>
          <w:tcPr>
            <w:tcW w:w="1192" w:type="dxa"/>
          </w:tcPr>
          <w:p w14:paraId="3671E8AB" w14:textId="77777777" w:rsidR="00741BB0" w:rsidRPr="00B62314" w:rsidRDefault="000445E3" w:rsidP="00B50531">
            <w:r>
              <w:t>MN</w:t>
            </w:r>
          </w:p>
        </w:tc>
        <w:tc>
          <w:tcPr>
            <w:tcW w:w="2106" w:type="dxa"/>
          </w:tcPr>
          <w:p w14:paraId="3671E8AC" w14:textId="5C6C37ED" w:rsidR="00741BB0" w:rsidRPr="00B62314" w:rsidRDefault="001132F5" w:rsidP="00461DF6">
            <w:r>
              <w:t>Information about release of S</w:t>
            </w:r>
            <w:r w:rsidR="00461DF6">
              <w:t>N</w:t>
            </w:r>
            <w:r w:rsidR="00CB3AB1">
              <w:t xml:space="preserve"> to SN</w:t>
            </w:r>
            <w:r w:rsidR="00DF65B4">
              <w:t>.  (MN provides the release of SN information to UE as an MCG only message)</w:t>
            </w:r>
          </w:p>
        </w:tc>
        <w:tc>
          <w:tcPr>
            <w:tcW w:w="3578" w:type="dxa"/>
          </w:tcPr>
          <w:p w14:paraId="3671E8AD" w14:textId="450C9A80" w:rsidR="00741BB0" w:rsidRPr="00B62314" w:rsidRDefault="00DF65B4" w:rsidP="00DF65B4">
            <w:r>
              <w:t xml:space="preserve">SCG release is signalled to the UE directly  by the MN in the MCG configuration (no encapsulated SCG configuration) </w:t>
            </w:r>
          </w:p>
        </w:tc>
      </w:tr>
      <w:tr w:rsidR="00463898" w:rsidRPr="00B62314" w14:paraId="3671E8B3" w14:textId="77777777" w:rsidTr="002169F6">
        <w:tc>
          <w:tcPr>
            <w:tcW w:w="1771" w:type="dxa"/>
          </w:tcPr>
          <w:p w14:paraId="3671E8AF" w14:textId="0635544D" w:rsidR="006B3A6A" w:rsidRPr="00B62314" w:rsidRDefault="006B3A6A" w:rsidP="006B3A6A">
            <w:proofErr w:type="spellStart"/>
            <w:r w:rsidRPr="00B62314">
              <w:t>eNB</w:t>
            </w:r>
            <w:proofErr w:type="spellEnd"/>
            <w:r w:rsidRPr="00B62314">
              <w:t xml:space="preserve"> to </w:t>
            </w:r>
            <w:proofErr w:type="spellStart"/>
            <w:r w:rsidRPr="00B62314">
              <w:t>MeNB</w:t>
            </w:r>
            <w:proofErr w:type="spellEnd"/>
            <w:r w:rsidRPr="00B62314">
              <w:t xml:space="preserve"> change</w:t>
            </w:r>
            <w:r w:rsidR="00DF65B4">
              <w:t xml:space="preserve"> (inter-</w:t>
            </w:r>
            <w:proofErr w:type="spellStart"/>
            <w:r w:rsidR="00DF65B4">
              <w:t>MeNB</w:t>
            </w:r>
            <w:proofErr w:type="spellEnd"/>
            <w:r w:rsidR="00DF65B4">
              <w:t xml:space="preserve"> HO with SCG addition)</w:t>
            </w:r>
          </w:p>
        </w:tc>
        <w:tc>
          <w:tcPr>
            <w:tcW w:w="1192" w:type="dxa"/>
          </w:tcPr>
          <w:p w14:paraId="3671E8B0" w14:textId="77777777" w:rsidR="006B3A6A" w:rsidRPr="00B62314" w:rsidRDefault="006B3A6A" w:rsidP="006B3A6A">
            <w:r>
              <w:t>MN</w:t>
            </w:r>
          </w:p>
        </w:tc>
        <w:tc>
          <w:tcPr>
            <w:tcW w:w="2106" w:type="dxa"/>
          </w:tcPr>
          <w:p w14:paraId="3671E8B1" w14:textId="77777777" w:rsidR="006B3A6A" w:rsidRPr="00B62314" w:rsidRDefault="006B3A6A" w:rsidP="006B3A6A">
            <w:r>
              <w:t>SCG measurements provided by MN to SN as part of the SCG addition request</w:t>
            </w:r>
          </w:p>
        </w:tc>
        <w:tc>
          <w:tcPr>
            <w:tcW w:w="3578" w:type="dxa"/>
          </w:tcPr>
          <w:p w14:paraId="3671E8B2" w14:textId="77777777" w:rsidR="006B3A6A" w:rsidRDefault="006B3A6A" w:rsidP="00463898">
            <w:r>
              <w:t>MN configures SCG measurements, UE provides measurement reports to MN</w:t>
            </w:r>
            <w:r w:rsidR="00463898">
              <w:t>.  MN requests SN to provide SN configuration that MN can send to UE.</w:t>
            </w:r>
          </w:p>
        </w:tc>
      </w:tr>
      <w:tr w:rsidR="00463898" w:rsidRPr="00B62314" w14:paraId="3671E8B8" w14:textId="77777777" w:rsidTr="002169F6">
        <w:tc>
          <w:tcPr>
            <w:tcW w:w="1771" w:type="dxa"/>
          </w:tcPr>
          <w:p w14:paraId="3671E8B4" w14:textId="0F8FF3C0" w:rsidR="006B3A6A" w:rsidRPr="00B62314" w:rsidRDefault="006B3A6A" w:rsidP="006B3A6A">
            <w:r w:rsidRPr="00B62314">
              <w:t>Inter-</w:t>
            </w:r>
            <w:proofErr w:type="spellStart"/>
            <w:r w:rsidRPr="00B62314">
              <w:t>MeNB</w:t>
            </w:r>
            <w:proofErr w:type="spellEnd"/>
            <w:r w:rsidRPr="00B62314">
              <w:t xml:space="preserve"> handover without </w:t>
            </w:r>
            <w:proofErr w:type="spellStart"/>
            <w:r w:rsidRPr="00B62314">
              <w:t>S</w:t>
            </w:r>
            <w:r w:rsidR="00DF65B4">
              <w:t>g</w:t>
            </w:r>
            <w:r w:rsidRPr="00B62314">
              <w:t>NB</w:t>
            </w:r>
            <w:proofErr w:type="spellEnd"/>
            <w:r w:rsidRPr="00B62314">
              <w:t xml:space="preserve"> change</w:t>
            </w:r>
          </w:p>
        </w:tc>
        <w:tc>
          <w:tcPr>
            <w:tcW w:w="1192" w:type="dxa"/>
          </w:tcPr>
          <w:p w14:paraId="3671E8B5" w14:textId="77777777" w:rsidR="006B3A6A" w:rsidRPr="00B62314" w:rsidRDefault="006B3A6A" w:rsidP="006B3A6A">
            <w:r>
              <w:t>MN</w:t>
            </w:r>
          </w:p>
        </w:tc>
        <w:tc>
          <w:tcPr>
            <w:tcW w:w="2106" w:type="dxa"/>
          </w:tcPr>
          <w:p w14:paraId="3671E8B6" w14:textId="6E2CA9C8" w:rsidR="006B3A6A" w:rsidRPr="00B62314" w:rsidRDefault="002169F6" w:rsidP="00CB3AB1">
            <w:r>
              <w:t xml:space="preserve">SCG </w:t>
            </w:r>
            <w:r w:rsidR="00CB3AB1">
              <w:t xml:space="preserve">Release </w:t>
            </w:r>
            <w:r>
              <w:t xml:space="preserve">Request </w:t>
            </w:r>
            <w:r w:rsidR="00CB3AB1">
              <w:t xml:space="preserve">and </w:t>
            </w:r>
            <w:r>
              <w:t xml:space="preserve">SCG </w:t>
            </w:r>
            <w:r w:rsidR="00CB3AB1">
              <w:t xml:space="preserve">add </w:t>
            </w:r>
            <w:r>
              <w:t xml:space="preserve">request </w:t>
            </w:r>
            <w:r w:rsidR="00CB3AB1">
              <w:t>to the SN.</w:t>
            </w:r>
          </w:p>
        </w:tc>
        <w:tc>
          <w:tcPr>
            <w:tcW w:w="3578" w:type="dxa"/>
          </w:tcPr>
          <w:p w14:paraId="3671E8B7" w14:textId="77777777" w:rsidR="006B3A6A" w:rsidRPr="00B62314" w:rsidRDefault="00AF69FD" w:rsidP="00AF69FD">
            <w:r>
              <w:t>E</w:t>
            </w:r>
            <w:r w:rsidR="00CB3AB1">
              <w:t>xecuted as a combined “release/add” of the SN in one step.</w:t>
            </w:r>
          </w:p>
        </w:tc>
      </w:tr>
    </w:tbl>
    <w:p w14:paraId="3671E8B9" w14:textId="77777777" w:rsidR="00461DF6" w:rsidRDefault="00461DF6" w:rsidP="00402F1C">
      <w:pPr>
        <w:spacing w:after="0"/>
      </w:pPr>
    </w:p>
    <w:p w14:paraId="3671E8BA" w14:textId="2EA6ABD5" w:rsidR="00402F1C" w:rsidRPr="000E78C4" w:rsidRDefault="00461DF6" w:rsidP="00402F1C">
      <w:pPr>
        <w:spacing w:after="0"/>
        <w:rPr>
          <w:b/>
        </w:rPr>
      </w:pPr>
      <w:r w:rsidRPr="000E78C4">
        <w:rPr>
          <w:b/>
        </w:rPr>
        <w:t>Proposal</w:t>
      </w:r>
      <w:r w:rsidR="007D570D">
        <w:rPr>
          <w:b/>
        </w:rPr>
        <w:t xml:space="preserve"> #1</w:t>
      </w:r>
      <w:r w:rsidRPr="000E78C4">
        <w:rPr>
          <w:b/>
        </w:rPr>
        <w:t xml:space="preserve">: It is proposed to </w:t>
      </w:r>
      <w:r w:rsidR="007D570D">
        <w:rPr>
          <w:b/>
        </w:rPr>
        <w:t>support</w:t>
      </w:r>
      <w:r w:rsidRPr="000E78C4">
        <w:rPr>
          <w:b/>
        </w:rPr>
        <w:t xml:space="preserve"> the above </w:t>
      </w:r>
      <w:r w:rsidR="007D570D">
        <w:rPr>
          <w:b/>
        </w:rPr>
        <w:t>scenario</w:t>
      </w:r>
      <w:r w:rsidR="00DF65B4">
        <w:rPr>
          <w:b/>
        </w:rPr>
        <w:t xml:space="preserve"> for EN-DC</w:t>
      </w:r>
      <w:r w:rsidRPr="000E78C4">
        <w:rPr>
          <w:b/>
        </w:rPr>
        <w:t xml:space="preserve">, </w:t>
      </w:r>
      <w:r w:rsidR="007D570D">
        <w:rPr>
          <w:b/>
        </w:rPr>
        <w:t xml:space="preserve">and the corresponding </w:t>
      </w:r>
      <w:r w:rsidRPr="000E78C4">
        <w:rPr>
          <w:b/>
        </w:rPr>
        <w:t>initiating nodes and infor</w:t>
      </w:r>
      <w:r w:rsidR="000E78C4" w:rsidRPr="000E78C4">
        <w:rPr>
          <w:b/>
        </w:rPr>
        <w:t>mation exchange</w:t>
      </w:r>
      <w:r w:rsidR="007D570D">
        <w:rPr>
          <w:b/>
        </w:rPr>
        <w:t xml:space="preserve"> needed between the network nodes</w:t>
      </w:r>
      <w:r w:rsidR="000E78C4" w:rsidRPr="000E78C4">
        <w:rPr>
          <w:b/>
        </w:rPr>
        <w:t>.</w:t>
      </w:r>
    </w:p>
    <w:p w14:paraId="3671E8BB" w14:textId="77777777" w:rsidR="00461DF6" w:rsidRDefault="00461DF6" w:rsidP="00402F1C">
      <w:pPr>
        <w:spacing w:after="0"/>
      </w:pPr>
    </w:p>
    <w:p w14:paraId="3671E8BC" w14:textId="77777777" w:rsidR="00402F1C" w:rsidRDefault="00402F1C" w:rsidP="00402F1C">
      <w:pPr>
        <w:spacing w:after="0"/>
      </w:pPr>
    </w:p>
    <w:p w14:paraId="3671E8BD" w14:textId="6B66EFCD" w:rsidR="00402F1C" w:rsidRDefault="00B46AE2" w:rsidP="00695EBA">
      <w:pPr>
        <w:pStyle w:val="Heading2"/>
      </w:pPr>
      <w:r>
        <w:t>SCG</w:t>
      </w:r>
      <w:r w:rsidR="004E3EEA">
        <w:t xml:space="preserve"> and </w:t>
      </w:r>
      <w:proofErr w:type="spellStart"/>
      <w:r>
        <w:t>S</w:t>
      </w:r>
      <w:r w:rsidR="000937CA">
        <w:t>gNB</w:t>
      </w:r>
      <w:proofErr w:type="spellEnd"/>
      <w:r>
        <w:t xml:space="preserve"> change</w:t>
      </w:r>
    </w:p>
    <w:p w14:paraId="3671E8BE" w14:textId="77777777" w:rsidR="00B46AE2" w:rsidRDefault="00B46AE2" w:rsidP="00402F1C">
      <w:pPr>
        <w:spacing w:after="0"/>
      </w:pPr>
    </w:p>
    <w:p w14:paraId="3671E8BF" w14:textId="670A8574" w:rsidR="00B46AE2" w:rsidRDefault="00B46AE2" w:rsidP="00402F1C">
      <w:pPr>
        <w:spacing w:after="0"/>
      </w:pPr>
      <w:r>
        <w:t>SCG</w:t>
      </w:r>
      <w:r w:rsidR="004E3EEA">
        <w:t xml:space="preserve"> and </w:t>
      </w:r>
      <w:proofErr w:type="spellStart"/>
      <w:r>
        <w:t>S</w:t>
      </w:r>
      <w:r w:rsidR="000937CA">
        <w:t>g</w:t>
      </w:r>
      <w:r>
        <w:t>N</w:t>
      </w:r>
      <w:r w:rsidR="000937CA">
        <w:t>B</w:t>
      </w:r>
      <w:proofErr w:type="spellEnd"/>
      <w:r>
        <w:t xml:space="preserve"> change needs additional discussion since there are so many different triggers and combination of procedures it can happen with.  </w:t>
      </w:r>
      <w:r w:rsidR="00B97132">
        <w:t>Some examples are given below for an overview of the type of procedures and initiating node and nature of measurements needed:</w:t>
      </w:r>
    </w:p>
    <w:p w14:paraId="3671E8C0" w14:textId="77777777" w:rsidR="0008139E" w:rsidRDefault="0008139E" w:rsidP="00402F1C">
      <w:pPr>
        <w:spacing w:after="0"/>
      </w:pPr>
    </w:p>
    <w:tbl>
      <w:tblPr>
        <w:tblStyle w:val="TableGrid"/>
        <w:tblW w:w="8668" w:type="dxa"/>
        <w:tblInd w:w="137" w:type="dxa"/>
        <w:tblLook w:val="04A0" w:firstRow="1" w:lastRow="0" w:firstColumn="1" w:lastColumn="0" w:noHBand="0" w:noVBand="1"/>
      </w:tblPr>
      <w:tblGrid>
        <w:gridCol w:w="3260"/>
        <w:gridCol w:w="1054"/>
        <w:gridCol w:w="1881"/>
        <w:gridCol w:w="2473"/>
      </w:tblGrid>
      <w:tr w:rsidR="0093266C" w:rsidRPr="00FC0689" w14:paraId="3671E8C6" w14:textId="77777777" w:rsidTr="002169F6">
        <w:tc>
          <w:tcPr>
            <w:tcW w:w="3260" w:type="dxa"/>
          </w:tcPr>
          <w:p w14:paraId="3671E8C1" w14:textId="709789D6" w:rsidR="00B97132" w:rsidRPr="00FC0689" w:rsidRDefault="00B97132" w:rsidP="002169F6">
            <w:pPr>
              <w:ind w:hanging="51"/>
              <w:rPr>
                <w:b/>
                <w:i/>
              </w:rPr>
            </w:pPr>
            <w:r w:rsidRPr="00FC0689">
              <w:rPr>
                <w:b/>
                <w:i/>
              </w:rPr>
              <w:t>Procedure</w:t>
            </w:r>
            <w:r w:rsidR="001D767F">
              <w:rPr>
                <w:b/>
                <w:i/>
              </w:rPr>
              <w:t xml:space="preserve"> Scenario</w:t>
            </w:r>
          </w:p>
        </w:tc>
        <w:tc>
          <w:tcPr>
            <w:tcW w:w="1054" w:type="dxa"/>
          </w:tcPr>
          <w:p w14:paraId="3671E8C2" w14:textId="77777777" w:rsidR="0093266C" w:rsidRPr="00FC0689" w:rsidRDefault="00B97132" w:rsidP="00B97132">
            <w:pPr>
              <w:rPr>
                <w:b/>
                <w:i/>
              </w:rPr>
            </w:pPr>
            <w:r w:rsidRPr="00FC0689">
              <w:rPr>
                <w:b/>
                <w:i/>
              </w:rPr>
              <w:t>Init</w:t>
            </w:r>
            <w:r w:rsidR="0093266C" w:rsidRPr="00FC0689">
              <w:rPr>
                <w:b/>
                <w:i/>
              </w:rPr>
              <w:t>iating</w:t>
            </w:r>
          </w:p>
          <w:p w14:paraId="3671E8C3" w14:textId="77777777" w:rsidR="0093266C" w:rsidRPr="00FC0689" w:rsidRDefault="0093266C" w:rsidP="00B97132">
            <w:pPr>
              <w:rPr>
                <w:b/>
                <w:i/>
              </w:rPr>
            </w:pPr>
            <w:r w:rsidRPr="00FC0689">
              <w:rPr>
                <w:b/>
                <w:i/>
              </w:rPr>
              <w:t xml:space="preserve">Node </w:t>
            </w:r>
          </w:p>
        </w:tc>
        <w:tc>
          <w:tcPr>
            <w:tcW w:w="1881" w:type="dxa"/>
          </w:tcPr>
          <w:p w14:paraId="3671E8C4" w14:textId="77777777" w:rsidR="00B97132" w:rsidRPr="00FC0689" w:rsidRDefault="0093266C" w:rsidP="00F33AC7">
            <w:pPr>
              <w:rPr>
                <w:b/>
                <w:i/>
              </w:rPr>
            </w:pPr>
            <w:r w:rsidRPr="00FC0689">
              <w:rPr>
                <w:b/>
                <w:i/>
              </w:rPr>
              <w:t>Measurement reporting needed</w:t>
            </w:r>
          </w:p>
        </w:tc>
        <w:tc>
          <w:tcPr>
            <w:tcW w:w="2473" w:type="dxa"/>
          </w:tcPr>
          <w:p w14:paraId="3671E8C5" w14:textId="77777777" w:rsidR="00B97132" w:rsidRPr="00FC0689" w:rsidRDefault="00B97132" w:rsidP="00F33AC7">
            <w:pPr>
              <w:rPr>
                <w:b/>
                <w:i/>
              </w:rPr>
            </w:pPr>
            <w:r w:rsidRPr="00FC0689">
              <w:rPr>
                <w:b/>
                <w:i/>
              </w:rPr>
              <w:t>Other comments</w:t>
            </w:r>
          </w:p>
        </w:tc>
      </w:tr>
      <w:tr w:rsidR="00FC0689" w:rsidRPr="00B62314" w14:paraId="3671E8CC" w14:textId="77777777" w:rsidTr="002169F6">
        <w:tc>
          <w:tcPr>
            <w:tcW w:w="3260" w:type="dxa"/>
          </w:tcPr>
          <w:p w14:paraId="3671E8C7" w14:textId="75E9D6C2" w:rsidR="0008139E" w:rsidRPr="00B62314" w:rsidRDefault="009F290E" w:rsidP="00754E33">
            <w:r>
              <w:t>Intra-</w:t>
            </w:r>
            <w:proofErr w:type="spellStart"/>
            <w:r>
              <w:t>freq</w:t>
            </w:r>
            <w:proofErr w:type="spellEnd"/>
            <w:r>
              <w:t xml:space="preserve">, </w:t>
            </w:r>
            <w:r w:rsidR="000937CA">
              <w:t>intra-</w:t>
            </w:r>
            <w:proofErr w:type="spellStart"/>
            <w:r w:rsidR="000937CA">
              <w:t>Sg</w:t>
            </w:r>
            <w:r w:rsidR="00754E33">
              <w:t>NB</w:t>
            </w:r>
            <w:proofErr w:type="spellEnd"/>
            <w:r w:rsidR="00754E33">
              <w:t xml:space="preserve"> - </w:t>
            </w:r>
            <w:r>
              <w:t>no change of Xn</w:t>
            </w:r>
            <w:r w:rsidR="00754E33">
              <w:t xml:space="preserve"> and no change of RRC configuration that needs coordination with MN</w:t>
            </w:r>
          </w:p>
        </w:tc>
        <w:tc>
          <w:tcPr>
            <w:tcW w:w="1054" w:type="dxa"/>
          </w:tcPr>
          <w:p w14:paraId="3671E8C8" w14:textId="77777777" w:rsidR="0008139E" w:rsidRPr="00B62314" w:rsidRDefault="0008139E" w:rsidP="00B50531">
            <w:r>
              <w:t xml:space="preserve">SN </w:t>
            </w:r>
          </w:p>
        </w:tc>
        <w:tc>
          <w:tcPr>
            <w:tcW w:w="1881" w:type="dxa"/>
          </w:tcPr>
          <w:p w14:paraId="3671E8C9" w14:textId="77777777" w:rsidR="0008139E" w:rsidRPr="00B62314" w:rsidRDefault="00754E33" w:rsidP="00754E33">
            <w:r>
              <w:t>Measurement configuration and reporting in SN</w:t>
            </w:r>
          </w:p>
        </w:tc>
        <w:tc>
          <w:tcPr>
            <w:tcW w:w="2473" w:type="dxa"/>
          </w:tcPr>
          <w:p w14:paraId="3671E8CA" w14:textId="77777777" w:rsidR="00754E33" w:rsidRPr="00B62314" w:rsidRDefault="0008139E" w:rsidP="00754E33">
            <w:r>
              <w:t>Can be done without involvement of M</w:t>
            </w:r>
            <w:r w:rsidR="00806DB3">
              <w:t>N</w:t>
            </w:r>
            <w:r w:rsidR="00754E33">
              <w:t xml:space="preserve">.  </w:t>
            </w:r>
            <w:r>
              <w:t xml:space="preserve"> </w:t>
            </w:r>
          </w:p>
          <w:p w14:paraId="3671E8CB" w14:textId="77777777" w:rsidR="0008139E" w:rsidRPr="00B62314" w:rsidRDefault="0008139E" w:rsidP="009F290E"/>
        </w:tc>
      </w:tr>
      <w:tr w:rsidR="00FC0689" w:rsidRPr="00B62314" w14:paraId="3671E8D1" w14:textId="77777777" w:rsidTr="002169F6">
        <w:tc>
          <w:tcPr>
            <w:tcW w:w="3260" w:type="dxa"/>
          </w:tcPr>
          <w:p w14:paraId="3671E8CD" w14:textId="172032A7" w:rsidR="00754E33" w:rsidRDefault="00754E33" w:rsidP="000937CA">
            <w:r>
              <w:t>Intra-</w:t>
            </w:r>
            <w:proofErr w:type="spellStart"/>
            <w:r>
              <w:t>freq</w:t>
            </w:r>
            <w:proofErr w:type="spellEnd"/>
            <w:r>
              <w:t>, intra-</w:t>
            </w:r>
            <w:proofErr w:type="spellStart"/>
            <w:r>
              <w:t>S</w:t>
            </w:r>
            <w:r w:rsidR="000937CA">
              <w:t>g</w:t>
            </w:r>
            <w:r>
              <w:t>NB</w:t>
            </w:r>
            <w:proofErr w:type="spellEnd"/>
            <w:r>
              <w:t xml:space="preserve"> - </w:t>
            </w:r>
            <w:r w:rsidR="003C1E7A">
              <w:t>no</w:t>
            </w:r>
            <w:r>
              <w:t xml:space="preserve"> change of Xn </w:t>
            </w:r>
            <w:r w:rsidR="003C1E7A">
              <w:t>but</w:t>
            </w:r>
            <w:r>
              <w:t xml:space="preserve"> </w:t>
            </w:r>
            <w:r w:rsidR="003C1E7A">
              <w:t xml:space="preserve">with </w:t>
            </w:r>
            <w:r>
              <w:t>change of RRC configuration that needs coordination with MN</w:t>
            </w:r>
          </w:p>
        </w:tc>
        <w:tc>
          <w:tcPr>
            <w:tcW w:w="1054" w:type="dxa"/>
          </w:tcPr>
          <w:p w14:paraId="3671E8CE" w14:textId="77777777" w:rsidR="00754E33" w:rsidRDefault="003C1E7A" w:rsidP="00B50531">
            <w:r>
              <w:t>SN</w:t>
            </w:r>
          </w:p>
        </w:tc>
        <w:tc>
          <w:tcPr>
            <w:tcW w:w="1881" w:type="dxa"/>
          </w:tcPr>
          <w:p w14:paraId="3671E8CF" w14:textId="77777777" w:rsidR="00754E33" w:rsidRDefault="003C1E7A" w:rsidP="00B50531">
            <w:r>
              <w:t>Measurement configuration and reporting in SN</w:t>
            </w:r>
          </w:p>
        </w:tc>
        <w:tc>
          <w:tcPr>
            <w:tcW w:w="2473" w:type="dxa"/>
          </w:tcPr>
          <w:p w14:paraId="3671E8D0" w14:textId="77777777" w:rsidR="00754E33" w:rsidRDefault="003C1E7A" w:rsidP="002D6109">
            <w:r>
              <w:t xml:space="preserve">Needs coordination with MN.  SCG change </w:t>
            </w:r>
            <w:r w:rsidR="002D6109">
              <w:t>procedure has</w:t>
            </w:r>
            <w:r>
              <w:t xml:space="preserve"> to done through MN.</w:t>
            </w:r>
          </w:p>
        </w:tc>
      </w:tr>
      <w:tr w:rsidR="0093266C" w:rsidRPr="00B62314" w14:paraId="3671E8D6" w14:textId="77777777" w:rsidTr="002169F6">
        <w:tc>
          <w:tcPr>
            <w:tcW w:w="3260" w:type="dxa"/>
          </w:tcPr>
          <w:p w14:paraId="3671E8D2" w14:textId="19AEA842" w:rsidR="002D6109" w:rsidRDefault="002D6109" w:rsidP="002D6109">
            <w:r>
              <w:t>Intra-</w:t>
            </w:r>
            <w:proofErr w:type="spellStart"/>
            <w:r>
              <w:t>freq</w:t>
            </w:r>
            <w:proofErr w:type="spellEnd"/>
            <w:r>
              <w:t>, int</w:t>
            </w:r>
            <w:r w:rsidR="004B04D0">
              <w:t>er</w:t>
            </w:r>
            <w:r w:rsidR="000937CA">
              <w:t>-</w:t>
            </w:r>
            <w:proofErr w:type="spellStart"/>
            <w:r w:rsidR="000937CA">
              <w:t>Sg</w:t>
            </w:r>
            <w:r>
              <w:t>NB</w:t>
            </w:r>
            <w:proofErr w:type="spellEnd"/>
            <w:r>
              <w:t xml:space="preserve"> - with change of Xn but without change of RRC configuration that needs coordination with MN</w:t>
            </w:r>
          </w:p>
        </w:tc>
        <w:tc>
          <w:tcPr>
            <w:tcW w:w="1054" w:type="dxa"/>
          </w:tcPr>
          <w:p w14:paraId="3671E8D3" w14:textId="77777777" w:rsidR="002D6109" w:rsidRDefault="002D6109" w:rsidP="00F33AC7">
            <w:r>
              <w:t>SN</w:t>
            </w:r>
          </w:p>
        </w:tc>
        <w:tc>
          <w:tcPr>
            <w:tcW w:w="1881" w:type="dxa"/>
          </w:tcPr>
          <w:p w14:paraId="3671E8D4" w14:textId="77777777" w:rsidR="002D6109" w:rsidRDefault="002D6109" w:rsidP="00F33AC7">
            <w:r>
              <w:t>Measurement configuration and reporting in SN</w:t>
            </w:r>
          </w:p>
        </w:tc>
        <w:tc>
          <w:tcPr>
            <w:tcW w:w="2473" w:type="dxa"/>
          </w:tcPr>
          <w:p w14:paraId="3671E8D5" w14:textId="77777777" w:rsidR="002D6109" w:rsidRDefault="002D6109" w:rsidP="002D6109">
            <w:r>
              <w:t>Needs signalling exchange with MN for change of Xn.  SCG change procedure can be done directly.</w:t>
            </w:r>
          </w:p>
        </w:tc>
      </w:tr>
      <w:tr w:rsidR="0093266C" w:rsidRPr="00B62314" w14:paraId="3671E8DB" w14:textId="77777777" w:rsidTr="002169F6">
        <w:tc>
          <w:tcPr>
            <w:tcW w:w="3260" w:type="dxa"/>
          </w:tcPr>
          <w:p w14:paraId="3671E8D7" w14:textId="77777777" w:rsidR="003C1E7A" w:rsidRDefault="002D6109" w:rsidP="00F33AC7">
            <w:r>
              <w:t>Inter-freq SCG change</w:t>
            </w:r>
          </w:p>
        </w:tc>
        <w:tc>
          <w:tcPr>
            <w:tcW w:w="1054" w:type="dxa"/>
          </w:tcPr>
          <w:p w14:paraId="3671E8D8" w14:textId="77777777" w:rsidR="003C1E7A" w:rsidRDefault="002D6109" w:rsidP="00F33AC7">
            <w:r>
              <w:t>SN or MN</w:t>
            </w:r>
          </w:p>
        </w:tc>
        <w:tc>
          <w:tcPr>
            <w:tcW w:w="1881" w:type="dxa"/>
          </w:tcPr>
          <w:p w14:paraId="3671E8D9" w14:textId="77777777" w:rsidR="003C1E7A" w:rsidRDefault="002D6109" w:rsidP="002D6109">
            <w:r>
              <w:t>Measurement reporting needed at the node initiating it</w:t>
            </w:r>
            <w:r w:rsidR="00BE3013">
              <w:t xml:space="preserve"> (MN or SN)</w:t>
            </w:r>
          </w:p>
        </w:tc>
        <w:tc>
          <w:tcPr>
            <w:tcW w:w="2473" w:type="dxa"/>
          </w:tcPr>
          <w:p w14:paraId="3671E8DA" w14:textId="77777777" w:rsidR="003C1E7A" w:rsidRDefault="002D6109" w:rsidP="00BE3013">
            <w:r>
              <w:t xml:space="preserve">Inter-freq SCG change can be for load balancing or due to radio conditions.  In either case, the </w:t>
            </w:r>
            <w:r w:rsidR="00BE3013">
              <w:t>initiating node needs measurement reports.</w:t>
            </w:r>
            <w:r w:rsidR="00E8178A">
              <w:t xml:space="preserve">  Depending on change in Xn or MCG coordination, it can be done directly or through MN.</w:t>
            </w:r>
          </w:p>
        </w:tc>
      </w:tr>
      <w:tr w:rsidR="00FC0689" w:rsidRPr="00B62314" w14:paraId="3671E8E0" w14:textId="77777777" w:rsidTr="002169F6">
        <w:tc>
          <w:tcPr>
            <w:tcW w:w="3260" w:type="dxa"/>
          </w:tcPr>
          <w:p w14:paraId="3671E8DC" w14:textId="77777777" w:rsidR="003C1E7A" w:rsidRDefault="00BE3013" w:rsidP="009F290E">
            <w:r>
              <w:t>Intra-MeNB handover involving SCG change</w:t>
            </w:r>
          </w:p>
        </w:tc>
        <w:tc>
          <w:tcPr>
            <w:tcW w:w="1054" w:type="dxa"/>
          </w:tcPr>
          <w:p w14:paraId="3671E8DD" w14:textId="77777777" w:rsidR="003C1E7A" w:rsidRDefault="00BE3013" w:rsidP="00B50531">
            <w:r>
              <w:t>MN</w:t>
            </w:r>
          </w:p>
        </w:tc>
        <w:tc>
          <w:tcPr>
            <w:tcW w:w="1881" w:type="dxa"/>
          </w:tcPr>
          <w:p w14:paraId="3671E8DE" w14:textId="77777777" w:rsidR="003C1E7A" w:rsidRDefault="00BE3013" w:rsidP="00E11DEE">
            <w:r>
              <w:t xml:space="preserve">Measurement reports needed at MN to </w:t>
            </w:r>
            <w:r w:rsidR="00E11DEE">
              <w:t>choose SCG. And at SN to cater for SCG change without MN involvement</w:t>
            </w:r>
          </w:p>
        </w:tc>
        <w:tc>
          <w:tcPr>
            <w:tcW w:w="2473" w:type="dxa"/>
          </w:tcPr>
          <w:p w14:paraId="3671E8DF" w14:textId="77777777" w:rsidR="003C1E7A" w:rsidRDefault="001606A5" w:rsidP="00E8178A">
            <w:r>
              <w:t>Choosing SCG can be similar to SCG addition.</w:t>
            </w:r>
            <w:r w:rsidR="00E8178A">
              <w:t xml:space="preserve">  Always done with MN coordination.</w:t>
            </w:r>
          </w:p>
        </w:tc>
      </w:tr>
      <w:tr w:rsidR="00FC0689" w:rsidRPr="00B62314" w14:paraId="3671E8EA" w14:textId="77777777" w:rsidTr="002169F6">
        <w:tc>
          <w:tcPr>
            <w:tcW w:w="3260" w:type="dxa"/>
          </w:tcPr>
          <w:p w14:paraId="3671E8E6" w14:textId="77777777" w:rsidR="003C1E7A" w:rsidRDefault="001606A5" w:rsidP="009F290E">
            <w:r>
              <w:t>Inter-</w:t>
            </w:r>
            <w:proofErr w:type="spellStart"/>
            <w:r>
              <w:t>MeNB</w:t>
            </w:r>
            <w:proofErr w:type="spellEnd"/>
            <w:r>
              <w:t xml:space="preserve"> handover without </w:t>
            </w:r>
            <w:proofErr w:type="spellStart"/>
            <w:r>
              <w:t>SeNB</w:t>
            </w:r>
            <w:proofErr w:type="spellEnd"/>
            <w:r>
              <w:t xml:space="preserve"> change</w:t>
            </w:r>
          </w:p>
        </w:tc>
        <w:tc>
          <w:tcPr>
            <w:tcW w:w="1054" w:type="dxa"/>
          </w:tcPr>
          <w:p w14:paraId="3671E8E7" w14:textId="77777777" w:rsidR="003C1E7A" w:rsidRDefault="001606A5" w:rsidP="00B50531">
            <w:r>
              <w:t>MN</w:t>
            </w:r>
          </w:p>
        </w:tc>
        <w:tc>
          <w:tcPr>
            <w:tcW w:w="1881" w:type="dxa"/>
          </w:tcPr>
          <w:p w14:paraId="3671E8E8" w14:textId="77777777" w:rsidR="003C1E7A" w:rsidRDefault="001606A5" w:rsidP="00B50531">
            <w:r>
              <w:t>Measurement reporting at MN not essential</w:t>
            </w:r>
          </w:p>
        </w:tc>
        <w:tc>
          <w:tcPr>
            <w:tcW w:w="2473" w:type="dxa"/>
          </w:tcPr>
          <w:p w14:paraId="3671E8E9" w14:textId="77777777" w:rsidR="003C1E7A" w:rsidRDefault="001606A5" w:rsidP="001606A5">
            <w:r>
              <w:t>MN can assume previous SN is valid if it has not received an SN change request from SN</w:t>
            </w:r>
            <w:r w:rsidR="00E8178A">
              <w:t>.  Always done with MN coordination.</w:t>
            </w:r>
          </w:p>
        </w:tc>
      </w:tr>
    </w:tbl>
    <w:p w14:paraId="3671E8EB" w14:textId="77777777" w:rsidR="00402F1C" w:rsidRDefault="00402F1C" w:rsidP="00402F1C">
      <w:pPr>
        <w:spacing w:after="0"/>
      </w:pPr>
    </w:p>
    <w:p w14:paraId="3671E8EC" w14:textId="4A288036" w:rsidR="00994AF0" w:rsidRDefault="0093266C" w:rsidP="00402F1C">
      <w:pPr>
        <w:spacing w:after="0"/>
      </w:pPr>
      <w:r>
        <w:t xml:space="preserve">From the above table of example procedures, it is clear that there are a large number of scenarios to be supported and different scenarios need different handling.  Either MN or SN can be the initiating node </w:t>
      </w:r>
      <w:r w:rsidR="002D38AA">
        <w:t>depending on the scenario summarised as follows:</w:t>
      </w:r>
      <w:r w:rsidR="00994AF0">
        <w:t xml:space="preserve">  </w:t>
      </w:r>
    </w:p>
    <w:p w14:paraId="1E9BABD9" w14:textId="77777777" w:rsidR="002D38AA" w:rsidRDefault="002D38AA" w:rsidP="00402F1C">
      <w:pPr>
        <w:spacing w:after="0"/>
      </w:pPr>
    </w:p>
    <w:tbl>
      <w:tblPr>
        <w:tblStyle w:val="TableGrid"/>
        <w:tblW w:w="8668" w:type="dxa"/>
        <w:tblInd w:w="137" w:type="dxa"/>
        <w:tblLook w:val="04A0" w:firstRow="1" w:lastRow="0" w:firstColumn="1" w:lastColumn="0" w:noHBand="0" w:noVBand="1"/>
      </w:tblPr>
      <w:tblGrid>
        <w:gridCol w:w="3260"/>
        <w:gridCol w:w="1054"/>
        <w:gridCol w:w="1881"/>
        <w:gridCol w:w="2473"/>
      </w:tblGrid>
      <w:tr w:rsidR="002D38AA" w:rsidRPr="00B62314" w14:paraId="330EED40" w14:textId="77777777" w:rsidTr="000672A2">
        <w:tc>
          <w:tcPr>
            <w:tcW w:w="3260" w:type="dxa"/>
          </w:tcPr>
          <w:p w14:paraId="21FA6632" w14:textId="4ECD3C69" w:rsidR="002D38AA" w:rsidRDefault="002D38AA" w:rsidP="000672A2">
            <w:r>
              <w:t>SCG change (different scenarios)</w:t>
            </w:r>
          </w:p>
        </w:tc>
        <w:tc>
          <w:tcPr>
            <w:tcW w:w="1054" w:type="dxa"/>
          </w:tcPr>
          <w:p w14:paraId="1E2F40EA" w14:textId="77777777" w:rsidR="002D38AA" w:rsidRDefault="002D38AA" w:rsidP="000672A2">
            <w:r>
              <w:t>SN or MN</w:t>
            </w:r>
          </w:p>
        </w:tc>
        <w:tc>
          <w:tcPr>
            <w:tcW w:w="1881" w:type="dxa"/>
          </w:tcPr>
          <w:p w14:paraId="15DA260E" w14:textId="77777777" w:rsidR="002D38AA" w:rsidRDefault="002D38AA" w:rsidP="000672A2">
            <w:r>
              <w:t>Measurement reporting needed at the node initiating it (MN or SN)</w:t>
            </w:r>
          </w:p>
        </w:tc>
        <w:tc>
          <w:tcPr>
            <w:tcW w:w="2473" w:type="dxa"/>
          </w:tcPr>
          <w:p w14:paraId="6CF2A0C7" w14:textId="60EE9410" w:rsidR="002D38AA" w:rsidRDefault="002D38AA" w:rsidP="002D38AA">
            <w:r>
              <w:t>Can be done directly by SN or through MN</w:t>
            </w:r>
          </w:p>
        </w:tc>
      </w:tr>
    </w:tbl>
    <w:p w14:paraId="3671E8ED" w14:textId="77777777" w:rsidR="00994AF0" w:rsidRDefault="00994AF0" w:rsidP="00402F1C">
      <w:pPr>
        <w:spacing w:after="0"/>
      </w:pPr>
    </w:p>
    <w:p w14:paraId="3671E8EE" w14:textId="51D61017" w:rsidR="00994AF0" w:rsidRPr="00E8178A" w:rsidRDefault="00994AF0" w:rsidP="00402F1C">
      <w:pPr>
        <w:spacing w:after="0"/>
        <w:rPr>
          <w:b/>
        </w:rPr>
      </w:pPr>
      <w:r w:rsidRPr="00E8178A">
        <w:rPr>
          <w:b/>
        </w:rPr>
        <w:t>Observation</w:t>
      </w:r>
      <w:r w:rsidR="00E8125F">
        <w:rPr>
          <w:b/>
        </w:rPr>
        <w:t xml:space="preserve"> #1</w:t>
      </w:r>
      <w:r w:rsidRPr="00E8178A">
        <w:rPr>
          <w:b/>
        </w:rPr>
        <w:t xml:space="preserve">: There are many scenarios </w:t>
      </w:r>
      <w:r w:rsidR="00E8178A">
        <w:rPr>
          <w:b/>
        </w:rPr>
        <w:t xml:space="preserve">for SCG change </w:t>
      </w:r>
      <w:r w:rsidRPr="00E8178A">
        <w:rPr>
          <w:b/>
        </w:rPr>
        <w:t>to support</w:t>
      </w:r>
      <w:r w:rsidR="00E8178A">
        <w:rPr>
          <w:b/>
        </w:rPr>
        <w:t>. E</w:t>
      </w:r>
      <w:r w:rsidRPr="00E8178A">
        <w:rPr>
          <w:b/>
        </w:rPr>
        <w:t>ither MN or SN can be the initiating node for SCG change procedure</w:t>
      </w:r>
      <w:r w:rsidR="00E8178A">
        <w:rPr>
          <w:b/>
        </w:rPr>
        <w:t xml:space="preserve"> and the procedures can be done with or without MN involvement </w:t>
      </w:r>
      <w:r w:rsidR="00E8178A" w:rsidRPr="00E8178A">
        <w:rPr>
          <w:b/>
        </w:rPr>
        <w:t>d</w:t>
      </w:r>
      <w:r w:rsidR="00E8178A">
        <w:rPr>
          <w:b/>
        </w:rPr>
        <w:t>epending on the actual scenario.</w:t>
      </w:r>
    </w:p>
    <w:p w14:paraId="3671E8EF" w14:textId="77777777" w:rsidR="00994AF0" w:rsidRDefault="00994AF0" w:rsidP="00402F1C">
      <w:pPr>
        <w:spacing w:after="0"/>
      </w:pPr>
    </w:p>
    <w:p w14:paraId="3671E8F0" w14:textId="77777777" w:rsidR="00B97132" w:rsidRDefault="00994AF0" w:rsidP="00402F1C">
      <w:pPr>
        <w:spacing w:after="0"/>
      </w:pPr>
      <w:r>
        <w:t>And in most cases, the initiating node will need measurements of the potential target – that is, both MN and SN will need measurement results.</w:t>
      </w:r>
      <w:r w:rsidR="004A6BDD">
        <w:t xml:space="preserve">   In LTE, we had the restriction that </w:t>
      </w:r>
      <w:r w:rsidR="00175B61">
        <w:t xml:space="preserve">network can only configure one measurement object on a carrier frequency.  </w:t>
      </w:r>
      <w:r w:rsidR="002D086D">
        <w:t xml:space="preserve">That restriction should also apply for NR.  </w:t>
      </w:r>
      <w:r w:rsidR="000D3A46">
        <w:t xml:space="preserve">This will require the network nodes to coordinate of the object configurations </w:t>
      </w:r>
      <w:r w:rsidR="00695EBA">
        <w:t>to prevent the other node from configuring an object on the same carrier frequency.</w:t>
      </w:r>
    </w:p>
    <w:p w14:paraId="3671E8F1" w14:textId="77777777" w:rsidR="002D086D" w:rsidRDefault="002D086D" w:rsidP="00402F1C">
      <w:pPr>
        <w:spacing w:after="0"/>
      </w:pPr>
    </w:p>
    <w:p w14:paraId="3671E8F2" w14:textId="178EEBCD" w:rsidR="002D086D" w:rsidRPr="002D086D" w:rsidRDefault="002D086D" w:rsidP="00402F1C">
      <w:pPr>
        <w:spacing w:after="0"/>
        <w:rPr>
          <w:b/>
        </w:rPr>
      </w:pPr>
      <w:r w:rsidRPr="002D086D">
        <w:rPr>
          <w:b/>
        </w:rPr>
        <w:t>Proposal</w:t>
      </w:r>
      <w:r w:rsidR="00E8125F">
        <w:rPr>
          <w:b/>
        </w:rPr>
        <w:t xml:space="preserve"> #2</w:t>
      </w:r>
      <w:r w:rsidRPr="002D086D">
        <w:rPr>
          <w:b/>
        </w:rPr>
        <w:t xml:space="preserve">: Network should only configure one measurement object on a carrier frequency. </w:t>
      </w:r>
    </w:p>
    <w:p w14:paraId="3671E8F3" w14:textId="77777777" w:rsidR="00994AF0" w:rsidRDefault="00994AF0" w:rsidP="00402F1C">
      <w:pPr>
        <w:spacing w:after="0"/>
      </w:pPr>
    </w:p>
    <w:p w14:paraId="3671E8F4" w14:textId="77777777" w:rsidR="002D086D" w:rsidRDefault="002D086D" w:rsidP="00402F1C">
      <w:pPr>
        <w:spacing w:after="0"/>
      </w:pPr>
      <w:r>
        <w:t>As discussed above, both MN and SN will need measurement results to cater for the different scenarios.  This can be supported by exchanging of measureme</w:t>
      </w:r>
      <w:r w:rsidR="000D3A46">
        <w:t xml:space="preserve">nt results over network nodes or by having UE provide measurement reports over the air to both nodes.  </w:t>
      </w:r>
      <w:r>
        <w:t xml:space="preserve">Another option is allow both nodes to provide </w:t>
      </w:r>
      <w:r w:rsidR="000D3A46">
        <w:t xml:space="preserve">independent </w:t>
      </w:r>
      <w:r>
        <w:t xml:space="preserve">measurement reporting configurations on the same object with corresponding measurement reporting.  </w:t>
      </w:r>
      <w:r w:rsidR="000D3A46">
        <w:t xml:space="preserve">This allows maximum flexibility for each network node to provide its own events and trigger conditions.  </w:t>
      </w:r>
    </w:p>
    <w:p w14:paraId="3671E8F5" w14:textId="77777777" w:rsidR="00695EBA" w:rsidRDefault="00695EBA" w:rsidP="00402F1C">
      <w:pPr>
        <w:spacing w:after="0"/>
      </w:pPr>
    </w:p>
    <w:p w14:paraId="3671E8F6" w14:textId="60F8E492" w:rsidR="00695EBA" w:rsidRPr="00695EBA" w:rsidRDefault="00695EBA" w:rsidP="00402F1C">
      <w:pPr>
        <w:spacing w:after="0"/>
        <w:rPr>
          <w:b/>
        </w:rPr>
      </w:pPr>
      <w:r w:rsidRPr="00695EBA">
        <w:rPr>
          <w:b/>
        </w:rPr>
        <w:t>Proposal</w:t>
      </w:r>
      <w:r w:rsidR="00E8125F">
        <w:rPr>
          <w:b/>
        </w:rPr>
        <w:t xml:space="preserve"> #3</w:t>
      </w:r>
      <w:r w:rsidRPr="00695EBA">
        <w:rPr>
          <w:b/>
        </w:rPr>
        <w:t>: It should be possible for Measurement results should be made available to both MN and SN.  Whether this is done over network interface or by UE configuration is FFS.</w:t>
      </w:r>
    </w:p>
    <w:p w14:paraId="3671E8F7" w14:textId="77777777" w:rsidR="00591969" w:rsidRDefault="000E78C4" w:rsidP="000E78C4">
      <w:pPr>
        <w:pStyle w:val="Heading1"/>
      </w:pPr>
      <w:r>
        <w:t>Summary and proposals</w:t>
      </w:r>
    </w:p>
    <w:p w14:paraId="3671E8F8" w14:textId="0F66F0F6" w:rsidR="000E78C4" w:rsidRDefault="00E8125F" w:rsidP="000E78C4">
      <w:r>
        <w:t xml:space="preserve">This document looked at the list of scenarios to be supported for EN-DC and the initiating node for these scenarios.  The nature of information exchange, in particular the measurement related information were discussed.  The following observations and proposals were made. </w:t>
      </w:r>
    </w:p>
    <w:p w14:paraId="7325DF0E" w14:textId="77777777" w:rsidR="00E11DA4" w:rsidRDefault="00E11DA4" w:rsidP="00E11DA4">
      <w:pPr>
        <w:spacing w:after="0"/>
        <w:rPr>
          <w:b/>
        </w:rPr>
      </w:pPr>
      <w:r w:rsidRPr="000E78C4">
        <w:rPr>
          <w:b/>
        </w:rPr>
        <w:t>Proposal</w:t>
      </w:r>
      <w:r>
        <w:rPr>
          <w:b/>
        </w:rPr>
        <w:t xml:space="preserve"> #1</w:t>
      </w:r>
      <w:r w:rsidRPr="000E78C4">
        <w:rPr>
          <w:b/>
        </w:rPr>
        <w:t xml:space="preserve">: It is proposed to </w:t>
      </w:r>
      <w:r>
        <w:rPr>
          <w:b/>
        </w:rPr>
        <w:t>support</w:t>
      </w:r>
      <w:r w:rsidRPr="000E78C4">
        <w:rPr>
          <w:b/>
        </w:rPr>
        <w:t xml:space="preserve"> the above </w:t>
      </w:r>
      <w:r>
        <w:rPr>
          <w:b/>
        </w:rPr>
        <w:t>scenario for EN-DC</w:t>
      </w:r>
      <w:r w:rsidRPr="000E78C4">
        <w:rPr>
          <w:b/>
        </w:rPr>
        <w:t xml:space="preserve">, </w:t>
      </w:r>
      <w:r>
        <w:rPr>
          <w:b/>
        </w:rPr>
        <w:t xml:space="preserve">and the corresponding </w:t>
      </w:r>
      <w:r w:rsidRPr="000E78C4">
        <w:rPr>
          <w:b/>
        </w:rPr>
        <w:t>initiating nodes and information exchange</w:t>
      </w:r>
      <w:r>
        <w:rPr>
          <w:b/>
        </w:rPr>
        <w:t xml:space="preserve"> needed between the network nodes</w:t>
      </w:r>
      <w:r w:rsidRPr="000E78C4">
        <w:rPr>
          <w:b/>
        </w:rPr>
        <w:t>.</w:t>
      </w:r>
    </w:p>
    <w:tbl>
      <w:tblPr>
        <w:tblStyle w:val="TableGrid"/>
        <w:tblW w:w="0" w:type="auto"/>
        <w:tblInd w:w="137" w:type="dxa"/>
        <w:tblLook w:val="04A0" w:firstRow="1" w:lastRow="0" w:firstColumn="1" w:lastColumn="0" w:noHBand="0" w:noVBand="1"/>
      </w:tblPr>
      <w:tblGrid>
        <w:gridCol w:w="1771"/>
        <w:gridCol w:w="1192"/>
        <w:gridCol w:w="2106"/>
        <w:gridCol w:w="3578"/>
      </w:tblGrid>
      <w:tr w:rsidR="00E11DA4" w:rsidRPr="00FC0689" w14:paraId="272D0CA3" w14:textId="77777777" w:rsidTr="000672A2">
        <w:tc>
          <w:tcPr>
            <w:tcW w:w="1771" w:type="dxa"/>
          </w:tcPr>
          <w:p w14:paraId="128083DA" w14:textId="77777777" w:rsidR="00E11DA4" w:rsidRDefault="00E11DA4" w:rsidP="000672A2">
            <w:pPr>
              <w:rPr>
                <w:b/>
                <w:i/>
              </w:rPr>
            </w:pPr>
            <w:r w:rsidRPr="00FC0689">
              <w:rPr>
                <w:b/>
                <w:i/>
              </w:rPr>
              <w:t>Procedure</w:t>
            </w:r>
            <w:r>
              <w:rPr>
                <w:b/>
                <w:i/>
              </w:rPr>
              <w:t>/</w:t>
            </w:r>
          </w:p>
          <w:p w14:paraId="674F01F5" w14:textId="77777777" w:rsidR="00E11DA4" w:rsidRPr="00FC0689" w:rsidRDefault="00E11DA4" w:rsidP="000672A2">
            <w:pPr>
              <w:rPr>
                <w:b/>
                <w:i/>
              </w:rPr>
            </w:pPr>
            <w:r>
              <w:rPr>
                <w:b/>
                <w:i/>
              </w:rPr>
              <w:t>Scenario</w:t>
            </w:r>
          </w:p>
        </w:tc>
        <w:tc>
          <w:tcPr>
            <w:tcW w:w="1192" w:type="dxa"/>
          </w:tcPr>
          <w:p w14:paraId="5D0B03F2" w14:textId="77777777" w:rsidR="00E11DA4" w:rsidRPr="00FC0689" w:rsidRDefault="00E11DA4" w:rsidP="000672A2">
            <w:pPr>
              <w:rPr>
                <w:b/>
                <w:i/>
              </w:rPr>
            </w:pPr>
            <w:r w:rsidRPr="00FC0689">
              <w:rPr>
                <w:b/>
                <w:i/>
              </w:rPr>
              <w:t>Initiating node</w:t>
            </w:r>
          </w:p>
        </w:tc>
        <w:tc>
          <w:tcPr>
            <w:tcW w:w="2106" w:type="dxa"/>
          </w:tcPr>
          <w:p w14:paraId="0AA342FE" w14:textId="77777777" w:rsidR="00E11DA4" w:rsidRPr="00FC0689" w:rsidRDefault="00E11DA4" w:rsidP="000672A2">
            <w:pPr>
              <w:rPr>
                <w:b/>
                <w:i/>
              </w:rPr>
            </w:pPr>
            <w:r w:rsidRPr="00FC0689">
              <w:rPr>
                <w:b/>
                <w:i/>
              </w:rPr>
              <w:t>Information exchange between network nodes</w:t>
            </w:r>
          </w:p>
        </w:tc>
        <w:tc>
          <w:tcPr>
            <w:tcW w:w="3578" w:type="dxa"/>
          </w:tcPr>
          <w:p w14:paraId="344DC937" w14:textId="77777777" w:rsidR="00E11DA4" w:rsidRPr="00FC0689" w:rsidRDefault="00E11DA4" w:rsidP="000672A2">
            <w:pPr>
              <w:rPr>
                <w:b/>
                <w:i/>
              </w:rPr>
            </w:pPr>
            <w:r w:rsidRPr="00FC0689">
              <w:rPr>
                <w:b/>
                <w:i/>
              </w:rPr>
              <w:t>Other comments</w:t>
            </w:r>
          </w:p>
        </w:tc>
      </w:tr>
      <w:tr w:rsidR="00E11DA4" w:rsidRPr="00B62314" w14:paraId="15BD67A1" w14:textId="77777777" w:rsidTr="000672A2">
        <w:tc>
          <w:tcPr>
            <w:tcW w:w="1771" w:type="dxa"/>
          </w:tcPr>
          <w:p w14:paraId="064A91E6" w14:textId="405A1D26" w:rsidR="00E11DA4" w:rsidRPr="00B62314" w:rsidRDefault="00E11DA4" w:rsidP="000672A2">
            <w:pPr>
              <w:ind w:left="-9" w:firstLine="9"/>
            </w:pPr>
            <w:proofErr w:type="spellStart"/>
            <w:r w:rsidRPr="00B62314">
              <w:t>S</w:t>
            </w:r>
            <w:r>
              <w:t>g</w:t>
            </w:r>
            <w:r w:rsidRPr="00B62314">
              <w:t>NB</w:t>
            </w:r>
            <w:proofErr w:type="spellEnd"/>
            <w:r w:rsidRPr="00B62314">
              <w:t xml:space="preserve"> Addition: </w:t>
            </w:r>
          </w:p>
        </w:tc>
        <w:tc>
          <w:tcPr>
            <w:tcW w:w="1192" w:type="dxa"/>
          </w:tcPr>
          <w:p w14:paraId="75CBDF5F" w14:textId="77777777" w:rsidR="00E11DA4" w:rsidRPr="00B62314" w:rsidRDefault="00E11DA4" w:rsidP="000672A2">
            <w:r>
              <w:t>MN</w:t>
            </w:r>
          </w:p>
        </w:tc>
        <w:tc>
          <w:tcPr>
            <w:tcW w:w="2106" w:type="dxa"/>
          </w:tcPr>
          <w:p w14:paraId="29452FE8" w14:textId="77777777" w:rsidR="00E11DA4" w:rsidRPr="00B62314" w:rsidRDefault="00E11DA4" w:rsidP="000672A2">
            <w:r>
              <w:t>SCG measurements provided by MN to SN as part of the SCG addition request</w:t>
            </w:r>
          </w:p>
        </w:tc>
        <w:tc>
          <w:tcPr>
            <w:tcW w:w="3578" w:type="dxa"/>
          </w:tcPr>
          <w:p w14:paraId="5E4B9C70" w14:textId="77777777" w:rsidR="00E11DA4" w:rsidRDefault="00E11DA4" w:rsidP="000672A2">
            <w:r>
              <w:t>MN configures SCG measurements, UE provides measurement reports to MN. MN requests SN to provide SN configuration that MN can send to UE.</w:t>
            </w:r>
          </w:p>
        </w:tc>
      </w:tr>
      <w:tr w:rsidR="00E11DA4" w:rsidRPr="00B62314" w14:paraId="67DC59A4" w14:textId="77777777" w:rsidTr="000672A2">
        <w:tc>
          <w:tcPr>
            <w:tcW w:w="1771" w:type="dxa"/>
          </w:tcPr>
          <w:p w14:paraId="1E3D5765" w14:textId="5C1D1E4F" w:rsidR="00E11DA4" w:rsidRPr="00FC0689" w:rsidRDefault="00E11DA4" w:rsidP="000672A2">
            <w:proofErr w:type="spellStart"/>
            <w:r w:rsidRPr="00FC0689">
              <w:t>S</w:t>
            </w:r>
            <w:r>
              <w:t>g</w:t>
            </w:r>
            <w:r w:rsidRPr="00FC0689">
              <w:t>NB</w:t>
            </w:r>
            <w:proofErr w:type="spellEnd"/>
            <w:r w:rsidRPr="00FC0689">
              <w:t xml:space="preserve"> Modification</w:t>
            </w:r>
          </w:p>
        </w:tc>
        <w:tc>
          <w:tcPr>
            <w:tcW w:w="1192" w:type="dxa"/>
          </w:tcPr>
          <w:p w14:paraId="324E713E" w14:textId="77777777" w:rsidR="00E11DA4" w:rsidRPr="00FC0689" w:rsidRDefault="00E11DA4" w:rsidP="000672A2">
            <w:r w:rsidRPr="00FC0689">
              <w:t>SN</w:t>
            </w:r>
            <w:r>
              <w:t xml:space="preserve"> or MN</w:t>
            </w:r>
          </w:p>
        </w:tc>
        <w:tc>
          <w:tcPr>
            <w:tcW w:w="2106" w:type="dxa"/>
          </w:tcPr>
          <w:p w14:paraId="065B302B" w14:textId="77777777" w:rsidR="00E11DA4" w:rsidRPr="00FC0689" w:rsidRDefault="00E11DA4" w:rsidP="000672A2">
            <w:r>
              <w:t>FFS</w:t>
            </w:r>
          </w:p>
        </w:tc>
        <w:tc>
          <w:tcPr>
            <w:tcW w:w="3578" w:type="dxa"/>
          </w:tcPr>
          <w:p w14:paraId="73539086" w14:textId="64209EEE" w:rsidR="00E11DA4" w:rsidRPr="00B62314" w:rsidRDefault="00E11DA4" w:rsidP="000672A2">
            <w:r>
              <w:t>This procedure is typically used in LTE for DRB changes, which do not require measurements.  Details are FFS</w:t>
            </w:r>
          </w:p>
        </w:tc>
      </w:tr>
      <w:tr w:rsidR="00E11DA4" w:rsidRPr="00B62314" w14:paraId="6CCCF5A2" w14:textId="77777777" w:rsidTr="000672A2">
        <w:tc>
          <w:tcPr>
            <w:tcW w:w="1771" w:type="dxa"/>
          </w:tcPr>
          <w:p w14:paraId="0B67D740" w14:textId="527DEF52" w:rsidR="00E11DA4" w:rsidRPr="00B62314" w:rsidRDefault="00E11DA4" w:rsidP="000672A2">
            <w:proofErr w:type="spellStart"/>
            <w:r w:rsidRPr="00B62314">
              <w:t>S</w:t>
            </w:r>
            <w:r>
              <w:t>g</w:t>
            </w:r>
            <w:r w:rsidRPr="00B62314">
              <w:t>NB</w:t>
            </w:r>
            <w:proofErr w:type="spellEnd"/>
            <w:r w:rsidRPr="00B62314">
              <w:t xml:space="preserve"> Release</w:t>
            </w:r>
          </w:p>
        </w:tc>
        <w:tc>
          <w:tcPr>
            <w:tcW w:w="1192" w:type="dxa"/>
          </w:tcPr>
          <w:p w14:paraId="29B97098" w14:textId="77777777" w:rsidR="00E11DA4" w:rsidRPr="00B62314" w:rsidRDefault="00E11DA4" w:rsidP="000672A2">
            <w:r>
              <w:t>MN or SN, but signalled by MN to UE</w:t>
            </w:r>
          </w:p>
        </w:tc>
        <w:tc>
          <w:tcPr>
            <w:tcW w:w="2106" w:type="dxa"/>
          </w:tcPr>
          <w:p w14:paraId="4A212F7D" w14:textId="681EF4B0" w:rsidR="00E11DA4" w:rsidRPr="00B62314" w:rsidRDefault="00E11DA4" w:rsidP="000672A2">
            <w:r>
              <w:t>Information about release of SN from SN node to MN.  (MN provides the release of SN information to UE as an MCG only message)</w:t>
            </w:r>
          </w:p>
        </w:tc>
        <w:tc>
          <w:tcPr>
            <w:tcW w:w="3578" w:type="dxa"/>
          </w:tcPr>
          <w:p w14:paraId="7627B80E" w14:textId="1A2C6A93" w:rsidR="00E11DA4" w:rsidRPr="00B62314" w:rsidRDefault="00E11DA4" w:rsidP="000672A2">
            <w:r>
              <w:t xml:space="preserve">SCG release is signalled to the UE directly  by the MN in the MCG configuration (no encapsulated SCG configuration) </w:t>
            </w:r>
          </w:p>
        </w:tc>
      </w:tr>
      <w:tr w:rsidR="00E11DA4" w:rsidRPr="00B62314" w14:paraId="53ADFEA8" w14:textId="77777777" w:rsidTr="000672A2">
        <w:tc>
          <w:tcPr>
            <w:tcW w:w="1771" w:type="dxa"/>
          </w:tcPr>
          <w:p w14:paraId="0DF82E22" w14:textId="77777777" w:rsidR="00E11DA4" w:rsidRPr="00B62314" w:rsidRDefault="00E11DA4" w:rsidP="000672A2">
            <w:proofErr w:type="spellStart"/>
            <w:r w:rsidRPr="00B62314">
              <w:t>MeNB</w:t>
            </w:r>
            <w:proofErr w:type="spellEnd"/>
            <w:r w:rsidRPr="00B62314">
              <w:t xml:space="preserve"> to </w:t>
            </w:r>
            <w:proofErr w:type="spellStart"/>
            <w:r w:rsidRPr="00B62314">
              <w:t>eNB</w:t>
            </w:r>
            <w:proofErr w:type="spellEnd"/>
            <w:r w:rsidRPr="00B62314">
              <w:t xml:space="preserve"> Change</w:t>
            </w:r>
            <w:r>
              <w:t xml:space="preserve"> (inter-</w:t>
            </w:r>
            <w:proofErr w:type="spellStart"/>
            <w:r>
              <w:t>MeNB</w:t>
            </w:r>
            <w:proofErr w:type="spellEnd"/>
            <w:r>
              <w:t xml:space="preserve"> HO with SCG release)</w:t>
            </w:r>
          </w:p>
        </w:tc>
        <w:tc>
          <w:tcPr>
            <w:tcW w:w="1192" w:type="dxa"/>
          </w:tcPr>
          <w:p w14:paraId="050E7F95" w14:textId="77777777" w:rsidR="00E11DA4" w:rsidRPr="00B62314" w:rsidRDefault="00E11DA4" w:rsidP="000672A2">
            <w:r>
              <w:t>MN</w:t>
            </w:r>
          </w:p>
        </w:tc>
        <w:tc>
          <w:tcPr>
            <w:tcW w:w="2106" w:type="dxa"/>
          </w:tcPr>
          <w:p w14:paraId="18413792" w14:textId="77777777" w:rsidR="00E11DA4" w:rsidRPr="00B62314" w:rsidRDefault="00E11DA4" w:rsidP="000672A2">
            <w:r>
              <w:t>Information about release of SN to SN.  (MN provides the release of SN information to UE as an MCG only message)</w:t>
            </w:r>
          </w:p>
        </w:tc>
        <w:tc>
          <w:tcPr>
            <w:tcW w:w="3578" w:type="dxa"/>
          </w:tcPr>
          <w:p w14:paraId="18FD979C" w14:textId="35013B4E" w:rsidR="00E11DA4" w:rsidRPr="00B62314" w:rsidRDefault="00E11DA4" w:rsidP="000672A2">
            <w:r>
              <w:t xml:space="preserve">SCG release is signalled to the UE directly  by the MN in the MCG configuration (no encapsulated SCG configuration) </w:t>
            </w:r>
          </w:p>
        </w:tc>
      </w:tr>
      <w:tr w:rsidR="00E11DA4" w:rsidRPr="00B62314" w14:paraId="4D865CD1" w14:textId="77777777" w:rsidTr="000672A2">
        <w:tc>
          <w:tcPr>
            <w:tcW w:w="1771" w:type="dxa"/>
          </w:tcPr>
          <w:p w14:paraId="550F5BB5" w14:textId="77777777" w:rsidR="00E11DA4" w:rsidRPr="00B62314" w:rsidRDefault="00E11DA4" w:rsidP="000672A2">
            <w:proofErr w:type="spellStart"/>
            <w:r w:rsidRPr="00B62314">
              <w:t>eNB</w:t>
            </w:r>
            <w:proofErr w:type="spellEnd"/>
            <w:r w:rsidRPr="00B62314">
              <w:t xml:space="preserve"> to </w:t>
            </w:r>
            <w:proofErr w:type="spellStart"/>
            <w:r w:rsidRPr="00B62314">
              <w:t>MeNB</w:t>
            </w:r>
            <w:proofErr w:type="spellEnd"/>
            <w:r w:rsidRPr="00B62314">
              <w:t xml:space="preserve"> change</w:t>
            </w:r>
            <w:r>
              <w:t xml:space="preserve"> (inter-</w:t>
            </w:r>
            <w:proofErr w:type="spellStart"/>
            <w:r>
              <w:t>MeNB</w:t>
            </w:r>
            <w:proofErr w:type="spellEnd"/>
            <w:r>
              <w:t xml:space="preserve"> HO with SCG addition)</w:t>
            </w:r>
          </w:p>
        </w:tc>
        <w:tc>
          <w:tcPr>
            <w:tcW w:w="1192" w:type="dxa"/>
          </w:tcPr>
          <w:p w14:paraId="493DFF14" w14:textId="77777777" w:rsidR="00E11DA4" w:rsidRPr="00B62314" w:rsidRDefault="00E11DA4" w:rsidP="000672A2">
            <w:r>
              <w:t>MN</w:t>
            </w:r>
          </w:p>
        </w:tc>
        <w:tc>
          <w:tcPr>
            <w:tcW w:w="2106" w:type="dxa"/>
          </w:tcPr>
          <w:p w14:paraId="6A6F7150" w14:textId="77777777" w:rsidR="00E11DA4" w:rsidRPr="00B62314" w:rsidRDefault="00E11DA4" w:rsidP="000672A2">
            <w:r>
              <w:t>SCG measurements provided by MN to SN as part of the SCG addition request</w:t>
            </w:r>
          </w:p>
        </w:tc>
        <w:tc>
          <w:tcPr>
            <w:tcW w:w="3578" w:type="dxa"/>
          </w:tcPr>
          <w:p w14:paraId="505AFC1A" w14:textId="77777777" w:rsidR="00E11DA4" w:rsidRDefault="00E11DA4" w:rsidP="000672A2">
            <w:r>
              <w:t>MN configures SCG measurements, UE provides measurement reports to MN.  MN requests SN to provide SN configuration that MN can send to UE.</w:t>
            </w:r>
          </w:p>
        </w:tc>
      </w:tr>
      <w:tr w:rsidR="00E11DA4" w:rsidRPr="00B62314" w14:paraId="24106BB2" w14:textId="77777777" w:rsidTr="000672A2">
        <w:tc>
          <w:tcPr>
            <w:tcW w:w="1771" w:type="dxa"/>
          </w:tcPr>
          <w:p w14:paraId="36A3A2EE" w14:textId="0B4CF821" w:rsidR="00E11DA4" w:rsidRPr="00B62314" w:rsidRDefault="00E11DA4" w:rsidP="000672A2">
            <w:r w:rsidRPr="00B62314">
              <w:t>Inter-</w:t>
            </w:r>
            <w:proofErr w:type="spellStart"/>
            <w:r w:rsidRPr="00B62314">
              <w:t>MeNB</w:t>
            </w:r>
            <w:proofErr w:type="spellEnd"/>
            <w:r w:rsidRPr="00B62314">
              <w:t xml:space="preserve"> handover without </w:t>
            </w:r>
            <w:proofErr w:type="spellStart"/>
            <w:r w:rsidRPr="00B62314">
              <w:t>S</w:t>
            </w:r>
            <w:r>
              <w:t>g</w:t>
            </w:r>
            <w:r w:rsidRPr="00B62314">
              <w:t>NB</w:t>
            </w:r>
            <w:proofErr w:type="spellEnd"/>
            <w:r w:rsidRPr="00B62314">
              <w:t xml:space="preserve"> change</w:t>
            </w:r>
          </w:p>
        </w:tc>
        <w:tc>
          <w:tcPr>
            <w:tcW w:w="1192" w:type="dxa"/>
          </w:tcPr>
          <w:p w14:paraId="3EAE589B" w14:textId="77777777" w:rsidR="00E11DA4" w:rsidRPr="00B62314" w:rsidRDefault="00E11DA4" w:rsidP="000672A2">
            <w:r>
              <w:t>MN</w:t>
            </w:r>
          </w:p>
        </w:tc>
        <w:tc>
          <w:tcPr>
            <w:tcW w:w="2106" w:type="dxa"/>
          </w:tcPr>
          <w:p w14:paraId="418A0B79" w14:textId="77777777" w:rsidR="00E11DA4" w:rsidRPr="00B62314" w:rsidRDefault="00E11DA4" w:rsidP="000672A2">
            <w:r>
              <w:t>SCG Release Request and SCG add request to the SN.</w:t>
            </w:r>
          </w:p>
        </w:tc>
        <w:tc>
          <w:tcPr>
            <w:tcW w:w="3578" w:type="dxa"/>
          </w:tcPr>
          <w:p w14:paraId="67E700A3" w14:textId="77777777" w:rsidR="00E11DA4" w:rsidRPr="00B62314" w:rsidRDefault="00E11DA4" w:rsidP="000672A2">
            <w:r>
              <w:t>Executed as a combined “release/add” of the SN in one step.</w:t>
            </w:r>
          </w:p>
        </w:tc>
      </w:tr>
    </w:tbl>
    <w:p w14:paraId="6D3E8DE7" w14:textId="77777777" w:rsidR="00E11DA4" w:rsidRDefault="00E11DA4" w:rsidP="00E11DA4">
      <w:pPr>
        <w:spacing w:after="0"/>
        <w:rPr>
          <w:b/>
        </w:rPr>
      </w:pPr>
    </w:p>
    <w:p w14:paraId="3736D300" w14:textId="0EEB2030" w:rsidR="00E11DA4" w:rsidRPr="000E78C4" w:rsidRDefault="00E11DA4" w:rsidP="00E11DA4">
      <w:pPr>
        <w:spacing w:after="0"/>
        <w:rPr>
          <w:b/>
        </w:rPr>
      </w:pPr>
    </w:p>
    <w:p w14:paraId="4D496A6F" w14:textId="77777777" w:rsidR="00E11DA4" w:rsidRDefault="00E11DA4" w:rsidP="00E11DA4">
      <w:pPr>
        <w:spacing w:after="0"/>
        <w:rPr>
          <w:b/>
        </w:rPr>
      </w:pPr>
      <w:r w:rsidRPr="00E8178A">
        <w:rPr>
          <w:b/>
        </w:rPr>
        <w:t>Observation</w:t>
      </w:r>
      <w:r>
        <w:rPr>
          <w:b/>
        </w:rPr>
        <w:t xml:space="preserve"> #1</w:t>
      </w:r>
      <w:r w:rsidRPr="00E8178A">
        <w:rPr>
          <w:b/>
        </w:rPr>
        <w:t xml:space="preserve">: There are many scenarios </w:t>
      </w:r>
      <w:r>
        <w:rPr>
          <w:b/>
        </w:rPr>
        <w:t xml:space="preserve">for SCG change </w:t>
      </w:r>
      <w:r w:rsidRPr="00E8178A">
        <w:rPr>
          <w:b/>
        </w:rPr>
        <w:t>to support</w:t>
      </w:r>
      <w:r>
        <w:rPr>
          <w:b/>
        </w:rPr>
        <w:t>. E</w:t>
      </w:r>
      <w:r w:rsidRPr="00E8178A">
        <w:rPr>
          <w:b/>
        </w:rPr>
        <w:t>ither MN or SN can be the initiating node for SCG change procedure</w:t>
      </w:r>
      <w:r>
        <w:rPr>
          <w:b/>
        </w:rPr>
        <w:t xml:space="preserve"> and the procedures can be done with or without MN involvement </w:t>
      </w:r>
      <w:r w:rsidRPr="00E8178A">
        <w:rPr>
          <w:b/>
        </w:rPr>
        <w:t>d</w:t>
      </w:r>
      <w:r>
        <w:rPr>
          <w:b/>
        </w:rPr>
        <w:t>epending on the actual scenario.</w:t>
      </w:r>
    </w:p>
    <w:p w14:paraId="1E0455FF" w14:textId="77777777" w:rsidR="00E11DA4" w:rsidRPr="00E8178A" w:rsidRDefault="00E11DA4" w:rsidP="00E11DA4">
      <w:pPr>
        <w:spacing w:after="0"/>
        <w:rPr>
          <w:b/>
        </w:rPr>
      </w:pPr>
    </w:p>
    <w:p w14:paraId="14851073" w14:textId="77777777" w:rsidR="00E11DA4" w:rsidRPr="002D086D" w:rsidRDefault="00E11DA4" w:rsidP="00E11DA4">
      <w:pPr>
        <w:spacing w:after="0"/>
        <w:rPr>
          <w:b/>
        </w:rPr>
      </w:pPr>
      <w:r w:rsidRPr="002D086D">
        <w:rPr>
          <w:b/>
        </w:rPr>
        <w:t>Proposal</w:t>
      </w:r>
      <w:r>
        <w:rPr>
          <w:b/>
        </w:rPr>
        <w:t xml:space="preserve"> #2</w:t>
      </w:r>
      <w:r w:rsidRPr="002D086D">
        <w:rPr>
          <w:b/>
        </w:rPr>
        <w:t xml:space="preserve">: Network should only configure one measurement object on a carrier frequency. </w:t>
      </w:r>
    </w:p>
    <w:p w14:paraId="4FD4C360" w14:textId="77777777" w:rsidR="00E11DA4" w:rsidRPr="00695EBA" w:rsidRDefault="00E11DA4" w:rsidP="00E11DA4">
      <w:pPr>
        <w:spacing w:after="0"/>
        <w:rPr>
          <w:b/>
        </w:rPr>
      </w:pPr>
      <w:r w:rsidRPr="00695EBA">
        <w:rPr>
          <w:b/>
        </w:rPr>
        <w:t>Proposal</w:t>
      </w:r>
      <w:r>
        <w:rPr>
          <w:b/>
        </w:rPr>
        <w:t xml:space="preserve"> #3</w:t>
      </w:r>
      <w:r w:rsidRPr="00695EBA">
        <w:rPr>
          <w:b/>
        </w:rPr>
        <w:t>: It should be possible for Measurement results should be made available to both MN and SN.  Whether this is done over network interface or by UE configuration is FFS.</w:t>
      </w:r>
    </w:p>
    <w:p w14:paraId="3671E923" w14:textId="77777777" w:rsidR="000E78C4" w:rsidRDefault="000E78C4" w:rsidP="000E78C4"/>
    <w:sectPr w:rsidR="000E78C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Intel Clear">
    <w:panose1 w:val="020B0604020203020204"/>
    <w:charset w:val="00"/>
    <w:family w:val="swiss"/>
    <w:pitch w:val="variable"/>
    <w:sig w:usb0="E10006FF" w:usb1="400060FB" w:usb2="00000028"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43703A"/>
    <w:multiLevelType w:val="hybridMultilevel"/>
    <w:tmpl w:val="695ED45C"/>
    <w:lvl w:ilvl="0" w:tplc="4E0C7BBC">
      <w:start w:val="1"/>
      <w:numFmt w:val="bullet"/>
      <w:lvlText w:val=""/>
      <w:lvlJc w:val="left"/>
      <w:pPr>
        <w:tabs>
          <w:tab w:val="num" w:pos="720"/>
        </w:tabs>
        <w:ind w:left="720" w:hanging="360"/>
      </w:pPr>
      <w:rPr>
        <w:rFonts w:ascii="Wingdings" w:hAnsi="Wingdings" w:hint="default"/>
      </w:rPr>
    </w:lvl>
    <w:lvl w:ilvl="1" w:tplc="452E6B6A">
      <w:start w:val="1"/>
      <w:numFmt w:val="bullet"/>
      <w:lvlText w:val=""/>
      <w:lvlJc w:val="left"/>
      <w:pPr>
        <w:tabs>
          <w:tab w:val="num" w:pos="1440"/>
        </w:tabs>
        <w:ind w:left="1440" w:hanging="360"/>
      </w:pPr>
      <w:rPr>
        <w:rFonts w:ascii="Wingdings" w:hAnsi="Wingdings" w:hint="default"/>
      </w:rPr>
    </w:lvl>
    <w:lvl w:ilvl="2" w:tplc="509ABC78" w:tentative="1">
      <w:start w:val="1"/>
      <w:numFmt w:val="bullet"/>
      <w:lvlText w:val=""/>
      <w:lvlJc w:val="left"/>
      <w:pPr>
        <w:tabs>
          <w:tab w:val="num" w:pos="2160"/>
        </w:tabs>
        <w:ind w:left="2160" w:hanging="360"/>
      </w:pPr>
      <w:rPr>
        <w:rFonts w:ascii="Wingdings" w:hAnsi="Wingdings" w:hint="default"/>
      </w:rPr>
    </w:lvl>
    <w:lvl w:ilvl="3" w:tplc="DA9AD6DC" w:tentative="1">
      <w:start w:val="1"/>
      <w:numFmt w:val="bullet"/>
      <w:lvlText w:val=""/>
      <w:lvlJc w:val="left"/>
      <w:pPr>
        <w:tabs>
          <w:tab w:val="num" w:pos="2880"/>
        </w:tabs>
        <w:ind w:left="2880" w:hanging="360"/>
      </w:pPr>
      <w:rPr>
        <w:rFonts w:ascii="Wingdings" w:hAnsi="Wingdings" w:hint="default"/>
      </w:rPr>
    </w:lvl>
    <w:lvl w:ilvl="4" w:tplc="5816B0C2" w:tentative="1">
      <w:start w:val="1"/>
      <w:numFmt w:val="bullet"/>
      <w:lvlText w:val=""/>
      <w:lvlJc w:val="left"/>
      <w:pPr>
        <w:tabs>
          <w:tab w:val="num" w:pos="3600"/>
        </w:tabs>
        <w:ind w:left="3600" w:hanging="360"/>
      </w:pPr>
      <w:rPr>
        <w:rFonts w:ascii="Wingdings" w:hAnsi="Wingdings" w:hint="default"/>
      </w:rPr>
    </w:lvl>
    <w:lvl w:ilvl="5" w:tplc="A538CEEC" w:tentative="1">
      <w:start w:val="1"/>
      <w:numFmt w:val="bullet"/>
      <w:lvlText w:val=""/>
      <w:lvlJc w:val="left"/>
      <w:pPr>
        <w:tabs>
          <w:tab w:val="num" w:pos="4320"/>
        </w:tabs>
        <w:ind w:left="4320" w:hanging="360"/>
      </w:pPr>
      <w:rPr>
        <w:rFonts w:ascii="Wingdings" w:hAnsi="Wingdings" w:hint="default"/>
      </w:rPr>
    </w:lvl>
    <w:lvl w:ilvl="6" w:tplc="DF208F06" w:tentative="1">
      <w:start w:val="1"/>
      <w:numFmt w:val="bullet"/>
      <w:lvlText w:val=""/>
      <w:lvlJc w:val="left"/>
      <w:pPr>
        <w:tabs>
          <w:tab w:val="num" w:pos="5040"/>
        </w:tabs>
        <w:ind w:left="5040" w:hanging="360"/>
      </w:pPr>
      <w:rPr>
        <w:rFonts w:ascii="Wingdings" w:hAnsi="Wingdings" w:hint="default"/>
      </w:rPr>
    </w:lvl>
    <w:lvl w:ilvl="7" w:tplc="5CB065FA" w:tentative="1">
      <w:start w:val="1"/>
      <w:numFmt w:val="bullet"/>
      <w:lvlText w:val=""/>
      <w:lvlJc w:val="left"/>
      <w:pPr>
        <w:tabs>
          <w:tab w:val="num" w:pos="5760"/>
        </w:tabs>
        <w:ind w:left="5760" w:hanging="360"/>
      </w:pPr>
      <w:rPr>
        <w:rFonts w:ascii="Wingdings" w:hAnsi="Wingdings" w:hint="default"/>
      </w:rPr>
    </w:lvl>
    <w:lvl w:ilvl="8" w:tplc="93DCC27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6EA33BB"/>
    <w:multiLevelType w:val="hybridMultilevel"/>
    <w:tmpl w:val="96D050E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786F7A4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817"/>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4C3"/>
    <w:rsid w:val="00043B00"/>
    <w:rsid w:val="00043F8C"/>
    <w:rsid w:val="000445E3"/>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602"/>
    <w:rsid w:val="00072D10"/>
    <w:rsid w:val="00073644"/>
    <w:rsid w:val="00074CF7"/>
    <w:rsid w:val="00075E89"/>
    <w:rsid w:val="000802EF"/>
    <w:rsid w:val="0008139E"/>
    <w:rsid w:val="000821AA"/>
    <w:rsid w:val="00083A16"/>
    <w:rsid w:val="00083E69"/>
    <w:rsid w:val="00083F31"/>
    <w:rsid w:val="0008449B"/>
    <w:rsid w:val="000845D6"/>
    <w:rsid w:val="00084C99"/>
    <w:rsid w:val="0008534C"/>
    <w:rsid w:val="000864BA"/>
    <w:rsid w:val="00086B88"/>
    <w:rsid w:val="00090F4D"/>
    <w:rsid w:val="000937CA"/>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3A46"/>
    <w:rsid w:val="000D53F8"/>
    <w:rsid w:val="000D54E1"/>
    <w:rsid w:val="000D59A5"/>
    <w:rsid w:val="000D5D4E"/>
    <w:rsid w:val="000E17F5"/>
    <w:rsid w:val="000E1A69"/>
    <w:rsid w:val="000E419D"/>
    <w:rsid w:val="000E558E"/>
    <w:rsid w:val="000E7453"/>
    <w:rsid w:val="000E78C4"/>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32F5"/>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D3B"/>
    <w:rsid w:val="00156F72"/>
    <w:rsid w:val="001606A5"/>
    <w:rsid w:val="0016368A"/>
    <w:rsid w:val="00164CF9"/>
    <w:rsid w:val="00171235"/>
    <w:rsid w:val="00172FC5"/>
    <w:rsid w:val="00175A92"/>
    <w:rsid w:val="00175B61"/>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52A"/>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D767F"/>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169F6"/>
    <w:rsid w:val="00222601"/>
    <w:rsid w:val="00222689"/>
    <w:rsid w:val="00223696"/>
    <w:rsid w:val="00225201"/>
    <w:rsid w:val="00225A44"/>
    <w:rsid w:val="0022643E"/>
    <w:rsid w:val="00226BAF"/>
    <w:rsid w:val="002278F4"/>
    <w:rsid w:val="00230AE7"/>
    <w:rsid w:val="0023108D"/>
    <w:rsid w:val="00231BD0"/>
    <w:rsid w:val="00234DCA"/>
    <w:rsid w:val="0023547A"/>
    <w:rsid w:val="00235E14"/>
    <w:rsid w:val="002368E4"/>
    <w:rsid w:val="00237B3C"/>
    <w:rsid w:val="00237E21"/>
    <w:rsid w:val="00240588"/>
    <w:rsid w:val="002409D3"/>
    <w:rsid w:val="00240A3F"/>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2E3"/>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331B"/>
    <w:rsid w:val="002C42B6"/>
    <w:rsid w:val="002C4698"/>
    <w:rsid w:val="002C58E4"/>
    <w:rsid w:val="002C6412"/>
    <w:rsid w:val="002C6D7B"/>
    <w:rsid w:val="002C6E16"/>
    <w:rsid w:val="002C7010"/>
    <w:rsid w:val="002C7597"/>
    <w:rsid w:val="002D05E1"/>
    <w:rsid w:val="002D086D"/>
    <w:rsid w:val="002D0BEC"/>
    <w:rsid w:val="002D0C22"/>
    <w:rsid w:val="002D0EE4"/>
    <w:rsid w:val="002D14EE"/>
    <w:rsid w:val="002D22A9"/>
    <w:rsid w:val="002D3114"/>
    <w:rsid w:val="002D38AA"/>
    <w:rsid w:val="002D43F3"/>
    <w:rsid w:val="002D5CC5"/>
    <w:rsid w:val="002D6109"/>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2821"/>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1E7A"/>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2F1C"/>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69C0"/>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1DF6"/>
    <w:rsid w:val="00462A11"/>
    <w:rsid w:val="00463898"/>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6BDD"/>
    <w:rsid w:val="004A7411"/>
    <w:rsid w:val="004B04D0"/>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3EEA"/>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2335"/>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14A"/>
    <w:rsid w:val="00590694"/>
    <w:rsid w:val="00590DDE"/>
    <w:rsid w:val="00591969"/>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0D72"/>
    <w:rsid w:val="005F2D8C"/>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0FDD"/>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5EBA"/>
    <w:rsid w:val="006960E2"/>
    <w:rsid w:val="00696D53"/>
    <w:rsid w:val="006974A1"/>
    <w:rsid w:val="006A1C3A"/>
    <w:rsid w:val="006A205A"/>
    <w:rsid w:val="006A345F"/>
    <w:rsid w:val="006A3D67"/>
    <w:rsid w:val="006A50E6"/>
    <w:rsid w:val="006A65D9"/>
    <w:rsid w:val="006A669D"/>
    <w:rsid w:val="006A6C74"/>
    <w:rsid w:val="006A774D"/>
    <w:rsid w:val="006B01F0"/>
    <w:rsid w:val="006B049E"/>
    <w:rsid w:val="006B117D"/>
    <w:rsid w:val="006B1F1E"/>
    <w:rsid w:val="006B2CB3"/>
    <w:rsid w:val="006B36CB"/>
    <w:rsid w:val="006B3A6A"/>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1BB0"/>
    <w:rsid w:val="0074214A"/>
    <w:rsid w:val="00742178"/>
    <w:rsid w:val="00742FB0"/>
    <w:rsid w:val="00743902"/>
    <w:rsid w:val="00744542"/>
    <w:rsid w:val="00745715"/>
    <w:rsid w:val="007461E4"/>
    <w:rsid w:val="00746C36"/>
    <w:rsid w:val="007479A4"/>
    <w:rsid w:val="00747C4E"/>
    <w:rsid w:val="00752304"/>
    <w:rsid w:val="00753796"/>
    <w:rsid w:val="0075404D"/>
    <w:rsid w:val="00754649"/>
    <w:rsid w:val="00754A27"/>
    <w:rsid w:val="00754E33"/>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70D"/>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6DB3"/>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07E2"/>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5F74"/>
    <w:rsid w:val="00866011"/>
    <w:rsid w:val="00867B6F"/>
    <w:rsid w:val="00871A8C"/>
    <w:rsid w:val="00871A9C"/>
    <w:rsid w:val="00872C85"/>
    <w:rsid w:val="00873BC8"/>
    <w:rsid w:val="00873E83"/>
    <w:rsid w:val="008754FE"/>
    <w:rsid w:val="008756F0"/>
    <w:rsid w:val="008757F3"/>
    <w:rsid w:val="00875C7A"/>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65DE"/>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03CE"/>
    <w:rsid w:val="0093266C"/>
    <w:rsid w:val="00932808"/>
    <w:rsid w:val="00932B19"/>
    <w:rsid w:val="00933D4E"/>
    <w:rsid w:val="00935C54"/>
    <w:rsid w:val="00936B22"/>
    <w:rsid w:val="009409C0"/>
    <w:rsid w:val="00940F8C"/>
    <w:rsid w:val="009416DA"/>
    <w:rsid w:val="009435D7"/>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781"/>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4AF0"/>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6BAC"/>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90E"/>
    <w:rsid w:val="009F2E5C"/>
    <w:rsid w:val="009F4605"/>
    <w:rsid w:val="009F4A57"/>
    <w:rsid w:val="009F521E"/>
    <w:rsid w:val="009F5AF9"/>
    <w:rsid w:val="009F6324"/>
    <w:rsid w:val="009F663E"/>
    <w:rsid w:val="009F7CBD"/>
    <w:rsid w:val="00A02717"/>
    <w:rsid w:val="00A02FAC"/>
    <w:rsid w:val="00A051D0"/>
    <w:rsid w:val="00A052AC"/>
    <w:rsid w:val="00A06178"/>
    <w:rsid w:val="00A07DF6"/>
    <w:rsid w:val="00A1048A"/>
    <w:rsid w:val="00A10685"/>
    <w:rsid w:val="00A12D64"/>
    <w:rsid w:val="00A131E6"/>
    <w:rsid w:val="00A1398A"/>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817"/>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51F8"/>
    <w:rsid w:val="00AE63CA"/>
    <w:rsid w:val="00AE7045"/>
    <w:rsid w:val="00AE773C"/>
    <w:rsid w:val="00AE7DC8"/>
    <w:rsid w:val="00AF13D2"/>
    <w:rsid w:val="00AF15D8"/>
    <w:rsid w:val="00AF1BFD"/>
    <w:rsid w:val="00AF218A"/>
    <w:rsid w:val="00AF4011"/>
    <w:rsid w:val="00AF4A7B"/>
    <w:rsid w:val="00AF69FD"/>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AE2"/>
    <w:rsid w:val="00B46B65"/>
    <w:rsid w:val="00B46FA2"/>
    <w:rsid w:val="00B47EED"/>
    <w:rsid w:val="00B50531"/>
    <w:rsid w:val="00B50CED"/>
    <w:rsid w:val="00B510DC"/>
    <w:rsid w:val="00B5110C"/>
    <w:rsid w:val="00B52CA7"/>
    <w:rsid w:val="00B536A6"/>
    <w:rsid w:val="00B55B0E"/>
    <w:rsid w:val="00B56F87"/>
    <w:rsid w:val="00B6046E"/>
    <w:rsid w:val="00B61D0C"/>
    <w:rsid w:val="00B62314"/>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132"/>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3D1C"/>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3013"/>
    <w:rsid w:val="00BE5E1E"/>
    <w:rsid w:val="00BE637D"/>
    <w:rsid w:val="00BE67B4"/>
    <w:rsid w:val="00BE6B49"/>
    <w:rsid w:val="00BE7965"/>
    <w:rsid w:val="00BE7EA9"/>
    <w:rsid w:val="00BF03D4"/>
    <w:rsid w:val="00BF0B64"/>
    <w:rsid w:val="00BF11F0"/>
    <w:rsid w:val="00BF18FD"/>
    <w:rsid w:val="00BF24E5"/>
    <w:rsid w:val="00BF29BF"/>
    <w:rsid w:val="00BF35D4"/>
    <w:rsid w:val="00BF387D"/>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05F"/>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1CAE"/>
    <w:rsid w:val="00CB3137"/>
    <w:rsid w:val="00CB3AB1"/>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598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65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1DA4"/>
    <w:rsid w:val="00E11DEE"/>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50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25F"/>
    <w:rsid w:val="00E8178A"/>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5B3"/>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A7F40"/>
    <w:rsid w:val="00FB03C8"/>
    <w:rsid w:val="00FB253C"/>
    <w:rsid w:val="00FB449A"/>
    <w:rsid w:val="00FB5865"/>
    <w:rsid w:val="00FC0689"/>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680F"/>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1E874"/>
  <w15:chartTrackingRefBased/>
  <w15:docId w15:val="{83044979-28D3-4865-8ECF-B1AF47C4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1969"/>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91969"/>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91969"/>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591969"/>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91969"/>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591969"/>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591969"/>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59196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196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rsid w:val="00AA2817"/>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Normal"/>
    <w:link w:val="Doc-text2Char"/>
    <w:qFormat/>
    <w:rsid w:val="00AA2817"/>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AA2817"/>
    <w:rPr>
      <w:rFonts w:ascii="Arial" w:eastAsia="MS Mincho" w:hAnsi="Arial" w:cs="Times New Roman"/>
      <w:sz w:val="20"/>
      <w:szCs w:val="24"/>
      <w:lang w:eastAsia="en-GB"/>
    </w:rPr>
  </w:style>
  <w:style w:type="character" w:customStyle="1" w:styleId="Doc-titleChar">
    <w:name w:val="Doc-title Char"/>
    <w:link w:val="Doc-title"/>
    <w:rsid w:val="00AA2817"/>
    <w:rPr>
      <w:rFonts w:ascii="Arial" w:eastAsia="MS Mincho" w:hAnsi="Arial" w:cs="Times New Roman"/>
      <w:noProof/>
      <w:sz w:val="20"/>
      <w:szCs w:val="24"/>
      <w:lang w:eastAsia="en-GB"/>
    </w:rPr>
  </w:style>
  <w:style w:type="character" w:styleId="Hyperlink">
    <w:name w:val="Hyperlink"/>
    <w:uiPriority w:val="99"/>
    <w:rsid w:val="00AA2817"/>
    <w:rPr>
      <w:color w:val="0000FF"/>
      <w:u w:val="single"/>
    </w:rPr>
  </w:style>
  <w:style w:type="paragraph" w:styleId="Header">
    <w:name w:val="header"/>
    <w:basedOn w:val="Normal"/>
    <w:link w:val="HeaderChar"/>
    <w:uiPriority w:val="99"/>
    <w:rsid w:val="00591969"/>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591969"/>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59196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59196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59196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59196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59196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59196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59196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59196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91969"/>
    <w:rPr>
      <w:rFonts w:asciiTheme="majorHAnsi" w:eastAsiaTheme="majorEastAsia" w:hAnsiTheme="majorHAnsi" w:cstheme="majorBidi"/>
      <w:i/>
      <w:iCs/>
      <w:color w:val="272727" w:themeColor="text1" w:themeTint="D8"/>
      <w:sz w:val="21"/>
      <w:szCs w:val="21"/>
    </w:rPr>
  </w:style>
  <w:style w:type="paragraph" w:styleId="TOC5">
    <w:name w:val="toc 5"/>
    <w:basedOn w:val="TOC4"/>
    <w:uiPriority w:val="39"/>
    <w:rsid w:val="00C3105F"/>
    <w:pPr>
      <w:keepLines/>
      <w:widowControl w:val="0"/>
      <w:tabs>
        <w:tab w:val="right" w:leader="dot" w:pos="9639"/>
      </w:tabs>
      <w:spacing w:after="0" w:line="240" w:lineRule="auto"/>
      <w:ind w:left="1701" w:right="425" w:hanging="1701"/>
    </w:pPr>
    <w:rPr>
      <w:rFonts w:ascii="Times New Roman" w:eastAsia="MS Mincho" w:hAnsi="Times New Roman" w:cs="Times New Roman"/>
      <w:noProof/>
      <w:sz w:val="20"/>
      <w:szCs w:val="20"/>
    </w:rPr>
  </w:style>
  <w:style w:type="paragraph" w:styleId="TOC6">
    <w:name w:val="toc 6"/>
    <w:basedOn w:val="TOC5"/>
    <w:next w:val="Normal"/>
    <w:uiPriority w:val="39"/>
    <w:rsid w:val="00C3105F"/>
    <w:pPr>
      <w:ind w:left="1985" w:hanging="1985"/>
    </w:pPr>
  </w:style>
  <w:style w:type="paragraph" w:styleId="TOC4">
    <w:name w:val="toc 4"/>
    <w:basedOn w:val="Normal"/>
    <w:next w:val="Normal"/>
    <w:autoRedefine/>
    <w:uiPriority w:val="39"/>
    <w:semiHidden/>
    <w:unhideWhenUsed/>
    <w:rsid w:val="00C3105F"/>
    <w:pPr>
      <w:spacing w:after="100"/>
      <w:ind w:left="660"/>
    </w:pPr>
  </w:style>
  <w:style w:type="table" w:styleId="TableGrid">
    <w:name w:val="Table Grid"/>
    <w:basedOn w:val="TableNormal"/>
    <w:uiPriority w:val="39"/>
    <w:rsid w:val="00C310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387D"/>
    <w:pPr>
      <w:ind w:left="720"/>
      <w:contextualSpacing/>
    </w:pPr>
  </w:style>
  <w:style w:type="paragraph" w:styleId="BalloonText">
    <w:name w:val="Balloon Text"/>
    <w:basedOn w:val="Normal"/>
    <w:link w:val="BalloonTextChar"/>
    <w:uiPriority w:val="99"/>
    <w:semiHidden/>
    <w:unhideWhenUsed/>
    <w:rsid w:val="00BE5E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5E1E"/>
    <w:rPr>
      <w:rFonts w:ascii="Segoe UI" w:hAnsi="Segoe UI" w:cs="Segoe UI"/>
      <w:sz w:val="18"/>
      <w:szCs w:val="18"/>
    </w:rPr>
  </w:style>
  <w:style w:type="character" w:styleId="CommentReference">
    <w:name w:val="annotation reference"/>
    <w:basedOn w:val="DefaultParagraphFont"/>
    <w:uiPriority w:val="99"/>
    <w:semiHidden/>
    <w:unhideWhenUsed/>
    <w:rsid w:val="00BE5E1E"/>
    <w:rPr>
      <w:sz w:val="16"/>
      <w:szCs w:val="16"/>
    </w:rPr>
  </w:style>
  <w:style w:type="paragraph" w:styleId="CommentText">
    <w:name w:val="annotation text"/>
    <w:basedOn w:val="Normal"/>
    <w:link w:val="CommentTextChar"/>
    <w:uiPriority w:val="99"/>
    <w:semiHidden/>
    <w:unhideWhenUsed/>
    <w:rsid w:val="00BE5E1E"/>
    <w:pPr>
      <w:spacing w:line="240" w:lineRule="auto"/>
    </w:pPr>
    <w:rPr>
      <w:sz w:val="20"/>
      <w:szCs w:val="20"/>
    </w:rPr>
  </w:style>
  <w:style w:type="character" w:customStyle="1" w:styleId="CommentTextChar">
    <w:name w:val="Comment Text Char"/>
    <w:basedOn w:val="DefaultParagraphFont"/>
    <w:link w:val="CommentText"/>
    <w:uiPriority w:val="99"/>
    <w:semiHidden/>
    <w:rsid w:val="00BE5E1E"/>
    <w:rPr>
      <w:sz w:val="20"/>
      <w:szCs w:val="20"/>
    </w:rPr>
  </w:style>
  <w:style w:type="paragraph" w:styleId="CommentSubject">
    <w:name w:val="annotation subject"/>
    <w:basedOn w:val="CommentText"/>
    <w:next w:val="CommentText"/>
    <w:link w:val="CommentSubjectChar"/>
    <w:uiPriority w:val="99"/>
    <w:semiHidden/>
    <w:unhideWhenUsed/>
    <w:rsid w:val="00BE5E1E"/>
    <w:rPr>
      <w:b/>
      <w:bCs/>
    </w:rPr>
  </w:style>
  <w:style w:type="character" w:customStyle="1" w:styleId="CommentSubjectChar">
    <w:name w:val="Comment Subject Char"/>
    <w:basedOn w:val="CommentTextChar"/>
    <w:link w:val="CommentSubject"/>
    <w:uiPriority w:val="99"/>
    <w:semiHidden/>
    <w:rsid w:val="00BE5E1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3128227">
      <w:bodyDiv w:val="1"/>
      <w:marLeft w:val="0"/>
      <w:marRight w:val="0"/>
      <w:marTop w:val="0"/>
      <w:marBottom w:val="0"/>
      <w:divBdr>
        <w:top w:val="none" w:sz="0" w:space="0" w:color="auto"/>
        <w:left w:val="none" w:sz="0" w:space="0" w:color="auto"/>
        <w:bottom w:val="none" w:sz="0" w:space="0" w:color="auto"/>
        <w:right w:val="none" w:sz="0" w:space="0" w:color="auto"/>
      </w:divBdr>
      <w:divsChild>
        <w:div w:id="57091257">
          <w:marLeft w:val="360"/>
          <w:marRight w:val="0"/>
          <w:marTop w:val="240"/>
          <w:marBottom w:val="0"/>
          <w:divBdr>
            <w:top w:val="none" w:sz="0" w:space="0" w:color="auto"/>
            <w:left w:val="none" w:sz="0" w:space="0" w:color="auto"/>
            <w:bottom w:val="none" w:sz="0" w:space="0" w:color="auto"/>
            <w:right w:val="none" w:sz="0" w:space="0" w:color="auto"/>
          </w:divBdr>
        </w:div>
        <w:div w:id="222721617">
          <w:marLeft w:val="360"/>
          <w:marRight w:val="0"/>
          <w:marTop w:val="240"/>
          <w:marBottom w:val="0"/>
          <w:divBdr>
            <w:top w:val="none" w:sz="0" w:space="0" w:color="auto"/>
            <w:left w:val="none" w:sz="0" w:space="0" w:color="auto"/>
            <w:bottom w:val="none" w:sz="0" w:space="0" w:color="auto"/>
            <w:right w:val="none" w:sz="0" w:space="0" w:color="auto"/>
          </w:divBdr>
        </w:div>
        <w:div w:id="1516844518">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621CD-C832-4E64-8AD4-BB6A9B870CD8}">
  <ds:schemaRefs>
    <ds:schemaRef ds:uri="http://schemas.microsoft.com/sharepoint/v3/contenttype/forms"/>
  </ds:schemaRefs>
</ds:datastoreItem>
</file>

<file path=customXml/itemProps2.xml><?xml version="1.0" encoding="utf-8"?>
<ds:datastoreItem xmlns:ds="http://schemas.openxmlformats.org/officeDocument/2006/customXml" ds:itemID="{17D0FF43-D1C1-45E8-BE38-8D7C67883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DAB4FC-8101-41B7-BBC8-6B189FB92AB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8D5517D-C3BC-4E8A-979D-F03A5F282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1644</Words>
  <Characters>9376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
  <dc:description/>
  <cp:lastModifiedBy>Sudeep Palat (Intel)</cp:lastModifiedBy>
  <cp:revision>2</cp:revision>
  <dcterms:created xsi:type="dcterms:W3CDTF">2017-03-25T00:03:00Z</dcterms:created>
  <dcterms:modified xsi:type="dcterms:W3CDTF">2017-03-25T00:03:00Z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ies>
</file>