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CD3" w:rsidRPr="00B266B0" w:rsidRDefault="00F77CD3" w:rsidP="00F77CD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1D3A30">
        <w:rPr>
          <w:noProof w:val="0"/>
          <w:sz w:val="24"/>
          <w:szCs w:val="24"/>
        </w:rPr>
        <w:t>96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CD31A7">
        <w:rPr>
          <w:bCs/>
          <w:noProof w:val="0"/>
          <w:sz w:val="24"/>
          <w:szCs w:val="24"/>
        </w:rPr>
        <w:t>68426</w:t>
      </w:r>
      <w:bookmarkStart w:id="1" w:name="_GoBack"/>
      <w:bookmarkEnd w:id="1"/>
    </w:p>
    <w:p w:rsidR="00F77CD3" w:rsidRPr="00B266B0" w:rsidRDefault="001D3A30" w:rsidP="00F77CD3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Reno, USA, 14 - 18 Novem</w:t>
      </w:r>
      <w:r w:rsidR="00F77CD3" w:rsidRPr="00C24650">
        <w:rPr>
          <w:rFonts w:eastAsia="SimSun"/>
          <w:noProof w:val="0"/>
          <w:sz w:val="24"/>
          <w:szCs w:val="24"/>
          <w:lang w:eastAsia="zh-CN"/>
        </w:rPr>
        <w:t>ber 2016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A52AA">
        <w:rPr>
          <w:rFonts w:cs="Arial"/>
          <w:b/>
          <w:bCs/>
          <w:sz w:val="24"/>
          <w:lang w:eastAsia="ja-JP"/>
        </w:rPr>
        <w:t>8</w:t>
      </w:r>
      <w:r w:rsidR="002747EC">
        <w:rPr>
          <w:rFonts w:cs="Arial"/>
          <w:b/>
          <w:bCs/>
          <w:sz w:val="24"/>
          <w:lang w:eastAsia="ja-JP"/>
        </w:rPr>
        <w:t>.</w:t>
      </w:r>
      <w:r w:rsidR="008A52AA">
        <w:rPr>
          <w:rFonts w:cs="Arial"/>
          <w:b/>
          <w:bCs/>
          <w:sz w:val="24"/>
          <w:lang w:eastAsia="ja-JP"/>
        </w:rPr>
        <w:t>13</w:t>
      </w:r>
      <w:r w:rsidR="002747EC">
        <w:rPr>
          <w:rFonts w:cs="Arial"/>
          <w:b/>
          <w:bCs/>
          <w:sz w:val="24"/>
          <w:lang w:eastAsia="ja-JP"/>
        </w:rPr>
        <w:t>.</w:t>
      </w:r>
      <w:r w:rsidR="008A52AA">
        <w:rPr>
          <w:rFonts w:cs="Arial"/>
          <w:b/>
          <w:bCs/>
          <w:sz w:val="24"/>
          <w:lang w:eastAsia="ja-JP"/>
        </w:rPr>
        <w:t>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435CFD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Efficient V2P/P2V activation</w:t>
      </w:r>
    </w:p>
    <w:p w:rsidR="00CD4C7B" w:rsidRPr="00B266B0" w:rsidRDefault="008A52AA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8A52AA">
        <w:rPr>
          <w:rFonts w:ascii="Arial" w:hAnsi="Arial" w:cs="Arial"/>
          <w:b/>
          <w:bCs/>
          <w:sz w:val="24"/>
        </w:rPr>
        <w:t>LTE_V2X-Core</w:t>
      </w:r>
      <w:r w:rsidR="00CD4C7B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 w:rsidR="00CD4C7B"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477455">
        <w:rPr>
          <w:rFonts w:ascii="Arial" w:hAnsi="Arial" w:cs="Arial"/>
          <w:b/>
          <w:bCs/>
          <w:sz w:val="24"/>
        </w:rPr>
        <w:t>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D4C7B" w:rsidRPr="00C158F8" w:rsidRDefault="007226E9" w:rsidP="00C158F8">
      <w:pPr>
        <w:jc w:val="both"/>
        <w:rPr>
          <w:lang w:val="en-US"/>
        </w:rPr>
      </w:pPr>
      <w:r>
        <w:t xml:space="preserve">Even though V2X communication will predominantly involve two or </w:t>
      </w:r>
      <w:r w:rsidR="004B4C89">
        <w:t>more vehicles (V-UEs)</w:t>
      </w:r>
      <w:r>
        <w:t xml:space="preserve"> exchanging messages one another, the pedestrians’ role should not be neglected. It is a well-justified assumption that a contemporary pedestrian will be equipped with a UE (so-called P-UE) so it </w:t>
      </w:r>
      <w:r w:rsidR="00952E88">
        <w:t>is an obvious step to involve P-UE in the communication with a surrounding env</w:t>
      </w:r>
      <w:r w:rsidR="004B4C89">
        <w:t>ironment (e.g. vehicles/</w:t>
      </w:r>
      <w:r w:rsidR="00237FC9">
        <w:t>V-UEs) in order to boost the overall safety and awareness. V2P aspects</w:t>
      </w:r>
      <w:r w:rsidR="004B4C89">
        <w:t xml:space="preserve"> are listed among the </w:t>
      </w:r>
      <w:r w:rsidR="00237FC9">
        <w:t xml:space="preserve">objectives of the </w:t>
      </w:r>
      <w:r w:rsidR="00F77CD3">
        <w:t xml:space="preserve">already </w:t>
      </w:r>
      <w:r w:rsidR="00237FC9">
        <w:t>comme</w:t>
      </w:r>
      <w:r w:rsidR="00F77CD3">
        <w:t>nced</w:t>
      </w:r>
      <w:r w:rsidR="00237FC9">
        <w:t xml:space="preserve"> LTE V2X Work Item (described in detail in </w:t>
      </w:r>
      <w:r w:rsidR="00237FC9">
        <w:fldChar w:fldCharType="begin"/>
      </w:r>
      <w:r w:rsidR="00237FC9">
        <w:instrText xml:space="preserve"> REF _Ref458756954 \n \h </w:instrText>
      </w:r>
      <w:r w:rsidR="00C158F8">
        <w:instrText xml:space="preserve"> \* MERGEFORMAT </w:instrText>
      </w:r>
      <w:r w:rsidR="00237FC9">
        <w:fldChar w:fldCharType="separate"/>
      </w:r>
      <w:r w:rsidR="00237FC9">
        <w:t>[1]</w:t>
      </w:r>
      <w:r w:rsidR="00237FC9">
        <w:fldChar w:fldCharType="end"/>
      </w:r>
      <w:r w:rsidR="00237FC9">
        <w:t>). A</w:t>
      </w:r>
      <w:r w:rsidR="0098063C">
        <w:t>lso the a</w:t>
      </w:r>
      <w:r w:rsidR="00237FC9">
        <w:t xml:space="preserve">ssociated 3GPP Technical Report (i.e. TR 36.885 </w:t>
      </w:r>
      <w:r w:rsidR="00237FC9">
        <w:fldChar w:fldCharType="begin"/>
      </w:r>
      <w:r w:rsidR="00237FC9">
        <w:instrText xml:space="preserve"> REF _Ref458757390 \n \h </w:instrText>
      </w:r>
      <w:r w:rsidR="00C158F8">
        <w:instrText xml:space="preserve"> \* MERGEFORMAT </w:instrText>
      </w:r>
      <w:r w:rsidR="00237FC9">
        <w:fldChar w:fldCharType="separate"/>
      </w:r>
      <w:r w:rsidR="00237FC9">
        <w:t>[2]</w:t>
      </w:r>
      <w:r w:rsidR="00237FC9">
        <w:fldChar w:fldCharType="end"/>
      </w:r>
      <w:r w:rsidR="00237FC9">
        <w:t>)</w:t>
      </w:r>
      <w:r w:rsidR="0098063C">
        <w:t xml:space="preserve"> </w:t>
      </w:r>
      <w:r w:rsidR="00237FC9">
        <w:t xml:space="preserve">comprises few issues related to V2P </w:t>
      </w:r>
      <w:r w:rsidR="004B4C89">
        <w:t xml:space="preserve">which are labelled </w:t>
      </w:r>
      <w:r w:rsidR="00237FC9">
        <w:t xml:space="preserve">as “for further study”. </w:t>
      </w:r>
      <w:r w:rsidR="00F77CD3">
        <w:t>I</w:t>
      </w:r>
      <w:r w:rsidR="0098063C">
        <w:t>t is a topic</w:t>
      </w:r>
      <w:r w:rsidR="00815157">
        <w:t xml:space="preserve"> of paramount importance to conserve P-UE’s</w:t>
      </w:r>
      <w:r w:rsidR="00BF1360">
        <w:t xml:space="preserve"> battery by not getting engaged in P2V/V2P communications when it is unnecessary. This paper i</w:t>
      </w:r>
      <w:r w:rsidR="000D7DC1">
        <w:t>s aimed at</w:t>
      </w:r>
      <w:r w:rsidR="004B4C89">
        <w:t xml:space="preserve"> outlining a possible enhancement</w:t>
      </w:r>
      <w:r w:rsidR="000D7DC1">
        <w:t xml:space="preserve"> in the area of enabling V2P/P2V communications.</w:t>
      </w:r>
    </w:p>
    <w:p w:rsidR="00CD4C7B" w:rsidRPr="0098063C" w:rsidRDefault="00BF1360" w:rsidP="00CD4C7B">
      <w:pPr>
        <w:pStyle w:val="Heading1"/>
        <w:rPr>
          <w:lang w:val="en-US"/>
        </w:rPr>
      </w:pPr>
      <w:r w:rsidRPr="0098063C">
        <w:rPr>
          <w:lang w:val="en-US"/>
        </w:rPr>
        <w:t>2</w:t>
      </w:r>
      <w:r w:rsidRPr="0098063C">
        <w:rPr>
          <w:lang w:val="en-US"/>
        </w:rPr>
        <w:tab/>
        <w:t>Discussion</w:t>
      </w:r>
    </w:p>
    <w:p w:rsidR="00CD4C7B" w:rsidRDefault="00913EA2" w:rsidP="008A5F7C">
      <w:pPr>
        <w:jc w:val="both"/>
      </w:pPr>
      <w:r w:rsidRPr="00913EA2">
        <w:rPr>
          <w:lang w:val="en-US"/>
        </w:rPr>
        <w:t xml:space="preserve">The authors of </w:t>
      </w:r>
      <w:r>
        <w:rPr>
          <w:lang w:val="pl-PL"/>
        </w:rPr>
        <w:fldChar w:fldCharType="begin"/>
      </w:r>
      <w:r w:rsidRPr="00913EA2">
        <w:rPr>
          <w:lang w:val="en-US"/>
        </w:rPr>
        <w:instrText xml:space="preserve"> REF _Ref458758148 \n \h </w:instrText>
      </w:r>
      <w:r w:rsidR="008A5F7C" w:rsidRPr="008A5F7C">
        <w:rPr>
          <w:lang w:val="en-US"/>
        </w:rPr>
        <w:instrText xml:space="preserve"> \* MERGEFORMAT </w:instrText>
      </w:r>
      <w:r>
        <w:rPr>
          <w:lang w:val="pl-PL"/>
        </w:rPr>
      </w:r>
      <w:r>
        <w:rPr>
          <w:lang w:val="pl-PL"/>
        </w:rPr>
        <w:fldChar w:fldCharType="separate"/>
      </w:r>
      <w:r w:rsidRPr="00913EA2">
        <w:rPr>
          <w:lang w:val="en-US"/>
        </w:rPr>
        <w:t>[3]</w:t>
      </w:r>
      <w:r>
        <w:rPr>
          <w:lang w:val="pl-PL"/>
        </w:rPr>
        <w:fldChar w:fldCharType="end"/>
      </w:r>
      <w:r w:rsidRPr="00913EA2">
        <w:rPr>
          <w:lang w:val="en-US"/>
        </w:rPr>
        <w:t xml:space="preserve"> have correctly identified that P-UE’s involvement in V2X commun</w:t>
      </w:r>
      <w:r>
        <w:rPr>
          <w:lang w:val="en-US"/>
        </w:rPr>
        <w:t>ication may not be always necessary. Furthermore, it would be even beneficial from the energy efficiency point of view to refrain from actively participating in V2P/P2V</w:t>
      </w:r>
      <w:r w:rsidR="008A5F7C">
        <w:rPr>
          <w:lang w:val="en-US"/>
        </w:rPr>
        <w:t xml:space="preserve"> communications</w:t>
      </w:r>
      <w:r>
        <w:rPr>
          <w:lang w:val="en-US"/>
        </w:rPr>
        <w:t xml:space="preserve">. </w:t>
      </w:r>
      <w:r w:rsidRPr="00913EA2">
        <w:rPr>
          <w:lang w:val="en-US"/>
        </w:rPr>
        <w:t xml:space="preserve">It is an obvious observation that P-UE does not have to continuously listen or </w:t>
      </w:r>
      <w:r w:rsidR="006236DD">
        <w:rPr>
          <w:lang w:val="en-US"/>
        </w:rPr>
        <w:t xml:space="preserve">transmit V2X-related messages. For example, </w:t>
      </w:r>
      <w:r w:rsidRPr="00913EA2">
        <w:rPr>
          <w:lang w:val="en-US"/>
        </w:rPr>
        <w:t xml:space="preserve">it would be completely pointless if P-UE belonging to a user currently </w:t>
      </w:r>
      <w:r w:rsidR="008A5F7C">
        <w:rPr>
          <w:lang w:val="en-US"/>
        </w:rPr>
        <w:t>located at home</w:t>
      </w:r>
      <w:r w:rsidRPr="00913EA2">
        <w:rPr>
          <w:lang w:val="en-US"/>
        </w:rPr>
        <w:t xml:space="preserve"> was actively engaged in V2P (vehicle-originated) or P2V (pedestrian-originated) communication. This</w:t>
      </w:r>
      <w:r w:rsidR="006236DD">
        <w:rPr>
          <w:lang w:val="en-US"/>
        </w:rPr>
        <w:t xml:space="preserve">, however, </w:t>
      </w:r>
      <w:r w:rsidR="006236DD" w:rsidRPr="00913EA2">
        <w:rPr>
          <w:lang w:val="en-US"/>
        </w:rPr>
        <w:t>imposes</w:t>
      </w:r>
      <w:r w:rsidRPr="00913EA2">
        <w:rPr>
          <w:lang w:val="en-US"/>
        </w:rPr>
        <w:t xml:space="preserve"> additional challenge that needs to be addressed: how and when to activate/deactivate V2P/P2V service in a smart manner. </w:t>
      </w:r>
      <w:r w:rsidR="008A5F7C">
        <w:t>The goal is obviously not only to switch on V2X service immediately when user/P-UE leaves the building but rather to execute it when the user/P-UE emerges in the road vicinity (i.e. where it is beneficial for him or her to send and receive V2X messages). Furthermore, user’s mobility should serve as an additional</w:t>
      </w:r>
      <w:r w:rsidR="00C72F99">
        <w:t xml:space="preserve"> trigger as due to the movement</w:t>
      </w:r>
      <w:r w:rsidR="008A5F7C">
        <w:t xml:space="preserve">, </w:t>
      </w:r>
      <w:r w:rsidR="003378D7">
        <w:t>user may unexpectedly intersect with</w:t>
      </w:r>
      <w:r w:rsidR="008A5F7C">
        <w:t xml:space="preserve"> car’s trajectory.</w:t>
      </w:r>
    </w:p>
    <w:p w:rsidR="009D0553" w:rsidRPr="009D0553" w:rsidRDefault="009D0553" w:rsidP="009D0553">
      <w:pPr>
        <w:pStyle w:val="ListParagraph"/>
        <w:numPr>
          <w:ilvl w:val="0"/>
          <w:numId w:val="5"/>
        </w:numPr>
        <w:jc w:val="both"/>
        <w:rPr>
          <w:b/>
        </w:rPr>
      </w:pPr>
      <w:bookmarkStart w:id="2" w:name="_Ref458770018"/>
      <w:r w:rsidRPr="009D0553">
        <w:rPr>
          <w:b/>
        </w:rPr>
        <w:t>Not only P-UE’s position should be taken into account while assessing whether to trigger V2P/P2P communication. User’s mobility shall also play important role in taking such decision.</w:t>
      </w:r>
      <w:bookmarkEnd w:id="2"/>
    </w:p>
    <w:p w:rsidR="008070C7" w:rsidRDefault="003378D7" w:rsidP="008A5F7C">
      <w:pPr>
        <w:jc w:val="both"/>
      </w:pPr>
      <w:r>
        <w:t xml:space="preserve">The authors of </w:t>
      </w:r>
      <w:r>
        <w:fldChar w:fldCharType="begin"/>
      </w:r>
      <w:r>
        <w:instrText xml:space="preserve"> REF _Ref458758148 \n \h </w:instrText>
      </w:r>
      <w:r>
        <w:fldChar w:fldCharType="separate"/>
      </w:r>
      <w:r>
        <w:t>[3]</w:t>
      </w:r>
      <w:r>
        <w:fldChar w:fldCharType="end"/>
      </w:r>
      <w:r>
        <w:t xml:space="preserve"> suggest to consider “user’s preference” in triggering V2P/P2V serv</w:t>
      </w:r>
      <w:r w:rsidR="008070C7">
        <w:t>ices what</w:t>
      </w:r>
      <w:r>
        <w:t xml:space="preserve"> </w:t>
      </w:r>
      <w:r w:rsidRPr="003378D7">
        <w:t>should be regarded as dangerous and therefore unacceptable solution. It is difficult to continuously rely on human’s actions and assume</w:t>
      </w:r>
      <w:r w:rsidR="00D30B3B">
        <w:t xml:space="preserve"> the user would always remember or </w:t>
      </w:r>
      <w:r w:rsidRPr="003378D7">
        <w:t>be sufficiently disciplined to send a notification to the network that from now onwards he/she is interested in V2P/P2V communication. Moreover, if the user forgets to switch</w:t>
      </w:r>
      <w:r w:rsidR="00D30B3B">
        <w:t xml:space="preserve"> on the feature</w:t>
      </w:r>
      <w:r w:rsidRPr="003378D7">
        <w:t>, he/she may still expect it to work, simply because of being used to it. Thus, we believe the process of activation/deactivation should be more autonomous and should not rely on the user’s manual action.</w:t>
      </w:r>
    </w:p>
    <w:p w:rsidR="003378D7" w:rsidRPr="008070C7" w:rsidRDefault="008070C7" w:rsidP="008070C7">
      <w:pPr>
        <w:pStyle w:val="ListParagraph"/>
        <w:numPr>
          <w:ilvl w:val="0"/>
          <w:numId w:val="5"/>
        </w:numPr>
        <w:jc w:val="both"/>
        <w:rPr>
          <w:b/>
        </w:rPr>
      </w:pPr>
      <w:bookmarkStart w:id="3" w:name="_Ref458770032"/>
      <w:r w:rsidRPr="008070C7">
        <w:rPr>
          <w:b/>
        </w:rPr>
        <w:t>The process of activating V2P/P2V communication should not rely on user’s manual actions</w:t>
      </w:r>
      <w:r>
        <w:rPr>
          <w:b/>
        </w:rPr>
        <w:t>.</w:t>
      </w:r>
      <w:bookmarkEnd w:id="3"/>
    </w:p>
    <w:p w:rsidR="006236DD" w:rsidRDefault="00D30B3B" w:rsidP="008A5F7C">
      <w:pPr>
        <w:jc w:val="both"/>
      </w:pPr>
      <w:r>
        <w:t>Also the</w:t>
      </w:r>
      <w:r w:rsidR="006236DD">
        <w:t xml:space="preserve"> authors of </w:t>
      </w:r>
      <w:r w:rsidR="006236DD">
        <w:fldChar w:fldCharType="begin"/>
      </w:r>
      <w:r w:rsidR="006236DD">
        <w:instrText xml:space="preserve"> REF _Ref458760041 \n \h </w:instrText>
      </w:r>
      <w:r w:rsidR="006236DD">
        <w:fldChar w:fldCharType="separate"/>
      </w:r>
      <w:r w:rsidR="006236DD">
        <w:t>[4]</w:t>
      </w:r>
      <w:r w:rsidR="006236DD">
        <w:fldChar w:fldCharType="end"/>
      </w:r>
      <w:r>
        <w:t xml:space="preserve"> have</w:t>
      </w:r>
      <w:r w:rsidR="006236DD">
        <w:t xml:space="preserve"> tried to add</w:t>
      </w:r>
      <w:r w:rsidR="00FC18AA">
        <w:t>ress the issue evaluated in this</w:t>
      </w:r>
      <w:r w:rsidR="006236DD">
        <w:t xml:space="preserve"> paper. </w:t>
      </w:r>
      <w:r w:rsidR="00FC18AA">
        <w:t>It has been</w:t>
      </w:r>
      <w:r w:rsidR="006236DD" w:rsidRPr="006236DD">
        <w:t xml:space="preserve"> proposed to differentiate indoor and outdoor location</w:t>
      </w:r>
      <w:r w:rsidR="00FC18AA">
        <w:t>s</w:t>
      </w:r>
      <w:r w:rsidR="006236DD" w:rsidRPr="006236DD">
        <w:t xml:space="preserve"> and utilize P-UE’s GNSS/GPS indication to estimate P-UE’s location. Those observations seem to be pertinen</w:t>
      </w:r>
      <w:r w:rsidR="00FC18AA">
        <w:t xml:space="preserve">t, however, the solution </w:t>
      </w:r>
      <w:r w:rsidR="006236DD" w:rsidRPr="006236DD">
        <w:t>based</w:t>
      </w:r>
      <w:r w:rsidR="00FC18AA">
        <w:t xml:space="preserve"> merely</w:t>
      </w:r>
      <w:r w:rsidR="006236DD" w:rsidRPr="006236DD">
        <w:t xml:space="preserve"> on GNSS is somewhat suboptimal. GNSS is not always available (e.g. indoors</w:t>
      </w:r>
      <w:r w:rsidR="00FC18AA">
        <w:t>,</w:t>
      </w:r>
      <w:r>
        <w:t xml:space="preserve"> </w:t>
      </w:r>
      <w:r w:rsidR="00FC18AA">
        <w:t>in a parking garage</w:t>
      </w:r>
      <w:r w:rsidR="006236DD" w:rsidRPr="006236DD">
        <w:t>) and user’s position d</w:t>
      </w:r>
      <w:r>
        <w:t>oes not suffice to conclude that</w:t>
      </w:r>
      <w:r w:rsidR="006236DD" w:rsidRPr="006236DD">
        <w:t xml:space="preserve"> certain P-UE should be receiving/sending V2X messages. There might be, for instance, a user sitting in the outdoor restaurant located in the road proximity. Even though its location could imply V2P/P2V service should be enabled, its static position and lack of actual involvement in the traffic should be regarded as a decisive aspect in keeping the V2X service disabled</w:t>
      </w:r>
      <w:r w:rsidR="00F5289E">
        <w:t>.</w:t>
      </w:r>
    </w:p>
    <w:p w:rsidR="00FC18AA" w:rsidRPr="00FC18AA" w:rsidRDefault="00FC18AA" w:rsidP="00FC18AA">
      <w:pPr>
        <w:pStyle w:val="Heading2"/>
        <w:rPr>
          <w:lang w:val="en-US"/>
        </w:rPr>
      </w:pPr>
      <w:r w:rsidRPr="00FC18AA">
        <w:rPr>
          <w:lang w:val="en-US"/>
        </w:rPr>
        <w:lastRenderedPageBreak/>
        <w:t>2.1</w:t>
      </w:r>
      <w:r w:rsidRPr="00FC18AA">
        <w:rPr>
          <w:lang w:val="en-US"/>
        </w:rPr>
        <w:tab/>
        <w:t xml:space="preserve">DL Reference Signals combined with P-UE’s location </w:t>
      </w:r>
    </w:p>
    <w:p w:rsidR="00841666" w:rsidRDefault="00F5289E" w:rsidP="006E3AB0">
      <w:pPr>
        <w:jc w:val="both"/>
        <w:rPr>
          <w:lang w:val="en-US"/>
        </w:rPr>
      </w:pPr>
      <w:r>
        <w:rPr>
          <w:lang w:val="en-US"/>
        </w:rPr>
        <w:t xml:space="preserve">As all RAN2 meeting participants know, </w:t>
      </w:r>
      <w:r w:rsidR="00FC18AA" w:rsidRPr="00FC18AA">
        <w:rPr>
          <w:lang w:val="en-US"/>
        </w:rPr>
        <w:t xml:space="preserve">P-UE may be in one of the two </w:t>
      </w:r>
      <w:r w:rsidR="00386C45">
        <w:rPr>
          <w:lang w:val="en-US"/>
        </w:rPr>
        <w:t xml:space="preserve">LTE </w:t>
      </w:r>
      <w:r w:rsidR="00FC18AA" w:rsidRPr="00FC18AA">
        <w:rPr>
          <w:lang w:val="en-US"/>
        </w:rPr>
        <w:t>modes: RRC_CONNECTED or RRC_IDLE.</w:t>
      </w:r>
      <w:r>
        <w:rPr>
          <w:lang w:val="en-US"/>
        </w:rPr>
        <w:t xml:space="preserve"> R</w:t>
      </w:r>
      <w:r w:rsidR="00FC18AA">
        <w:rPr>
          <w:lang w:val="en-US"/>
        </w:rPr>
        <w:t xml:space="preserve">egardless of the instantaneous state, P-UE can be configured to measure DL Reference Signals (RS). </w:t>
      </w:r>
      <w:r w:rsidR="00DC61DF">
        <w:rPr>
          <w:lang w:val="en-US"/>
        </w:rPr>
        <w:t>Such measurements</w:t>
      </w:r>
      <w:r w:rsidR="00386C45" w:rsidRPr="00386C45">
        <w:rPr>
          <w:lang w:val="en-US"/>
        </w:rPr>
        <w:t xml:space="preserve"> would be anyway needed for mobility purposes (e.g. to measure the </w:t>
      </w:r>
      <w:r w:rsidR="00386C45">
        <w:rPr>
          <w:lang w:val="en-US"/>
        </w:rPr>
        <w:t xml:space="preserve">reference signals from </w:t>
      </w:r>
      <w:r w:rsidR="00386C45" w:rsidRPr="00386C45">
        <w:rPr>
          <w:lang w:val="en-US"/>
        </w:rPr>
        <w:t>adjacent cells)</w:t>
      </w:r>
      <w:r w:rsidR="00386C45">
        <w:rPr>
          <w:lang w:val="en-US"/>
        </w:rPr>
        <w:t xml:space="preserve">. </w:t>
      </w:r>
      <w:r w:rsidR="006E3AB0">
        <w:rPr>
          <w:lang w:val="en-US"/>
        </w:rPr>
        <w:t xml:space="preserve">P-UE can derive RSRP and RSRQ </w:t>
      </w:r>
      <w:r w:rsidR="009474E4">
        <w:rPr>
          <w:lang w:val="en-US"/>
        </w:rPr>
        <w:t xml:space="preserve">levels on the basis of </w:t>
      </w:r>
      <w:r w:rsidR="00010473">
        <w:rPr>
          <w:lang w:val="en-US"/>
        </w:rPr>
        <w:t xml:space="preserve">those </w:t>
      </w:r>
      <w:r w:rsidR="009474E4">
        <w:rPr>
          <w:lang w:val="en-US"/>
        </w:rPr>
        <w:t>DL RSs. Assuming that P-UE can receive such reference signals from more than a single cell, we believe the observed fluctuations in the RSRP/RSRQ</w:t>
      </w:r>
      <w:r w:rsidR="005C2B27">
        <w:rPr>
          <w:lang w:val="en-US"/>
        </w:rPr>
        <w:t xml:space="preserve"> levels can serve as an indication the P-UE</w:t>
      </w:r>
      <w:r w:rsidR="00021420">
        <w:rPr>
          <w:lang w:val="en-US"/>
        </w:rPr>
        <w:t xml:space="preserve"> has left its static position and</w:t>
      </w:r>
      <w:r w:rsidR="005C2B27">
        <w:rPr>
          <w:lang w:val="en-US"/>
        </w:rPr>
        <w:t xml:space="preserve"> is </w:t>
      </w:r>
      <w:r w:rsidR="00D30B3B">
        <w:rPr>
          <w:lang w:val="en-US"/>
        </w:rPr>
        <w:t xml:space="preserve">now </w:t>
      </w:r>
      <w:r w:rsidR="005C2B27">
        <w:rPr>
          <w:lang w:val="en-US"/>
        </w:rPr>
        <w:t>in motion.</w:t>
      </w:r>
      <w:r w:rsidR="00010473">
        <w:rPr>
          <w:lang w:val="en-US"/>
        </w:rPr>
        <w:t xml:space="preserve"> </w:t>
      </w:r>
    </w:p>
    <w:p w:rsidR="00841666" w:rsidRPr="00841666" w:rsidRDefault="00841666" w:rsidP="00841666">
      <w:pPr>
        <w:pStyle w:val="ListParagraph"/>
        <w:numPr>
          <w:ilvl w:val="0"/>
          <w:numId w:val="8"/>
        </w:numPr>
        <w:jc w:val="both"/>
        <w:rPr>
          <w:b/>
          <w:lang w:val="en-US"/>
        </w:rPr>
      </w:pPr>
      <w:bookmarkStart w:id="4" w:name="_Ref458770046"/>
      <w:r>
        <w:rPr>
          <w:b/>
          <w:lang w:val="en-US"/>
        </w:rPr>
        <w:t>V</w:t>
      </w:r>
      <w:r w:rsidRPr="00841666">
        <w:rPr>
          <w:b/>
          <w:lang w:val="en-US"/>
        </w:rPr>
        <w:t>ariations in</w:t>
      </w:r>
      <w:r>
        <w:rPr>
          <w:b/>
          <w:lang w:val="en-US"/>
        </w:rPr>
        <w:t xml:space="preserve"> RSRP/RSRQ based on</w:t>
      </w:r>
      <w:r w:rsidRPr="00841666">
        <w:rPr>
          <w:b/>
          <w:lang w:val="en-US"/>
        </w:rPr>
        <w:t xml:space="preserve"> DL reference signals (RS) from more than one measured cell can serve as an indication the P-UE has initiated movement and may be </w:t>
      </w:r>
      <w:r>
        <w:rPr>
          <w:b/>
          <w:lang w:val="en-US"/>
        </w:rPr>
        <w:t>subject to becoming a vulnerable road user.</w:t>
      </w:r>
      <w:bookmarkEnd w:id="4"/>
    </w:p>
    <w:p w:rsidR="00010473" w:rsidRDefault="00010473" w:rsidP="006E3AB0">
      <w:pPr>
        <w:jc w:val="both"/>
        <w:rPr>
          <w:lang w:val="en-US"/>
        </w:rPr>
      </w:pPr>
      <w:r>
        <w:rPr>
          <w:lang w:val="en-US"/>
        </w:rPr>
        <w:t xml:space="preserve">A basic principle of this idea is depicted in </w:t>
      </w:r>
      <w:r w:rsidRPr="00010473">
        <w:rPr>
          <w:lang w:val="en-US"/>
        </w:rPr>
        <w:fldChar w:fldCharType="begin"/>
      </w:r>
      <w:r w:rsidRPr="00010473">
        <w:rPr>
          <w:lang w:val="en-US"/>
        </w:rPr>
        <w:instrText xml:space="preserve"> REF _Ref458762812 \h  \* MERGEFORMAT </w:instrText>
      </w:r>
      <w:r w:rsidRPr="00010473">
        <w:rPr>
          <w:lang w:val="en-US"/>
        </w:rPr>
      </w:r>
      <w:r w:rsidRPr="00010473">
        <w:rPr>
          <w:lang w:val="en-US"/>
        </w:rPr>
        <w:fldChar w:fldCharType="separate"/>
      </w:r>
      <w:r w:rsidRPr="00010473">
        <w:rPr>
          <w:color w:val="000000" w:themeColor="text1"/>
        </w:rPr>
        <w:t xml:space="preserve">Figure </w:t>
      </w:r>
      <w:r w:rsidRPr="00010473">
        <w:rPr>
          <w:noProof/>
          <w:color w:val="000000" w:themeColor="text1"/>
        </w:rPr>
        <w:t>1</w:t>
      </w:r>
      <w:r w:rsidRPr="00010473">
        <w:rPr>
          <w:lang w:val="en-US"/>
        </w:rPr>
        <w:fldChar w:fldCharType="end"/>
      </w:r>
      <w:r>
        <w:rPr>
          <w:lang w:val="en-US"/>
        </w:rPr>
        <w:t xml:space="preserve">. </w:t>
      </w:r>
      <w:r w:rsidR="00B35E54">
        <w:rPr>
          <w:lang w:val="en-US"/>
        </w:rPr>
        <w:t>T</w:t>
      </w:r>
      <w:r w:rsidR="00A85C75">
        <w:rPr>
          <w:lang w:val="en-US"/>
        </w:rPr>
        <w:t xml:space="preserve">he “Δ” may </w:t>
      </w:r>
      <w:r w:rsidR="00B35E54">
        <w:rPr>
          <w:lang w:val="en-US"/>
        </w:rPr>
        <w:t xml:space="preserve">merely </w:t>
      </w:r>
      <w:r w:rsidR="00A85C75">
        <w:rPr>
          <w:lang w:val="en-US"/>
        </w:rPr>
        <w:t>denote a difference in the consecutive measurements. If it is found to be larger than a pre-defined threshold (</w:t>
      </w:r>
      <w:r w:rsidR="00A85C75" w:rsidRPr="00BB758D">
        <w:rPr>
          <w:i/>
          <w:lang w:val="en-US"/>
        </w:rPr>
        <w:t>Threshold_RSRP</w:t>
      </w:r>
      <w:r w:rsidR="00A85C75">
        <w:rPr>
          <w:lang w:val="en-US"/>
        </w:rPr>
        <w:t xml:space="preserve"> </w:t>
      </w:r>
      <w:r w:rsidR="00F16ACD">
        <w:rPr>
          <w:lang w:val="en-US"/>
        </w:rPr>
        <w:t>and/</w:t>
      </w:r>
      <w:r w:rsidR="00A85C75">
        <w:rPr>
          <w:lang w:val="en-US"/>
        </w:rPr>
        <w:t xml:space="preserve">or </w:t>
      </w:r>
      <w:r w:rsidR="00A85C75" w:rsidRPr="00BB758D">
        <w:rPr>
          <w:i/>
          <w:lang w:val="en-US"/>
        </w:rPr>
        <w:t>Threshold_RSRQ</w:t>
      </w:r>
      <w:r w:rsidR="00A85C75">
        <w:rPr>
          <w:lang w:val="en-US"/>
        </w:rPr>
        <w:t xml:space="preserve">, as shown in </w:t>
      </w:r>
      <w:r w:rsidR="00A85C75" w:rsidRPr="00A85C75">
        <w:rPr>
          <w:lang w:val="en-US"/>
        </w:rPr>
        <w:fldChar w:fldCharType="begin"/>
      </w:r>
      <w:r w:rsidR="00A85C75" w:rsidRPr="00A85C75">
        <w:rPr>
          <w:lang w:val="en-US"/>
        </w:rPr>
        <w:instrText xml:space="preserve"> REF _Ref458762812 \h  \* MERGEFORMAT </w:instrText>
      </w:r>
      <w:r w:rsidR="00A85C75" w:rsidRPr="00A85C75">
        <w:rPr>
          <w:lang w:val="en-US"/>
        </w:rPr>
      </w:r>
      <w:r w:rsidR="00A85C75" w:rsidRPr="00A85C75">
        <w:rPr>
          <w:lang w:val="en-US"/>
        </w:rPr>
        <w:fldChar w:fldCharType="separate"/>
      </w:r>
      <w:r w:rsidR="00A85C75" w:rsidRPr="00A85C75">
        <w:rPr>
          <w:color w:val="000000" w:themeColor="text1"/>
        </w:rPr>
        <w:t xml:space="preserve">Figure </w:t>
      </w:r>
      <w:r w:rsidR="00A85C75" w:rsidRPr="00A85C75">
        <w:rPr>
          <w:noProof/>
          <w:color w:val="000000" w:themeColor="text1"/>
        </w:rPr>
        <w:t>1</w:t>
      </w:r>
      <w:r w:rsidR="00A85C75" w:rsidRPr="00A85C75">
        <w:rPr>
          <w:lang w:val="en-US"/>
        </w:rPr>
        <w:fldChar w:fldCharType="end"/>
      </w:r>
      <w:r w:rsidR="00A85C75">
        <w:rPr>
          <w:lang w:val="en-US"/>
        </w:rPr>
        <w:t>), it may imply P-UE has abandoned a fixed position.</w:t>
      </w:r>
    </w:p>
    <w:p w:rsidR="00010473" w:rsidRDefault="00010473" w:rsidP="00010473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49CC23DB" wp14:editId="378865B2">
            <wp:extent cx="4788000" cy="3139200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000" cy="313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86C45" w:rsidRPr="00010473" w:rsidRDefault="00010473" w:rsidP="00010473">
      <w:pPr>
        <w:pStyle w:val="Caption"/>
        <w:jc w:val="center"/>
        <w:rPr>
          <w:i w:val="0"/>
          <w:color w:val="000000" w:themeColor="text1"/>
          <w:lang w:val="en-US"/>
        </w:rPr>
      </w:pPr>
      <w:bookmarkStart w:id="5" w:name="_Ref458762812"/>
      <w:r w:rsidRPr="00010473">
        <w:rPr>
          <w:i w:val="0"/>
          <w:color w:val="000000" w:themeColor="text1"/>
        </w:rPr>
        <w:t xml:space="preserve">Figure </w:t>
      </w:r>
      <w:r w:rsidRPr="00010473">
        <w:rPr>
          <w:i w:val="0"/>
          <w:color w:val="000000" w:themeColor="text1"/>
        </w:rPr>
        <w:fldChar w:fldCharType="begin"/>
      </w:r>
      <w:r w:rsidRPr="00010473">
        <w:rPr>
          <w:i w:val="0"/>
          <w:color w:val="000000" w:themeColor="text1"/>
        </w:rPr>
        <w:instrText xml:space="preserve"> SEQ Figure \* ARABIC </w:instrText>
      </w:r>
      <w:r w:rsidRPr="00010473">
        <w:rPr>
          <w:i w:val="0"/>
          <w:color w:val="000000" w:themeColor="text1"/>
        </w:rPr>
        <w:fldChar w:fldCharType="separate"/>
      </w:r>
      <w:r w:rsidRPr="00010473">
        <w:rPr>
          <w:i w:val="0"/>
          <w:noProof/>
          <w:color w:val="000000" w:themeColor="text1"/>
        </w:rPr>
        <w:t>1</w:t>
      </w:r>
      <w:r w:rsidRPr="00010473">
        <w:rPr>
          <w:i w:val="0"/>
          <w:color w:val="000000" w:themeColor="text1"/>
        </w:rPr>
        <w:fldChar w:fldCharType="end"/>
      </w:r>
      <w:bookmarkEnd w:id="5"/>
      <w:r w:rsidRPr="00010473">
        <w:rPr>
          <w:i w:val="0"/>
          <w:color w:val="000000" w:themeColor="text1"/>
        </w:rPr>
        <w:t>: Variations in RSRP/RSRQ measurements to determine P-UE’s motion</w:t>
      </w:r>
    </w:p>
    <w:p w:rsidR="00010473" w:rsidRDefault="00010473" w:rsidP="00CD4C7B">
      <w:pPr>
        <w:rPr>
          <w:lang w:val="en-US"/>
        </w:rPr>
      </w:pPr>
    </w:p>
    <w:p w:rsidR="00A85C75" w:rsidRDefault="00A85C75" w:rsidP="00D11361">
      <w:pPr>
        <w:jc w:val="both"/>
        <w:rPr>
          <w:lang w:val="en-US"/>
        </w:rPr>
      </w:pPr>
      <w:r w:rsidRPr="00A85C75">
        <w:rPr>
          <w:lang w:val="en-US"/>
        </w:rPr>
        <w:t>Obviously, as already pointed out above,</w:t>
      </w:r>
      <w:r>
        <w:rPr>
          <w:lang w:val="en-US"/>
        </w:rPr>
        <w:t xml:space="preserve"> the fact of movement </w:t>
      </w:r>
      <w:r w:rsidRPr="00A85C75">
        <w:rPr>
          <w:lang w:val="en-US"/>
        </w:rPr>
        <w:t>s</w:t>
      </w:r>
      <w:r>
        <w:rPr>
          <w:lang w:val="en-US"/>
        </w:rPr>
        <w:t>hall not suffice</w:t>
      </w:r>
      <w:r w:rsidRPr="00A85C75">
        <w:rPr>
          <w:lang w:val="en-US"/>
        </w:rPr>
        <w:t xml:space="preserve"> to trigger V2P/P2V</w:t>
      </w:r>
      <w:r>
        <w:rPr>
          <w:lang w:val="en-US"/>
        </w:rPr>
        <w:t xml:space="preserve"> communication. P-UE’s position should be also assess</w:t>
      </w:r>
      <w:r w:rsidR="00AF067D">
        <w:rPr>
          <w:lang w:val="en-US"/>
        </w:rPr>
        <w:t>ed</w:t>
      </w:r>
      <w:r>
        <w:rPr>
          <w:lang w:val="en-US"/>
        </w:rPr>
        <w:t xml:space="preserve"> to detect whether a user is </w:t>
      </w:r>
      <w:r w:rsidR="00AF067D">
        <w:rPr>
          <w:lang w:val="en-US"/>
        </w:rPr>
        <w:t xml:space="preserve">indeed </w:t>
      </w:r>
      <w:r>
        <w:rPr>
          <w:lang w:val="en-US"/>
        </w:rPr>
        <w:t>in the road vicinity.</w:t>
      </w:r>
      <w:r w:rsidRPr="00A85C75">
        <w:rPr>
          <w:lang w:val="en-US"/>
        </w:rPr>
        <w:t xml:space="preserve"> </w:t>
      </w:r>
      <w:r w:rsidR="00AF067D">
        <w:rPr>
          <w:lang w:val="en-US"/>
        </w:rPr>
        <w:t xml:space="preserve">To achieve such goal a </w:t>
      </w:r>
      <w:r w:rsidR="00841666">
        <w:rPr>
          <w:lang w:val="en-US"/>
        </w:rPr>
        <w:t>P-UE can utilize one of the</w:t>
      </w:r>
      <w:r w:rsidR="000255BA">
        <w:rPr>
          <w:lang w:val="en-US"/>
        </w:rPr>
        <w:t xml:space="preserve"> following</w:t>
      </w:r>
      <w:r w:rsidR="00841666">
        <w:rPr>
          <w:lang w:val="en-US"/>
        </w:rPr>
        <w:t xml:space="preserve"> well-known techniques:</w:t>
      </w:r>
    </w:p>
    <w:p w:rsidR="00AF067D" w:rsidRDefault="00AF067D" w:rsidP="00AF067D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Location information obtained  by means of GNSS/GPS</w:t>
      </w:r>
    </w:p>
    <w:p w:rsidR="00AF067D" w:rsidRPr="00AF067D" w:rsidRDefault="00AF067D" w:rsidP="00AF067D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OTDOA mechanism such as LTE Positioning Protocol (LPP, applicable when P-UE is in RRC_CONNECTED)</w:t>
      </w:r>
    </w:p>
    <w:p w:rsidR="000255BA" w:rsidRDefault="00F16ACD" w:rsidP="00D11361">
      <w:pPr>
        <w:jc w:val="both"/>
        <w:rPr>
          <w:lang w:val="en-US"/>
        </w:rPr>
      </w:pPr>
      <w:r>
        <w:rPr>
          <w:lang w:val="en-US"/>
        </w:rPr>
        <w:t xml:space="preserve">The combination of measurements based on DL reference signals and one of the aforementioned positioning techniques can be </w:t>
      </w:r>
      <w:r w:rsidR="00224F2C">
        <w:rPr>
          <w:lang w:val="en-US"/>
        </w:rPr>
        <w:t xml:space="preserve">jointly </w:t>
      </w:r>
      <w:r>
        <w:rPr>
          <w:lang w:val="en-US"/>
        </w:rPr>
        <w:t xml:space="preserve">used to </w:t>
      </w:r>
      <w:r w:rsidR="000D43CA">
        <w:rPr>
          <w:lang w:val="en-US"/>
        </w:rPr>
        <w:t xml:space="preserve">trigger V2P/P2V communication for a certain user. Obviously, there could be various ways of </w:t>
      </w:r>
      <w:r w:rsidR="000255BA">
        <w:rPr>
          <w:lang w:val="en-US"/>
        </w:rPr>
        <w:t>implementing such solution:</w:t>
      </w:r>
      <w:r w:rsidR="000D43CA">
        <w:rPr>
          <w:lang w:val="en-US"/>
        </w:rPr>
        <w:t xml:space="preserve"> </w:t>
      </w:r>
    </w:p>
    <w:p w:rsidR="00CD4C7B" w:rsidRDefault="000255BA" w:rsidP="000255BA">
      <w:pPr>
        <w:pStyle w:val="ListParagraph"/>
        <w:numPr>
          <w:ilvl w:val="0"/>
          <w:numId w:val="9"/>
        </w:numPr>
        <w:rPr>
          <w:lang w:val="en-US"/>
        </w:rPr>
      </w:pPr>
      <w:r w:rsidRPr="008A5DCC">
        <w:rPr>
          <w:u w:val="single"/>
          <w:lang w:val="en-US"/>
        </w:rPr>
        <w:t xml:space="preserve">NW </w:t>
      </w:r>
      <w:r w:rsidR="000D43CA" w:rsidRPr="008A5DCC">
        <w:rPr>
          <w:u w:val="single"/>
          <w:lang w:val="en-US"/>
        </w:rPr>
        <w:t>controlled manner</w:t>
      </w:r>
      <w:r>
        <w:rPr>
          <w:lang w:val="en-US"/>
        </w:rPr>
        <w:t xml:space="preserve">: </w:t>
      </w:r>
      <w:r w:rsidR="00224F2C">
        <w:rPr>
          <w:lang w:val="en-US"/>
        </w:rPr>
        <w:t xml:space="preserve">Assuming the P-UE is in RRC_CONNECTED, it can periodically report RSRP/RSRQ values and its position (e.g. by means of the existing </w:t>
      </w:r>
      <w:r w:rsidR="00224F2C" w:rsidRPr="00224F2C">
        <w:rPr>
          <w:i/>
          <w:lang w:val="en-US"/>
        </w:rPr>
        <w:t>locationInfo</w:t>
      </w:r>
      <w:r w:rsidR="00224F2C">
        <w:rPr>
          <w:lang w:val="en-US"/>
        </w:rPr>
        <w:t xml:space="preserve"> IE</w:t>
      </w:r>
      <w:r w:rsidR="008A5DCC">
        <w:rPr>
          <w:lang w:val="en-US"/>
        </w:rPr>
        <w:t xml:space="preserve"> or even “zone ID”, depending on the agreements in V2V WI</w:t>
      </w:r>
      <w:r w:rsidR="00224F2C">
        <w:rPr>
          <w:lang w:val="en-US"/>
        </w:rPr>
        <w:t>)</w:t>
      </w:r>
      <w:r w:rsidR="003B5262">
        <w:rPr>
          <w:lang w:val="en-US"/>
        </w:rPr>
        <w:t>. NW can assess received data and – if the conditions are fulfilled – can send a trigger to activate V2P/P2V communication</w:t>
      </w:r>
    </w:p>
    <w:p w:rsidR="000255BA" w:rsidRDefault="000255BA" w:rsidP="000255BA">
      <w:pPr>
        <w:pStyle w:val="ListParagraph"/>
        <w:numPr>
          <w:ilvl w:val="0"/>
          <w:numId w:val="9"/>
        </w:numPr>
        <w:rPr>
          <w:lang w:val="en-US"/>
        </w:rPr>
      </w:pPr>
      <w:r w:rsidRPr="008A5DCC">
        <w:rPr>
          <w:u w:val="single"/>
          <w:lang w:val="en-US"/>
        </w:rPr>
        <w:t>P-UE controlled manner</w:t>
      </w:r>
      <w:r>
        <w:rPr>
          <w:lang w:val="en-US"/>
        </w:rPr>
        <w:t>:</w:t>
      </w:r>
      <w:r w:rsidR="003B5262">
        <w:rPr>
          <w:lang w:val="en-US"/>
        </w:rPr>
        <w:t xml:space="preserve"> If the P-UE is in RRC_IDLE or even in Out of Coverage (with respect to its serving cell)</w:t>
      </w:r>
      <w:r w:rsidR="0037520B">
        <w:rPr>
          <w:lang w:val="en-US"/>
        </w:rPr>
        <w:t xml:space="preserve">, the aforementioned mechanism can work </w:t>
      </w:r>
      <w:r w:rsidR="00B35E54">
        <w:rPr>
          <w:lang w:val="en-US"/>
        </w:rPr>
        <w:t xml:space="preserve">entirely </w:t>
      </w:r>
      <w:r w:rsidR="0037520B">
        <w:rPr>
          <w:lang w:val="en-US"/>
        </w:rPr>
        <w:t xml:space="preserve">autonomously and P-UE can evaluate the measurements and enable V2P/P2V communication without NW’s involvement (assuming it has been earlier </w:t>
      </w:r>
      <w:r w:rsidR="0037520B">
        <w:rPr>
          <w:lang w:val="en-US"/>
        </w:rPr>
        <w:lastRenderedPageBreak/>
        <w:t>pre-configured with pr</w:t>
      </w:r>
      <w:r w:rsidR="00B35E54">
        <w:rPr>
          <w:lang w:val="en-US"/>
        </w:rPr>
        <w:t>oper resource pools or have acquired</w:t>
      </w:r>
      <w:r w:rsidR="0037520B">
        <w:rPr>
          <w:lang w:val="en-US"/>
        </w:rPr>
        <w:t xml:space="preserve"> them from the System Information). eNB can be notified</w:t>
      </w:r>
      <w:r w:rsidR="00B35E54">
        <w:rPr>
          <w:lang w:val="en-US"/>
        </w:rPr>
        <w:t xml:space="preserve"> later,</w:t>
      </w:r>
      <w:r w:rsidR="0037520B">
        <w:rPr>
          <w:lang w:val="en-US"/>
        </w:rPr>
        <w:t xml:space="preserve"> when P-UE switches from RRC_IDLE to RRC_CONNECTED.</w:t>
      </w:r>
    </w:p>
    <w:p w:rsidR="004D5C7E" w:rsidRDefault="00F5289E" w:rsidP="00A8705C">
      <w:pPr>
        <w:jc w:val="both"/>
        <w:rPr>
          <w:lang w:val="en-US"/>
        </w:rPr>
      </w:pPr>
      <w:r>
        <w:rPr>
          <w:lang w:val="en-US"/>
        </w:rPr>
        <w:t>T</w:t>
      </w:r>
      <w:r w:rsidR="004D5C7E">
        <w:rPr>
          <w:lang w:val="en-US"/>
        </w:rPr>
        <w:t xml:space="preserve">he abovementioned description is just exemplary and many details can be left for further study. However, we believe that </w:t>
      </w:r>
      <w:r>
        <w:rPr>
          <w:lang w:val="en-US"/>
        </w:rPr>
        <w:t>it can serve as a good starting point in further considerations on how to efficiently enable V2P/P2V communications.</w:t>
      </w:r>
    </w:p>
    <w:p w:rsidR="00F5289E" w:rsidRPr="00D21B93" w:rsidRDefault="00D21B93" w:rsidP="00D21B93">
      <w:pPr>
        <w:pStyle w:val="ListParagraph"/>
        <w:numPr>
          <w:ilvl w:val="0"/>
          <w:numId w:val="8"/>
        </w:numPr>
        <w:rPr>
          <w:b/>
          <w:lang w:val="en-US"/>
        </w:rPr>
      </w:pPr>
      <w:bookmarkStart w:id="6" w:name="_Ref458770064"/>
      <w:r w:rsidRPr="00D21B93">
        <w:rPr>
          <w:b/>
          <w:lang w:val="en-US"/>
        </w:rPr>
        <w:t>RAN2 is kindly asked to consider a solution relying on variations in DL reference signals combined with P-UE’s position as a way to enable V2P/P2V communications</w:t>
      </w:r>
      <w:bookmarkEnd w:id="6"/>
    </w:p>
    <w:p w:rsidR="000D43CA" w:rsidRPr="000255BA" w:rsidRDefault="000D43CA" w:rsidP="000D43CA">
      <w:pPr>
        <w:rPr>
          <w:lang w:val="en-US"/>
        </w:rPr>
      </w:pPr>
    </w:p>
    <w:p w:rsidR="00CD4C7B" w:rsidRPr="004E25E4" w:rsidRDefault="00855AD4" w:rsidP="00CD4C7B">
      <w:pPr>
        <w:pStyle w:val="Heading1"/>
        <w:rPr>
          <w:lang w:val="en-US"/>
        </w:rPr>
      </w:pPr>
      <w:r w:rsidRPr="004E25E4">
        <w:rPr>
          <w:lang w:val="en-US"/>
        </w:rPr>
        <w:t>3</w:t>
      </w:r>
      <w:r w:rsidRPr="004E25E4">
        <w:rPr>
          <w:lang w:val="en-US"/>
        </w:rPr>
        <w:tab/>
        <w:t>Conclusion</w:t>
      </w:r>
    </w:p>
    <w:p w:rsidR="00CD4C7B" w:rsidRDefault="00F47F1F" w:rsidP="00CD4C7B">
      <w:pPr>
        <w:rPr>
          <w:lang w:val="en-US"/>
        </w:rPr>
      </w:pPr>
      <w:r w:rsidRPr="00F47F1F">
        <w:rPr>
          <w:lang w:val="en-US"/>
        </w:rPr>
        <w:t>The goal of this paper was to study the issue of efficient</w:t>
      </w:r>
      <w:r>
        <w:rPr>
          <w:lang w:val="en-US"/>
        </w:rPr>
        <w:t xml:space="preserve"> activation of</w:t>
      </w:r>
      <w:r w:rsidRPr="00F47F1F">
        <w:rPr>
          <w:lang w:val="en-US"/>
        </w:rPr>
        <w:t xml:space="preserve"> V2P/P2V</w:t>
      </w:r>
      <w:r>
        <w:rPr>
          <w:lang w:val="en-US"/>
        </w:rPr>
        <w:t xml:space="preserve"> communication</w:t>
      </w:r>
      <w:r w:rsidRPr="00F47F1F">
        <w:rPr>
          <w:lang w:val="en-US"/>
        </w:rPr>
        <w:t>.</w:t>
      </w:r>
      <w:r>
        <w:rPr>
          <w:lang w:val="en-US"/>
        </w:rPr>
        <w:t xml:space="preserve"> It resulted in outlining the following Observations and Proposals:</w:t>
      </w:r>
    </w:p>
    <w:p w:rsidR="00F47F1F" w:rsidRPr="00B35E54" w:rsidRDefault="00B35E54" w:rsidP="00CD4C7B">
      <w:pPr>
        <w:rPr>
          <w:b/>
          <w:lang w:val="en-US"/>
        </w:rPr>
      </w:pP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_Ref458770018 \n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Pr="00B35E54">
        <w:rPr>
          <w:b/>
          <w:lang w:val="en-US"/>
        </w:rPr>
        <w:t>Observation 1:</w:t>
      </w:r>
      <w:r w:rsidRPr="00B35E54">
        <w:rPr>
          <w:b/>
          <w:lang w:val="en-US"/>
        </w:rPr>
        <w:fldChar w:fldCharType="end"/>
      </w:r>
      <w:r w:rsidRPr="00B35E54">
        <w:rPr>
          <w:b/>
          <w:lang w:val="en-US"/>
        </w:rPr>
        <w:t xml:space="preserve"> </w:t>
      </w: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_Ref458770018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="00FE2C5A" w:rsidRPr="009D0553">
        <w:rPr>
          <w:b/>
        </w:rPr>
        <w:t>Not only P-UE’s position should be taken into account while assessing whether to trigger V2P/P2P communication. User’s mobility shall also play important role in taking such decision.</w:t>
      </w:r>
      <w:r w:rsidRPr="00B35E54">
        <w:rPr>
          <w:b/>
          <w:lang w:val="en-US"/>
        </w:rPr>
        <w:fldChar w:fldCharType="end"/>
      </w:r>
    </w:p>
    <w:p w:rsidR="00B35E54" w:rsidRPr="00B35E54" w:rsidRDefault="00B35E54" w:rsidP="00CD4C7B">
      <w:pPr>
        <w:rPr>
          <w:b/>
          <w:lang w:val="en-US"/>
        </w:rPr>
      </w:pP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_Ref458770032 \n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Pr="00B35E54">
        <w:rPr>
          <w:b/>
          <w:lang w:val="en-US"/>
        </w:rPr>
        <w:t>Observation 2:</w:t>
      </w:r>
      <w:r w:rsidRPr="00B35E54">
        <w:rPr>
          <w:b/>
          <w:lang w:val="en-US"/>
        </w:rPr>
        <w:fldChar w:fldCharType="end"/>
      </w:r>
      <w:r w:rsidRPr="00B35E54">
        <w:rPr>
          <w:b/>
          <w:lang w:val="en-US"/>
        </w:rPr>
        <w:t xml:space="preserve"> </w:t>
      </w: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_Ref458770032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="00FE2C5A" w:rsidRPr="008070C7">
        <w:rPr>
          <w:b/>
        </w:rPr>
        <w:t>The process of activating V2P/P2V communication should not rely on user’s manual actions</w:t>
      </w:r>
      <w:r w:rsidR="00FE2C5A">
        <w:rPr>
          <w:b/>
        </w:rPr>
        <w:t>.</w:t>
      </w:r>
      <w:r w:rsidRPr="00B35E54">
        <w:rPr>
          <w:b/>
          <w:lang w:val="en-US"/>
        </w:rPr>
        <w:fldChar w:fldCharType="end"/>
      </w:r>
    </w:p>
    <w:p w:rsidR="00B35E54" w:rsidRPr="00B35E54" w:rsidRDefault="00B35E54" w:rsidP="00CD4C7B">
      <w:pPr>
        <w:rPr>
          <w:b/>
          <w:lang w:val="en-US"/>
        </w:rPr>
      </w:pP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_Ref458770046 \n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Pr="00B35E54">
        <w:rPr>
          <w:b/>
          <w:lang w:val="en-US"/>
        </w:rPr>
        <w:t>Proposal 1:</w:t>
      </w:r>
      <w:r w:rsidRPr="00B35E54">
        <w:rPr>
          <w:b/>
          <w:lang w:val="en-US"/>
        </w:rPr>
        <w:fldChar w:fldCharType="end"/>
      </w:r>
      <w:r w:rsidRPr="00B35E54">
        <w:rPr>
          <w:b/>
          <w:lang w:val="en-US"/>
        </w:rPr>
        <w:t xml:space="preserve"> </w:t>
      </w: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_Ref458770046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="00FE2C5A">
        <w:rPr>
          <w:b/>
          <w:lang w:val="en-US"/>
        </w:rPr>
        <w:t>V</w:t>
      </w:r>
      <w:r w:rsidR="00FE2C5A" w:rsidRPr="00841666">
        <w:rPr>
          <w:b/>
          <w:lang w:val="en-US"/>
        </w:rPr>
        <w:t>ariations in</w:t>
      </w:r>
      <w:r w:rsidR="00FE2C5A">
        <w:rPr>
          <w:b/>
          <w:lang w:val="en-US"/>
        </w:rPr>
        <w:t xml:space="preserve"> RSRP/RSRQ based on</w:t>
      </w:r>
      <w:r w:rsidR="00FE2C5A" w:rsidRPr="00841666">
        <w:rPr>
          <w:b/>
          <w:lang w:val="en-US"/>
        </w:rPr>
        <w:t xml:space="preserve"> DL reference signals (RS) from more than one measured cell can serve as an indication the P-UE has initiated movement and may be </w:t>
      </w:r>
      <w:r w:rsidR="00FE2C5A">
        <w:rPr>
          <w:b/>
          <w:lang w:val="en-US"/>
        </w:rPr>
        <w:t>subject to becoming a vulnerable road user.</w:t>
      </w:r>
      <w:r w:rsidRPr="00B35E54">
        <w:rPr>
          <w:b/>
          <w:lang w:val="en-US"/>
        </w:rPr>
        <w:fldChar w:fldCharType="end"/>
      </w:r>
    </w:p>
    <w:p w:rsidR="00B35E54" w:rsidRPr="00B35E54" w:rsidRDefault="00B35E54" w:rsidP="00CD4C7B">
      <w:pPr>
        <w:rPr>
          <w:b/>
          <w:lang w:val="en-US"/>
        </w:rPr>
      </w:pP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_Ref458770064 \n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Pr="00B35E54">
        <w:rPr>
          <w:b/>
          <w:lang w:val="en-US"/>
        </w:rPr>
        <w:t>Proposal 2:</w:t>
      </w:r>
      <w:r w:rsidRPr="00B35E54">
        <w:rPr>
          <w:b/>
          <w:lang w:val="en-US"/>
        </w:rPr>
        <w:fldChar w:fldCharType="end"/>
      </w:r>
      <w:r w:rsidRPr="00B35E54">
        <w:rPr>
          <w:b/>
          <w:lang w:val="en-US"/>
        </w:rPr>
        <w:t xml:space="preserve"> </w:t>
      </w: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_Ref458770064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="00FE2C5A" w:rsidRPr="00D21B93">
        <w:rPr>
          <w:b/>
          <w:lang w:val="en-US"/>
        </w:rPr>
        <w:t>RAN2 is kindly asked to consider a solution relying on variations in DL reference signals combined with P-UE’s position as a way to enable V2P/P2V communications</w:t>
      </w:r>
      <w:r w:rsidRPr="00B35E54">
        <w:rPr>
          <w:b/>
          <w:lang w:val="en-US"/>
        </w:rPr>
        <w:fldChar w:fldCharType="end"/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4E2F39" w:rsidRDefault="00F77CD3" w:rsidP="007A621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7" w:name="_Ref458756954"/>
      <w:bookmarkStart w:id="8" w:name="_Ref75086397"/>
      <w:r>
        <w:t>RP-161894</w:t>
      </w:r>
      <w:r w:rsidR="004E2F39">
        <w:t xml:space="preserve">, </w:t>
      </w:r>
      <w:r w:rsidR="007A6210" w:rsidRPr="007A6210">
        <w:rPr>
          <w:i/>
        </w:rPr>
        <w:t>Revised WI proposal: LTE-based V2X Services</w:t>
      </w:r>
      <w:r w:rsidR="007A6210">
        <w:t>, 3GPP TSG RAN Meeting #73, New Orleans, September 19 - 22, 2016</w:t>
      </w:r>
      <w:bookmarkEnd w:id="7"/>
    </w:p>
    <w:p w:rsidR="00CD4C7B" w:rsidRPr="006E13D1" w:rsidRDefault="000E1921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9" w:name="_Ref458757390"/>
      <w:r>
        <w:t>3GPP TR 36.885</w:t>
      </w:r>
      <w:r w:rsidR="00CD4C7B" w:rsidRPr="006E13D1">
        <w:t xml:space="preserve">, </w:t>
      </w:r>
      <w:r>
        <w:rPr>
          <w:i/>
          <w:iCs/>
        </w:rPr>
        <w:t>Study on LTE-based V2X Services</w:t>
      </w:r>
      <w:bookmarkEnd w:id="9"/>
    </w:p>
    <w:p w:rsidR="00CD4C7B" w:rsidRDefault="000E1921" w:rsidP="000E192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0" w:name="_Ref458758148"/>
      <w:r>
        <w:t>R2-164080</w:t>
      </w:r>
      <w:r w:rsidR="00CD4C7B" w:rsidRPr="006E13D1">
        <w:t xml:space="preserve">, </w:t>
      </w:r>
      <w:r w:rsidRPr="00631A71">
        <w:rPr>
          <w:i/>
        </w:rPr>
        <w:t>Potential enhancements for V2P</w:t>
      </w:r>
      <w:r>
        <w:rPr>
          <w:i/>
        </w:rPr>
        <w:t>,</w:t>
      </w:r>
      <w:r w:rsidR="00CD4C7B" w:rsidRPr="006E13D1">
        <w:t xml:space="preserve"> </w:t>
      </w:r>
      <w:bookmarkEnd w:id="8"/>
      <w:r w:rsidRPr="000E1921">
        <w:t>3GPP TSG-RAN WG2 Meeting #94, 23 - 27 May 2016</w:t>
      </w:r>
      <w:bookmarkEnd w:id="10"/>
    </w:p>
    <w:p w:rsidR="000E1921" w:rsidRPr="000E1921" w:rsidRDefault="000E1921" w:rsidP="000E192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1" w:name="_Ref458760041"/>
      <w:r>
        <w:t xml:space="preserve">R2-164098, </w:t>
      </w:r>
      <w:r w:rsidRPr="00DC0B5D">
        <w:rPr>
          <w:i/>
        </w:rPr>
        <w:t>Power Consumption Aspects for V2P</w:t>
      </w:r>
      <w:r>
        <w:rPr>
          <w:i/>
        </w:rPr>
        <w:t xml:space="preserve">, </w:t>
      </w:r>
      <w:r w:rsidRPr="000E1921">
        <w:t>3GPP TSG-RAN WG2 Meeting #94, 23 - 27 May 2016</w:t>
      </w:r>
      <w:bookmarkEnd w:id="11"/>
    </w:p>
    <w:p w:rsidR="00CD4C7B" w:rsidRPr="006E13D1" w:rsidRDefault="00CD4C7B" w:rsidP="00CD4C7B"/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1BA" w:rsidRDefault="00FF11BA">
      <w:r>
        <w:separator/>
      </w:r>
    </w:p>
  </w:endnote>
  <w:endnote w:type="continuationSeparator" w:id="0">
    <w:p w:rsidR="00FF11BA" w:rsidRDefault="00FF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1BA" w:rsidRDefault="00FF11BA">
      <w:r>
        <w:separator/>
      </w:r>
    </w:p>
  </w:footnote>
  <w:footnote w:type="continuationSeparator" w:id="0">
    <w:p w:rsidR="00FF11BA" w:rsidRDefault="00FF1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7A4E58"/>
    <w:multiLevelType w:val="hybridMultilevel"/>
    <w:tmpl w:val="4240ED8E"/>
    <w:lvl w:ilvl="0" w:tplc="7110F8D6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0158E"/>
    <w:multiLevelType w:val="hybridMultilevel"/>
    <w:tmpl w:val="4C2A3D66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77DA5"/>
    <w:multiLevelType w:val="hybridMultilevel"/>
    <w:tmpl w:val="07CA0A0A"/>
    <w:lvl w:ilvl="0" w:tplc="2A1275BE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4256687"/>
    <w:multiLevelType w:val="hybridMultilevel"/>
    <w:tmpl w:val="727C59E4"/>
    <w:lvl w:ilvl="0" w:tplc="CF36E080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E1037"/>
    <w:multiLevelType w:val="hybridMultilevel"/>
    <w:tmpl w:val="5E7C4DA6"/>
    <w:lvl w:ilvl="0" w:tplc="2A1275BE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536D2"/>
    <w:multiLevelType w:val="hybridMultilevel"/>
    <w:tmpl w:val="C3EA6FC6"/>
    <w:lvl w:ilvl="0" w:tplc="37B22EB8">
      <w:start w:val="1"/>
      <w:numFmt w:val="decimal"/>
      <w:lvlText w:val="Observation %1:"/>
      <w:lvlJc w:val="left"/>
      <w:pPr>
        <w:ind w:left="825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8"/>
  </w:num>
  <w:num w:numId="7">
    <w:abstractNumId w:val="4"/>
  </w:num>
  <w:num w:numId="8">
    <w:abstractNumId w:val="2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6257"/>
    <w:rsid w:val="00010473"/>
    <w:rsid w:val="00021420"/>
    <w:rsid w:val="000255BA"/>
    <w:rsid w:val="00033397"/>
    <w:rsid w:val="00040095"/>
    <w:rsid w:val="00080512"/>
    <w:rsid w:val="00090468"/>
    <w:rsid w:val="000B7BCF"/>
    <w:rsid w:val="000C522B"/>
    <w:rsid w:val="000D43CA"/>
    <w:rsid w:val="000D58AB"/>
    <w:rsid w:val="000D7DC1"/>
    <w:rsid w:val="000E1921"/>
    <w:rsid w:val="001741A0"/>
    <w:rsid w:val="00194CD0"/>
    <w:rsid w:val="001B49C9"/>
    <w:rsid w:val="001D3A30"/>
    <w:rsid w:val="001F168B"/>
    <w:rsid w:val="001F7831"/>
    <w:rsid w:val="00204045"/>
    <w:rsid w:val="00224F2C"/>
    <w:rsid w:val="0022606D"/>
    <w:rsid w:val="00237FC9"/>
    <w:rsid w:val="002747EC"/>
    <w:rsid w:val="002855BF"/>
    <w:rsid w:val="002F0D22"/>
    <w:rsid w:val="003172DC"/>
    <w:rsid w:val="00326069"/>
    <w:rsid w:val="003378D7"/>
    <w:rsid w:val="0035462D"/>
    <w:rsid w:val="0037520B"/>
    <w:rsid w:val="00386C45"/>
    <w:rsid w:val="003B40AD"/>
    <w:rsid w:val="003B5262"/>
    <w:rsid w:val="003C4E37"/>
    <w:rsid w:val="003C6915"/>
    <w:rsid w:val="003E16BE"/>
    <w:rsid w:val="003F7052"/>
    <w:rsid w:val="00401855"/>
    <w:rsid w:val="00435CFD"/>
    <w:rsid w:val="00477455"/>
    <w:rsid w:val="004B4C89"/>
    <w:rsid w:val="004D3578"/>
    <w:rsid w:val="004D380D"/>
    <w:rsid w:val="004D5C7E"/>
    <w:rsid w:val="004E213A"/>
    <w:rsid w:val="004E25E4"/>
    <w:rsid w:val="004E2F39"/>
    <w:rsid w:val="00503171"/>
    <w:rsid w:val="00531764"/>
    <w:rsid w:val="00534DA0"/>
    <w:rsid w:val="00543E6C"/>
    <w:rsid w:val="00565087"/>
    <w:rsid w:val="0056573F"/>
    <w:rsid w:val="005C2B27"/>
    <w:rsid w:val="00611566"/>
    <w:rsid w:val="006236DD"/>
    <w:rsid w:val="00646D99"/>
    <w:rsid w:val="00653FC6"/>
    <w:rsid w:val="00656910"/>
    <w:rsid w:val="006C5951"/>
    <w:rsid w:val="006C66D8"/>
    <w:rsid w:val="006D1E24"/>
    <w:rsid w:val="006E3AB0"/>
    <w:rsid w:val="006E6E74"/>
    <w:rsid w:val="006F6A2C"/>
    <w:rsid w:val="007226E9"/>
    <w:rsid w:val="00726D6B"/>
    <w:rsid w:val="00734A5B"/>
    <w:rsid w:val="00744E76"/>
    <w:rsid w:val="00757D40"/>
    <w:rsid w:val="00781F0F"/>
    <w:rsid w:val="0078727C"/>
    <w:rsid w:val="0079049D"/>
    <w:rsid w:val="007A6210"/>
    <w:rsid w:val="007B18D8"/>
    <w:rsid w:val="007C095F"/>
    <w:rsid w:val="008028A4"/>
    <w:rsid w:val="008070C7"/>
    <w:rsid w:val="00815157"/>
    <w:rsid w:val="00841666"/>
    <w:rsid w:val="00855AD4"/>
    <w:rsid w:val="0086386E"/>
    <w:rsid w:val="008768CA"/>
    <w:rsid w:val="00880559"/>
    <w:rsid w:val="008A52AA"/>
    <w:rsid w:val="008A5DCC"/>
    <w:rsid w:val="008A5F7C"/>
    <w:rsid w:val="008C17D1"/>
    <w:rsid w:val="0090271F"/>
    <w:rsid w:val="00913EA2"/>
    <w:rsid w:val="00942EC2"/>
    <w:rsid w:val="009474E4"/>
    <w:rsid w:val="00952E88"/>
    <w:rsid w:val="00961B32"/>
    <w:rsid w:val="00974BB0"/>
    <w:rsid w:val="0098063C"/>
    <w:rsid w:val="009B07CD"/>
    <w:rsid w:val="009D0553"/>
    <w:rsid w:val="00A10F02"/>
    <w:rsid w:val="00A53724"/>
    <w:rsid w:val="00A82346"/>
    <w:rsid w:val="00A85C75"/>
    <w:rsid w:val="00A8705C"/>
    <w:rsid w:val="00A9671C"/>
    <w:rsid w:val="00AF067D"/>
    <w:rsid w:val="00B13FAA"/>
    <w:rsid w:val="00B15449"/>
    <w:rsid w:val="00B35E54"/>
    <w:rsid w:val="00B43DF6"/>
    <w:rsid w:val="00B47FD1"/>
    <w:rsid w:val="00BB758D"/>
    <w:rsid w:val="00BE0724"/>
    <w:rsid w:val="00BF1360"/>
    <w:rsid w:val="00C12B51"/>
    <w:rsid w:val="00C158F8"/>
    <w:rsid w:val="00C33079"/>
    <w:rsid w:val="00C72F99"/>
    <w:rsid w:val="00C83A13"/>
    <w:rsid w:val="00CA3D0C"/>
    <w:rsid w:val="00CD31A7"/>
    <w:rsid w:val="00CD4C7B"/>
    <w:rsid w:val="00D11361"/>
    <w:rsid w:val="00D12252"/>
    <w:rsid w:val="00D21B93"/>
    <w:rsid w:val="00D30B3B"/>
    <w:rsid w:val="00D738D6"/>
    <w:rsid w:val="00D80795"/>
    <w:rsid w:val="00D87E00"/>
    <w:rsid w:val="00D9134D"/>
    <w:rsid w:val="00D9430B"/>
    <w:rsid w:val="00D96D11"/>
    <w:rsid w:val="00DA7A03"/>
    <w:rsid w:val="00DB1818"/>
    <w:rsid w:val="00DC309B"/>
    <w:rsid w:val="00DC4DA2"/>
    <w:rsid w:val="00DC61DF"/>
    <w:rsid w:val="00E62835"/>
    <w:rsid w:val="00E77645"/>
    <w:rsid w:val="00EC4A25"/>
    <w:rsid w:val="00F025A2"/>
    <w:rsid w:val="00F07388"/>
    <w:rsid w:val="00F16ACD"/>
    <w:rsid w:val="00F2026E"/>
    <w:rsid w:val="00F2210A"/>
    <w:rsid w:val="00F37743"/>
    <w:rsid w:val="00F4481A"/>
    <w:rsid w:val="00F47F1F"/>
    <w:rsid w:val="00F5289E"/>
    <w:rsid w:val="00F54A3D"/>
    <w:rsid w:val="00F653B8"/>
    <w:rsid w:val="00F76F8F"/>
    <w:rsid w:val="00F77CD3"/>
    <w:rsid w:val="00FA1266"/>
    <w:rsid w:val="00FB4BF9"/>
    <w:rsid w:val="00FC1192"/>
    <w:rsid w:val="00FC18AA"/>
    <w:rsid w:val="00FE2C5A"/>
    <w:rsid w:val="00FF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E192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10473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9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42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291</TotalTime>
  <Pages>3</Pages>
  <Words>1367</Words>
  <Characters>7795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9144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Nokia</dc:creator>
  <cp:keywords>Nokia;3GPP, RAN2</cp:keywords>
  <cp:lastModifiedBy>Jedrzej</cp:lastModifiedBy>
  <cp:revision>60</cp:revision>
  <dcterms:created xsi:type="dcterms:W3CDTF">2016-08-08T07:21:00Z</dcterms:created>
  <dcterms:modified xsi:type="dcterms:W3CDTF">2016-11-04T15:50:00Z</dcterms:modified>
</cp:coreProperties>
</file>