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74C835" w14:textId="4831B159" w:rsidR="00CD4C7B" w:rsidRPr="00986567" w:rsidRDefault="00CD4C7B"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93</w:t>
      </w:r>
      <w:r w:rsidR="00477455">
        <w:rPr>
          <w:noProof w:val="0"/>
          <w:sz w:val="24"/>
          <w:szCs w:val="24"/>
        </w:rPr>
        <w:t>bis</w:t>
      </w:r>
      <w:r w:rsidRPr="00B266B0">
        <w:rPr>
          <w:bCs/>
          <w:noProof w:val="0"/>
          <w:sz w:val="24"/>
          <w:szCs w:val="24"/>
        </w:rPr>
        <w:tab/>
      </w:r>
      <w:r w:rsidR="00986567" w:rsidRPr="00986567">
        <w:rPr>
          <w:bCs/>
          <w:i/>
          <w:noProof w:val="0"/>
          <w:sz w:val="24"/>
          <w:szCs w:val="24"/>
        </w:rPr>
        <w:t>R2-162699</w:t>
      </w:r>
    </w:p>
    <w:p w14:paraId="5C315A97" w14:textId="77777777" w:rsidR="00CD4C7B" w:rsidRPr="00B266B0" w:rsidRDefault="00477455" w:rsidP="00CD4C7B">
      <w:pPr>
        <w:pStyle w:val="Header"/>
        <w:tabs>
          <w:tab w:val="right" w:pos="9639"/>
        </w:tabs>
        <w:rPr>
          <w:bCs/>
          <w:noProof w:val="0"/>
          <w:sz w:val="24"/>
          <w:szCs w:val="24"/>
        </w:rPr>
      </w:pPr>
      <w:r>
        <w:rPr>
          <w:rFonts w:eastAsia="SimSun"/>
          <w:noProof w:val="0"/>
          <w:sz w:val="24"/>
          <w:szCs w:val="24"/>
          <w:lang w:eastAsia="zh-CN"/>
        </w:rPr>
        <w:t>Dubrovnik, Croatia</w:t>
      </w:r>
      <w:r w:rsidR="009B07CD" w:rsidRPr="009B07CD">
        <w:rPr>
          <w:rFonts w:eastAsia="SimSun"/>
          <w:noProof w:val="0"/>
          <w:sz w:val="24"/>
          <w:szCs w:val="24"/>
          <w:lang w:eastAsia="zh-CN"/>
        </w:rPr>
        <w:t xml:space="preserve">, </w:t>
      </w:r>
      <w:r>
        <w:rPr>
          <w:rFonts w:eastAsia="SimSun"/>
          <w:noProof w:val="0"/>
          <w:sz w:val="24"/>
          <w:szCs w:val="24"/>
          <w:lang w:eastAsia="zh-CN"/>
        </w:rPr>
        <w:t>11</w:t>
      </w:r>
      <w:r w:rsidR="009B07CD" w:rsidRPr="009B07CD">
        <w:rPr>
          <w:rFonts w:eastAsia="SimSun"/>
          <w:noProof w:val="0"/>
          <w:sz w:val="24"/>
          <w:szCs w:val="24"/>
          <w:lang w:eastAsia="zh-CN"/>
        </w:rPr>
        <w:t xml:space="preserve"> - </w:t>
      </w:r>
      <w:r>
        <w:rPr>
          <w:rFonts w:eastAsia="SimSun"/>
          <w:noProof w:val="0"/>
          <w:sz w:val="24"/>
          <w:szCs w:val="24"/>
          <w:lang w:eastAsia="zh-CN"/>
        </w:rPr>
        <w:t>15</w:t>
      </w:r>
      <w:r w:rsidR="009B07CD" w:rsidRPr="009B07CD">
        <w:rPr>
          <w:rFonts w:eastAsia="SimSun"/>
          <w:noProof w:val="0"/>
          <w:sz w:val="24"/>
          <w:szCs w:val="24"/>
          <w:lang w:eastAsia="zh-CN"/>
        </w:rPr>
        <w:t xml:space="preserve"> </w:t>
      </w:r>
      <w:r w:rsidR="00656910">
        <w:rPr>
          <w:rFonts w:eastAsia="SimSun"/>
          <w:noProof w:val="0"/>
          <w:sz w:val="24"/>
          <w:szCs w:val="24"/>
          <w:lang w:eastAsia="zh-CN"/>
        </w:rPr>
        <w:t>April</w:t>
      </w:r>
      <w:r w:rsidR="009B07CD" w:rsidRPr="009B07CD">
        <w:rPr>
          <w:rFonts w:eastAsia="SimSun"/>
          <w:noProof w:val="0"/>
          <w:sz w:val="24"/>
          <w:szCs w:val="24"/>
          <w:lang w:eastAsia="zh-CN"/>
        </w:rPr>
        <w:t xml:space="preserve"> 2016</w:t>
      </w:r>
    </w:p>
    <w:p w14:paraId="6C6D3BAE" w14:textId="77777777" w:rsidR="00CD4C7B" w:rsidRPr="00B266B0" w:rsidRDefault="00CD4C7B" w:rsidP="00CD4C7B">
      <w:pPr>
        <w:pStyle w:val="Header"/>
        <w:rPr>
          <w:bCs/>
          <w:noProof w:val="0"/>
          <w:sz w:val="24"/>
        </w:rPr>
      </w:pPr>
    </w:p>
    <w:p w14:paraId="35976079" w14:textId="77777777" w:rsidR="00CD4C7B" w:rsidRPr="00B266B0" w:rsidRDefault="00CD4C7B" w:rsidP="00CD4C7B">
      <w:pPr>
        <w:pStyle w:val="Header"/>
        <w:rPr>
          <w:bCs/>
          <w:noProof w:val="0"/>
          <w:sz w:val="24"/>
        </w:rPr>
      </w:pPr>
    </w:p>
    <w:p w14:paraId="0B5CC8EB" w14:textId="7BD920C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030E5">
        <w:rPr>
          <w:rFonts w:cs="Arial"/>
          <w:b/>
          <w:bCs/>
          <w:sz w:val="24"/>
          <w:lang w:eastAsia="ja-JP"/>
        </w:rPr>
        <w:t>8</w:t>
      </w:r>
      <w:r w:rsidR="002747EC">
        <w:rPr>
          <w:rFonts w:cs="Arial"/>
          <w:b/>
          <w:bCs/>
          <w:sz w:val="24"/>
          <w:lang w:eastAsia="ja-JP"/>
        </w:rPr>
        <w:t>.</w:t>
      </w:r>
      <w:r w:rsidR="00B030E5">
        <w:rPr>
          <w:rFonts w:cs="Arial"/>
          <w:b/>
          <w:bCs/>
          <w:sz w:val="24"/>
          <w:lang w:eastAsia="ja-JP"/>
        </w:rPr>
        <w:t>6</w:t>
      </w:r>
      <w:r w:rsidR="00306DA6">
        <w:rPr>
          <w:rFonts w:cs="Arial"/>
          <w:b/>
          <w:bCs/>
          <w:sz w:val="24"/>
          <w:lang w:eastAsia="ja-JP"/>
        </w:rPr>
        <w:t>.1</w:t>
      </w:r>
    </w:p>
    <w:p w14:paraId="0194936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B030E5">
        <w:rPr>
          <w:rFonts w:ascii="Arial" w:hAnsi="Arial" w:cs="Arial"/>
          <w:b/>
          <w:bCs/>
          <w:sz w:val="24"/>
        </w:rPr>
        <w:t xml:space="preserve">, </w:t>
      </w:r>
      <w:r w:rsidR="00B030E5" w:rsidRPr="00B030E5">
        <w:rPr>
          <w:rFonts w:ascii="Arial" w:hAnsi="Arial" w:cs="Arial"/>
          <w:b/>
          <w:bCs/>
          <w:sz w:val="24"/>
        </w:rPr>
        <w:t>Alcatel-Lucent Shanghai Bell</w:t>
      </w:r>
    </w:p>
    <w:p w14:paraId="3BE67F99" w14:textId="4222BACE" w:rsidR="00CD4C7B" w:rsidRDefault="00B030E5"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RACH-less Handover </w:t>
      </w:r>
      <w:r w:rsidR="00453921">
        <w:rPr>
          <w:rFonts w:ascii="Arial" w:hAnsi="Arial" w:cs="Arial"/>
          <w:b/>
          <w:bCs/>
          <w:sz w:val="24"/>
        </w:rPr>
        <w:t>to reduce the length of s</w:t>
      </w:r>
      <w:bookmarkStart w:id="1" w:name="_GoBack"/>
      <w:bookmarkEnd w:id="1"/>
      <w:r w:rsidR="00453921">
        <w:rPr>
          <w:rFonts w:ascii="Arial" w:hAnsi="Arial" w:cs="Arial"/>
          <w:b/>
          <w:bCs/>
          <w:sz w:val="24"/>
        </w:rPr>
        <w:t>ervice interruption</w:t>
      </w:r>
    </w:p>
    <w:p w14:paraId="14B9F37E" w14:textId="77777777" w:rsidR="00CD4C7B" w:rsidRPr="00B266B0" w:rsidRDefault="00B030E5"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B030E5">
        <w:rPr>
          <w:rFonts w:ascii="Arial" w:hAnsi="Arial" w:cs="Arial"/>
          <w:b/>
          <w:bCs/>
          <w:sz w:val="24"/>
        </w:rPr>
        <w:t>LTE_eMob-Core</w:t>
      </w:r>
      <w:r w:rsidR="00CD4C7B">
        <w:rPr>
          <w:rFonts w:ascii="Arial" w:hAnsi="Arial" w:cs="Arial"/>
          <w:b/>
          <w:bCs/>
          <w:sz w:val="24"/>
        </w:rPr>
        <w:t xml:space="preserve"> </w:t>
      </w:r>
      <w:r w:rsidR="00D80795">
        <w:rPr>
          <w:rFonts w:ascii="Arial" w:hAnsi="Arial" w:cs="Arial"/>
          <w:b/>
          <w:bCs/>
          <w:sz w:val="24"/>
        </w:rPr>
        <w:t>-</w:t>
      </w:r>
      <w:r w:rsidR="00CD4C7B">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3CBEDEB9"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7330A9" w14:textId="77777777" w:rsidR="00CD4C7B" w:rsidRPr="006E13D1" w:rsidRDefault="00CD4C7B" w:rsidP="00CD4C7B">
      <w:pPr>
        <w:pStyle w:val="Heading1"/>
      </w:pPr>
      <w:r w:rsidRPr="006E13D1">
        <w:t>1</w:t>
      </w:r>
      <w:r w:rsidRPr="006E13D1">
        <w:tab/>
      </w:r>
      <w:r w:rsidR="0056573F">
        <w:t>Introduction</w:t>
      </w:r>
    </w:p>
    <w:p w14:paraId="3B1E6184" w14:textId="35473995" w:rsidR="00CD4C7B" w:rsidRPr="006E13D1" w:rsidRDefault="00511CF0" w:rsidP="00FC2A5B">
      <w:pPr>
        <w:jc w:val="both"/>
      </w:pPr>
      <w:r>
        <w:t xml:space="preserve">During the 3GPP TSG RAN#71 meeting in March 2016 it has been agreed to conduct further studies on mobility aspects. </w:t>
      </w:r>
      <w:r w:rsidR="00043CC1">
        <w:t xml:space="preserve">A </w:t>
      </w:r>
      <w:r>
        <w:t>Work Item including a Study phase has been approved during the aforementioned</w:t>
      </w:r>
      <w:r w:rsidR="00FF46F9">
        <w:t xml:space="preserve"> RAN meeting. Details</w:t>
      </w:r>
      <w:r w:rsidR="0042587B">
        <w:t xml:space="preserve"> of the approved proposal</w:t>
      </w:r>
      <w:r w:rsidR="00FF46F9">
        <w:t xml:space="preserve"> can be found in </w:t>
      </w:r>
      <w:hyperlink r:id="rId8" w:history="1">
        <w:r w:rsidR="00043CC1" w:rsidRPr="00FF46F9">
          <w:rPr>
            <w:rStyle w:val="Hyperlink"/>
          </w:rPr>
          <w:t>RP-160636</w:t>
        </w:r>
      </w:hyperlink>
      <w:r w:rsidR="00043CC1">
        <w:t xml:space="preserve"> </w:t>
      </w:r>
      <w:r w:rsidR="00FF46F9">
        <w:fldChar w:fldCharType="begin"/>
      </w:r>
      <w:r w:rsidR="00FF46F9">
        <w:instrText xml:space="preserve"> REF _Ref447115499 \r \h </w:instrText>
      </w:r>
      <w:r w:rsidR="00FC2A5B">
        <w:instrText xml:space="preserve"> \* MERGEFORMAT </w:instrText>
      </w:r>
      <w:r w:rsidR="00FF46F9">
        <w:fldChar w:fldCharType="separate"/>
      </w:r>
      <w:r w:rsidR="007C076C">
        <w:t>[1]</w:t>
      </w:r>
      <w:r w:rsidR="00FF46F9">
        <w:fldChar w:fldCharType="end"/>
      </w:r>
      <w:r w:rsidR="00FF46F9">
        <w:t>.</w:t>
      </w:r>
      <w:r>
        <w:t xml:space="preserve"> </w:t>
      </w:r>
      <w:r w:rsidR="00FF46F9">
        <w:t xml:space="preserve">New WI mainly </w:t>
      </w:r>
      <w:r w:rsidR="00043CC1">
        <w:t xml:space="preserve">aims at </w:t>
      </w:r>
      <w:r w:rsidR="00432E68">
        <w:t xml:space="preserve">mitigating the negative impact of service interruption on user experience. In this </w:t>
      </w:r>
      <w:r w:rsidR="003E1BDE">
        <w:t>paper,</w:t>
      </w:r>
      <w:r w:rsidR="00432E68">
        <w:t xml:space="preserve"> we analyze </w:t>
      </w:r>
      <w:r w:rsidR="00043CC1">
        <w:t xml:space="preserve">one of </w:t>
      </w:r>
      <w:r w:rsidR="00432E68">
        <w:t>the solution</w:t>
      </w:r>
      <w:r w:rsidR="00EF78FB">
        <w:t>s</w:t>
      </w:r>
      <w:r w:rsidR="00432E68">
        <w:t xml:space="preserve"> </w:t>
      </w:r>
      <w:r w:rsidR="00043CC1">
        <w:t>indicated in the WID description, namely the so-</w:t>
      </w:r>
      <w:r w:rsidR="00432E68">
        <w:t xml:space="preserve">called RACH-less </w:t>
      </w:r>
      <w:r w:rsidR="003E1BDE">
        <w:t>Handover, which</w:t>
      </w:r>
      <w:r w:rsidR="00432E68">
        <w:t xml:space="preserve"> can bring substantial reductions </w:t>
      </w:r>
      <w:r w:rsidR="00043CC1">
        <w:t xml:space="preserve">to the service </w:t>
      </w:r>
      <w:r w:rsidR="003E1BDE">
        <w:t>interruption</w:t>
      </w:r>
      <w:r w:rsidR="00043CC1">
        <w:t xml:space="preserve"> during handover</w:t>
      </w:r>
      <w:r w:rsidR="00432E68">
        <w:t xml:space="preserve">. </w:t>
      </w:r>
    </w:p>
    <w:p w14:paraId="178FDF8C" w14:textId="77777777" w:rsidR="00CD4C7B" w:rsidRPr="00B73008" w:rsidRDefault="00CD2C79" w:rsidP="00CD4C7B">
      <w:pPr>
        <w:pStyle w:val="Heading1"/>
        <w:rPr>
          <w:lang w:val="en-US"/>
        </w:rPr>
      </w:pPr>
      <w:r w:rsidRPr="00B73008">
        <w:rPr>
          <w:lang w:val="en-US"/>
        </w:rPr>
        <w:t>2</w:t>
      </w:r>
      <w:r w:rsidRPr="00B73008">
        <w:rPr>
          <w:lang w:val="en-US"/>
        </w:rPr>
        <w:tab/>
        <w:t>Discussion</w:t>
      </w:r>
    </w:p>
    <w:p w14:paraId="057FAD98" w14:textId="0878D3FC" w:rsidR="00463B1E" w:rsidRDefault="00165005" w:rsidP="00AC6F37">
      <w:pPr>
        <w:jc w:val="both"/>
        <w:rPr>
          <w:lang w:val="en-US"/>
        </w:rPr>
      </w:pPr>
      <w:r w:rsidRPr="00165005">
        <w:rPr>
          <w:lang w:val="en-US"/>
        </w:rPr>
        <w:t xml:space="preserve">Handover in </w:t>
      </w:r>
      <w:r w:rsidR="00043CC1">
        <w:rPr>
          <w:lang w:val="en-US"/>
        </w:rPr>
        <w:t xml:space="preserve">any system </w:t>
      </w:r>
      <w:r w:rsidRPr="00165005">
        <w:rPr>
          <w:lang w:val="en-US"/>
        </w:rPr>
        <w:t xml:space="preserve">is inherently associated with </w:t>
      </w:r>
      <w:r w:rsidR="00043CC1">
        <w:rPr>
          <w:lang w:val="en-US"/>
        </w:rPr>
        <w:t xml:space="preserve">some </w:t>
      </w:r>
      <w:r w:rsidRPr="00165005">
        <w:rPr>
          <w:lang w:val="en-US"/>
        </w:rPr>
        <w:t>service interruption.</w:t>
      </w:r>
      <w:r>
        <w:rPr>
          <w:lang w:val="en-US"/>
        </w:rPr>
        <w:t xml:space="preserve"> </w:t>
      </w:r>
      <w:r w:rsidR="00043CC1">
        <w:rPr>
          <w:lang w:val="en-US"/>
        </w:rPr>
        <w:t xml:space="preserve">The aim of LTE design was to minimize this, and substantial amount of work and studies have been devoted that during earlier releases (e.g. during the Hetnet mobility SID/WID). </w:t>
      </w:r>
      <w:r w:rsidRPr="005552F8">
        <w:rPr>
          <w:lang w:val="en-US"/>
        </w:rPr>
        <w:t xml:space="preserve">The </w:t>
      </w:r>
      <w:r w:rsidR="005552F8" w:rsidRPr="005552F8">
        <w:rPr>
          <w:lang w:val="en-US"/>
        </w:rPr>
        <w:t>statistics</w:t>
      </w:r>
      <w:r w:rsidRPr="005552F8">
        <w:rPr>
          <w:lang w:val="en-US"/>
        </w:rPr>
        <w:t xml:space="preserve"> in </w:t>
      </w:r>
      <w:r>
        <w:rPr>
          <w:lang w:val="pl-PL"/>
        </w:rPr>
        <w:fldChar w:fldCharType="begin"/>
      </w:r>
      <w:r w:rsidRPr="005552F8">
        <w:rPr>
          <w:lang w:val="en-US"/>
        </w:rPr>
        <w:instrText xml:space="preserve"> REF _Ref447118252 \r \h </w:instrText>
      </w:r>
      <w:r w:rsidR="000B06C6" w:rsidRPr="000B06C6">
        <w:rPr>
          <w:lang w:val="en-US"/>
        </w:rPr>
        <w:instrText xml:space="preserve"> \* MERGEFORMAT </w:instrText>
      </w:r>
      <w:r>
        <w:rPr>
          <w:lang w:val="pl-PL"/>
        </w:rPr>
      </w:r>
      <w:r>
        <w:rPr>
          <w:lang w:val="pl-PL"/>
        </w:rPr>
        <w:fldChar w:fldCharType="separate"/>
      </w:r>
      <w:r w:rsidR="007C076C">
        <w:rPr>
          <w:lang w:val="en-US"/>
        </w:rPr>
        <w:t>[2]</w:t>
      </w:r>
      <w:r>
        <w:rPr>
          <w:lang w:val="pl-PL"/>
        </w:rPr>
        <w:fldChar w:fldCharType="end"/>
      </w:r>
      <w:r w:rsidR="005552F8" w:rsidRPr="005552F8">
        <w:rPr>
          <w:lang w:val="en-US"/>
        </w:rPr>
        <w:t xml:space="preserve"> show that median interruption time is approxi</w:t>
      </w:r>
      <w:r w:rsidR="005552F8">
        <w:rPr>
          <w:lang w:val="en-US"/>
        </w:rPr>
        <w:t>mately 50 ms bu</w:t>
      </w:r>
      <w:r w:rsidR="00F90F90">
        <w:rPr>
          <w:lang w:val="en-US"/>
        </w:rPr>
        <w:t>t in certain cases those value</w:t>
      </w:r>
      <w:r w:rsidR="005552F8">
        <w:rPr>
          <w:lang w:val="en-US"/>
        </w:rPr>
        <w:t>s can be as high as 80 – 100 ms</w:t>
      </w:r>
      <w:r w:rsidR="00D830E8">
        <w:rPr>
          <w:lang w:val="en-US"/>
        </w:rPr>
        <w:t>.</w:t>
      </w:r>
      <w:r w:rsidR="00B2270F">
        <w:rPr>
          <w:lang w:val="en-US"/>
        </w:rPr>
        <w:t xml:space="preserve"> </w:t>
      </w:r>
      <w:r w:rsidR="00043CC1">
        <w:rPr>
          <w:lang w:val="en-US"/>
        </w:rPr>
        <w:t xml:space="preserve">As studied in the latency reduction SI and captured in </w:t>
      </w:r>
      <w:hyperlink r:id="rId9" w:history="1">
        <w:r w:rsidR="00043CC1" w:rsidRPr="00043CC1">
          <w:rPr>
            <w:rStyle w:val="Hyperlink"/>
            <w:lang w:val="en-US"/>
          </w:rPr>
          <w:t>TR 36.881</w:t>
        </w:r>
      </w:hyperlink>
      <w:r w:rsidR="00043CC1">
        <w:rPr>
          <w:lang w:val="en-US"/>
        </w:rPr>
        <w:t>, o</w:t>
      </w:r>
      <w:r w:rsidR="00B2270F">
        <w:rPr>
          <w:lang w:val="en-US"/>
        </w:rPr>
        <w:t xml:space="preserve">ne of the </w:t>
      </w:r>
      <w:r w:rsidR="00043CC1">
        <w:rPr>
          <w:lang w:val="en-US"/>
        </w:rPr>
        <w:t xml:space="preserve">main </w:t>
      </w:r>
      <w:r w:rsidR="00B2270F">
        <w:rPr>
          <w:lang w:val="en-US"/>
        </w:rPr>
        <w:t xml:space="preserve">components that contribute to the length of this interruption is the necessity to execute Random Access (RA) procedure in the target cell. </w:t>
      </w:r>
      <w:r w:rsidR="00CA1EFC">
        <w:rPr>
          <w:lang w:val="en-US"/>
        </w:rPr>
        <w:t xml:space="preserve">This mechanism is typical for asynchronous networks. However, the increasing number of functionalities requiring time-synchronized cells (such as ICIC or CoMP) </w:t>
      </w:r>
      <w:r w:rsidR="00646514">
        <w:rPr>
          <w:lang w:val="en-US"/>
        </w:rPr>
        <w:t>provide an opportunity for mobility enhancements.</w:t>
      </w:r>
      <w:r w:rsidR="0042587B">
        <w:rPr>
          <w:lang w:val="en-US"/>
        </w:rPr>
        <w:t xml:space="preserve"> </w:t>
      </w:r>
      <w:r w:rsidR="00043CC1">
        <w:rPr>
          <w:lang w:val="en-US"/>
        </w:rPr>
        <w:t xml:space="preserve">If the </w:t>
      </w:r>
      <w:r w:rsidR="0042587B">
        <w:rPr>
          <w:lang w:val="en-US"/>
        </w:rPr>
        <w:t>RA step c</w:t>
      </w:r>
      <w:r w:rsidR="00043CC1">
        <w:rPr>
          <w:lang w:val="en-US"/>
        </w:rPr>
        <w:t>ould</w:t>
      </w:r>
      <w:r w:rsidR="0042587B">
        <w:rPr>
          <w:lang w:val="en-US"/>
        </w:rPr>
        <w:t xml:space="preserve"> be omitted</w:t>
      </w:r>
      <w:r w:rsidR="00EF1B07">
        <w:rPr>
          <w:lang w:val="en-US"/>
        </w:rPr>
        <w:t xml:space="preserve"> </w:t>
      </w:r>
      <w:r w:rsidR="00043CC1">
        <w:rPr>
          <w:lang w:val="en-US"/>
        </w:rPr>
        <w:t xml:space="preserve">(e.g. </w:t>
      </w:r>
      <w:r w:rsidR="00EF1B07">
        <w:rPr>
          <w:lang w:val="en-US"/>
        </w:rPr>
        <w:t>in synchronized networks</w:t>
      </w:r>
      <w:r w:rsidR="00043CC1">
        <w:rPr>
          <w:lang w:val="en-US"/>
        </w:rPr>
        <w:t>)</w:t>
      </w:r>
      <w:r w:rsidR="00EF1B07">
        <w:rPr>
          <w:lang w:val="en-US"/>
        </w:rPr>
        <w:t>, significant reductions of the interruption length and the overall HO execution time</w:t>
      </w:r>
      <w:r w:rsidR="00043CC1">
        <w:rPr>
          <w:lang w:val="en-US"/>
        </w:rPr>
        <w:t xml:space="preserve"> could be achieved</w:t>
      </w:r>
      <w:r w:rsidR="00EF1B07">
        <w:rPr>
          <w:lang w:val="en-US"/>
        </w:rPr>
        <w:t>.</w:t>
      </w:r>
    </w:p>
    <w:p w14:paraId="0E334862" w14:textId="77777777" w:rsidR="006D34FC" w:rsidRPr="000B06C6" w:rsidRDefault="00745C3A" w:rsidP="00463B1E">
      <w:pPr>
        <w:jc w:val="center"/>
        <w:rPr>
          <w:lang w:val="en-US"/>
        </w:rPr>
      </w:pPr>
      <w:r>
        <w:rPr>
          <w:lang w:val="en-US"/>
        </w:rPr>
        <w:br/>
      </w:r>
      <w:r w:rsidR="008B7C36" w:rsidRPr="002B3CA8">
        <w:rPr>
          <w:noProof/>
          <w:lang w:val="en-US"/>
        </w:rPr>
        <w:drawing>
          <wp:inline distT="0" distB="0" distL="0" distR="0" wp14:anchorId="713D2025" wp14:editId="5107231A">
            <wp:extent cx="4724400" cy="3333750"/>
            <wp:effectExtent l="0" t="0" r="0" b="0"/>
            <wp:docPr id="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24400" cy="3333750"/>
                    </a:xfrm>
                    <a:prstGeom prst="rect">
                      <a:avLst/>
                    </a:prstGeom>
                    <a:noFill/>
                    <a:ln>
                      <a:noFill/>
                    </a:ln>
                  </pic:spPr>
                </pic:pic>
              </a:graphicData>
            </a:graphic>
          </wp:inline>
        </w:drawing>
      </w:r>
    </w:p>
    <w:p w14:paraId="606C98DD" w14:textId="77777777" w:rsidR="00CD4C7B" w:rsidRDefault="006D34FC" w:rsidP="006D34FC">
      <w:pPr>
        <w:pStyle w:val="Caption"/>
        <w:jc w:val="center"/>
        <w:rPr>
          <w:lang w:val="en-US"/>
        </w:rPr>
      </w:pPr>
      <w:bookmarkStart w:id="2" w:name="_Ref447120425"/>
      <w:r>
        <w:t xml:space="preserve">Figure </w:t>
      </w:r>
      <w:r>
        <w:fldChar w:fldCharType="begin"/>
      </w:r>
      <w:r>
        <w:instrText xml:space="preserve"> SEQ Figure \* ARABIC </w:instrText>
      </w:r>
      <w:r>
        <w:fldChar w:fldCharType="separate"/>
      </w:r>
      <w:r w:rsidR="00B73008">
        <w:rPr>
          <w:noProof/>
        </w:rPr>
        <w:t>1</w:t>
      </w:r>
      <w:r>
        <w:fldChar w:fldCharType="end"/>
      </w:r>
      <w:bookmarkEnd w:id="2"/>
      <w:r>
        <w:t xml:space="preserve">: </w:t>
      </w:r>
      <w:r w:rsidRPr="000D2678">
        <w:t>Current LTE Handover procedure</w:t>
      </w:r>
    </w:p>
    <w:p w14:paraId="41313824" w14:textId="0F40037C" w:rsidR="002B3CA8" w:rsidRDefault="000B06C6" w:rsidP="00966B8B">
      <w:pPr>
        <w:jc w:val="both"/>
        <w:rPr>
          <w:lang w:val="en-US"/>
        </w:rPr>
      </w:pPr>
      <w:r>
        <w:rPr>
          <w:lang w:val="en-US"/>
        </w:rPr>
        <w:lastRenderedPageBreak/>
        <w:fldChar w:fldCharType="begin"/>
      </w:r>
      <w:r>
        <w:rPr>
          <w:lang w:val="en-US"/>
        </w:rPr>
        <w:instrText xml:space="preserve"> REF _Ref447120425 \h </w:instrText>
      </w:r>
      <w:r w:rsidR="00966B8B">
        <w:rPr>
          <w:lang w:val="en-US"/>
        </w:rPr>
        <w:instrText xml:space="preserve"> \* MERGEFORMAT </w:instrText>
      </w:r>
      <w:r>
        <w:rPr>
          <w:lang w:val="en-US"/>
        </w:rPr>
      </w:r>
      <w:r>
        <w:rPr>
          <w:lang w:val="en-US"/>
        </w:rPr>
        <w:fldChar w:fldCharType="separate"/>
      </w:r>
      <w:r>
        <w:t xml:space="preserve">Figure </w:t>
      </w:r>
      <w:r>
        <w:rPr>
          <w:noProof/>
        </w:rPr>
        <w:t>1</w:t>
      </w:r>
      <w:r>
        <w:rPr>
          <w:lang w:val="en-US"/>
        </w:rPr>
        <w:fldChar w:fldCharType="end"/>
      </w:r>
      <w:r>
        <w:rPr>
          <w:lang w:val="en-US"/>
        </w:rPr>
        <w:t xml:space="preserve"> depicts the current LTE Handover procedure. </w:t>
      </w:r>
      <w:r w:rsidR="00F60A44">
        <w:rPr>
          <w:lang w:val="en-US"/>
        </w:rPr>
        <w:t>HO preparations are</w:t>
      </w:r>
      <w:r>
        <w:rPr>
          <w:lang w:val="en-US"/>
        </w:rPr>
        <w:t xml:space="preserve"> </w:t>
      </w:r>
      <w:r w:rsidR="00043CC1">
        <w:rPr>
          <w:lang w:val="en-US"/>
        </w:rPr>
        <w:t xml:space="preserve">typically </w:t>
      </w:r>
      <w:r>
        <w:rPr>
          <w:lang w:val="en-US"/>
        </w:rPr>
        <w:t xml:space="preserve">triggered on the basis of measurement report(s) provided by the UE. After evaluating the content of those measurement reports against the triggering criteria and upon the successful HO request/response procedure with the target eNB, source cell/eNB sends HO command </w:t>
      </w:r>
      <w:r w:rsidR="00043CC1">
        <w:rPr>
          <w:lang w:val="en-US"/>
        </w:rPr>
        <w:t xml:space="preserve">prepared by the target eNB </w:t>
      </w:r>
      <w:r>
        <w:rPr>
          <w:lang w:val="en-US"/>
        </w:rPr>
        <w:t xml:space="preserve">towards the UE. </w:t>
      </w:r>
      <w:r w:rsidR="00043CC1">
        <w:rPr>
          <w:lang w:val="en-US"/>
        </w:rPr>
        <w:t xml:space="preserve">Once the UE receives the HO command, the </w:t>
      </w:r>
      <w:r>
        <w:rPr>
          <w:lang w:val="en-US"/>
        </w:rPr>
        <w:t xml:space="preserve">data service interruption </w:t>
      </w:r>
      <w:r w:rsidR="00043CC1">
        <w:rPr>
          <w:lang w:val="en-US"/>
        </w:rPr>
        <w:t xml:space="preserve">time </w:t>
      </w:r>
      <w:r>
        <w:rPr>
          <w:lang w:val="en-US"/>
        </w:rPr>
        <w:t xml:space="preserve">starts </w:t>
      </w:r>
      <w:r w:rsidR="00F60A44">
        <w:rPr>
          <w:lang w:val="en-US"/>
        </w:rPr>
        <w:t>and data transmission</w:t>
      </w:r>
      <w:r>
        <w:rPr>
          <w:lang w:val="en-US"/>
        </w:rPr>
        <w:t xml:space="preserve"> will not be resumed until </w:t>
      </w:r>
      <w:r w:rsidR="00043CC1">
        <w:rPr>
          <w:lang w:val="en-US"/>
        </w:rPr>
        <w:t xml:space="preserve">the </w:t>
      </w:r>
      <w:r>
        <w:rPr>
          <w:lang w:val="en-US"/>
        </w:rPr>
        <w:t>UE</w:t>
      </w:r>
      <w:r w:rsidR="00043CC1">
        <w:rPr>
          <w:lang w:val="en-US"/>
        </w:rPr>
        <w:t xml:space="preserve">-sent RRC message </w:t>
      </w:r>
      <w:r>
        <w:rPr>
          <w:lang w:val="en-US"/>
        </w:rPr>
        <w:t>confirm</w:t>
      </w:r>
      <w:r w:rsidR="00043CC1">
        <w:rPr>
          <w:lang w:val="en-US"/>
        </w:rPr>
        <w:t>ing the handover completion</w:t>
      </w:r>
      <w:r>
        <w:rPr>
          <w:lang w:val="en-US"/>
        </w:rPr>
        <w:t xml:space="preserve"> is received by the target eNB (as shown in </w:t>
      </w:r>
      <w:r>
        <w:rPr>
          <w:lang w:val="en-US"/>
        </w:rPr>
        <w:fldChar w:fldCharType="begin"/>
      </w:r>
      <w:r>
        <w:rPr>
          <w:lang w:val="en-US"/>
        </w:rPr>
        <w:instrText xml:space="preserve"> REF _Ref447120425 \h </w:instrText>
      </w:r>
      <w:r w:rsidR="00966B8B">
        <w:rPr>
          <w:lang w:val="en-US"/>
        </w:rPr>
        <w:instrText xml:space="preserve"> \* MERGEFORMAT </w:instrText>
      </w:r>
      <w:r>
        <w:rPr>
          <w:lang w:val="en-US"/>
        </w:rPr>
      </w:r>
      <w:r>
        <w:rPr>
          <w:lang w:val="en-US"/>
        </w:rPr>
        <w:fldChar w:fldCharType="separate"/>
      </w:r>
      <w:r>
        <w:t xml:space="preserve">Figure </w:t>
      </w:r>
      <w:r>
        <w:rPr>
          <w:noProof/>
        </w:rPr>
        <w:t>1</w:t>
      </w:r>
      <w:r>
        <w:rPr>
          <w:lang w:val="en-US"/>
        </w:rPr>
        <w:fldChar w:fldCharType="end"/>
      </w:r>
      <w:r>
        <w:rPr>
          <w:lang w:val="en-US"/>
        </w:rPr>
        <w:t xml:space="preserve">). The authors of </w:t>
      </w:r>
      <w:r>
        <w:rPr>
          <w:lang w:val="en-US"/>
        </w:rPr>
        <w:fldChar w:fldCharType="begin"/>
      </w:r>
      <w:r>
        <w:rPr>
          <w:lang w:val="en-US"/>
        </w:rPr>
        <w:instrText xml:space="preserve"> REF _Ref447118252 \r \h </w:instrText>
      </w:r>
      <w:r w:rsidR="00966B8B">
        <w:rPr>
          <w:lang w:val="en-US"/>
        </w:rPr>
        <w:instrText xml:space="preserve"> \* MERGEFORMAT </w:instrText>
      </w:r>
      <w:r>
        <w:rPr>
          <w:lang w:val="en-US"/>
        </w:rPr>
      </w:r>
      <w:r>
        <w:rPr>
          <w:lang w:val="en-US"/>
        </w:rPr>
        <w:fldChar w:fldCharType="separate"/>
      </w:r>
      <w:r w:rsidR="007C076C">
        <w:rPr>
          <w:lang w:val="en-US"/>
        </w:rPr>
        <w:t>[2]</w:t>
      </w:r>
      <w:r>
        <w:rPr>
          <w:lang w:val="en-US"/>
        </w:rPr>
        <w:fldChar w:fldCharType="end"/>
      </w:r>
      <w:r w:rsidR="00F60A44">
        <w:rPr>
          <w:lang w:val="en-US"/>
        </w:rPr>
        <w:t xml:space="preserve"> have conducted a</w:t>
      </w:r>
      <w:r>
        <w:rPr>
          <w:lang w:val="en-US"/>
        </w:rPr>
        <w:t xml:space="preserve"> detailed analysis and calculations for each component contributing to the overall interruption duration. It has been observed during the laboratory measurements that it takes approximately 20 ms for the UE to process HO command</w:t>
      </w:r>
      <w:r w:rsidR="00043CC1">
        <w:rPr>
          <w:lang w:val="en-US"/>
        </w:rPr>
        <w:t xml:space="preserve"> (which is also the maximum allowed by the RRC processing delay requirements in </w:t>
      </w:r>
      <w:hyperlink r:id="rId11" w:history="1">
        <w:r w:rsidR="00043CC1" w:rsidRPr="00043CC1">
          <w:rPr>
            <w:rStyle w:val="Hyperlink"/>
            <w:lang w:val="en-US"/>
          </w:rPr>
          <w:t>TS</w:t>
        </w:r>
        <w:r w:rsidR="00D830E8">
          <w:rPr>
            <w:rStyle w:val="Hyperlink"/>
            <w:lang w:val="en-US"/>
          </w:rPr>
          <w:t xml:space="preserve"> </w:t>
        </w:r>
        <w:r w:rsidR="00043CC1" w:rsidRPr="00043CC1">
          <w:rPr>
            <w:rStyle w:val="Hyperlink"/>
            <w:lang w:val="en-US"/>
          </w:rPr>
          <w:t>36.331</w:t>
        </w:r>
      </w:hyperlink>
      <w:r w:rsidR="00043CC1">
        <w:rPr>
          <w:lang w:val="en-US"/>
        </w:rPr>
        <w:t xml:space="preserve"> section 11.2)</w:t>
      </w:r>
      <w:r>
        <w:rPr>
          <w:lang w:val="en-US"/>
        </w:rPr>
        <w:t xml:space="preserve">. Upon accomplishing this step, another 15 ms </w:t>
      </w:r>
      <w:r w:rsidR="005E11B9">
        <w:rPr>
          <w:lang w:val="en-US"/>
        </w:rPr>
        <w:t>is</w:t>
      </w:r>
      <w:r>
        <w:rPr>
          <w:lang w:val="en-US"/>
        </w:rPr>
        <w:t xml:space="preserve"> consumed for </w:t>
      </w:r>
      <w:r w:rsidR="005E11B9">
        <w:rPr>
          <w:lang w:val="en-US"/>
        </w:rPr>
        <w:t xml:space="preserve">performing the </w:t>
      </w:r>
      <w:r>
        <w:rPr>
          <w:lang w:val="en-US"/>
        </w:rPr>
        <w:t xml:space="preserve">RACH procedure </w:t>
      </w:r>
      <w:r w:rsidR="005E11B9">
        <w:rPr>
          <w:lang w:val="en-US"/>
        </w:rPr>
        <w:t>(</w:t>
      </w:r>
      <w:r>
        <w:rPr>
          <w:lang w:val="en-US"/>
        </w:rPr>
        <w:t>provided that it is successful</w:t>
      </w:r>
      <w:r w:rsidR="005E11B9">
        <w:rPr>
          <w:lang w:val="en-US"/>
        </w:rPr>
        <w:t xml:space="preserve"> – in case several preambles are needed, the amount of time is increased), and s</w:t>
      </w:r>
      <w:r>
        <w:rPr>
          <w:lang w:val="en-US"/>
        </w:rPr>
        <w:t xml:space="preserve">imilar amount of time is needed for </w:t>
      </w:r>
      <w:r w:rsidR="005E11B9">
        <w:rPr>
          <w:lang w:val="en-US"/>
        </w:rPr>
        <w:t xml:space="preserve">sending </w:t>
      </w:r>
      <w:r>
        <w:rPr>
          <w:lang w:val="en-US"/>
        </w:rPr>
        <w:t xml:space="preserve">the </w:t>
      </w:r>
      <w:r w:rsidR="005E11B9">
        <w:rPr>
          <w:lang w:val="en-US"/>
        </w:rPr>
        <w:t xml:space="preserve">RRC message providing the </w:t>
      </w:r>
      <w:r>
        <w:rPr>
          <w:lang w:val="en-US"/>
        </w:rPr>
        <w:t xml:space="preserve">HO </w:t>
      </w:r>
      <w:r w:rsidR="005E11B9">
        <w:rPr>
          <w:lang w:val="en-US"/>
        </w:rPr>
        <w:t xml:space="preserve">completion </w:t>
      </w:r>
      <w:r>
        <w:rPr>
          <w:lang w:val="en-US"/>
        </w:rPr>
        <w:t>confirmation</w:t>
      </w:r>
      <w:r w:rsidR="005E11B9">
        <w:rPr>
          <w:lang w:val="en-US"/>
        </w:rPr>
        <w:t xml:space="preserve"> to target eNB</w:t>
      </w:r>
      <w:r>
        <w:rPr>
          <w:lang w:val="en-US"/>
        </w:rPr>
        <w:t xml:space="preserve">. </w:t>
      </w:r>
      <w:r w:rsidR="00F60A44">
        <w:rPr>
          <w:lang w:val="en-US"/>
        </w:rPr>
        <w:t>In total</w:t>
      </w:r>
      <w:r w:rsidR="005E11B9">
        <w:rPr>
          <w:lang w:val="en-US"/>
        </w:rPr>
        <w:t>, these</w:t>
      </w:r>
      <w:r w:rsidR="00F60A44">
        <w:rPr>
          <w:lang w:val="en-US"/>
        </w:rPr>
        <w:t xml:space="preserve"> result in</w:t>
      </w:r>
      <w:r>
        <w:rPr>
          <w:lang w:val="en-US"/>
        </w:rPr>
        <w:t xml:space="preserve"> </w:t>
      </w:r>
      <w:r w:rsidR="005E11B9">
        <w:rPr>
          <w:lang w:val="en-US"/>
        </w:rPr>
        <w:t>&gt;</w:t>
      </w:r>
      <w:r>
        <w:rPr>
          <w:lang w:val="en-US"/>
        </w:rPr>
        <w:t xml:space="preserve">50 ms of </w:t>
      </w:r>
      <w:r w:rsidR="005E11B9">
        <w:rPr>
          <w:lang w:val="en-US"/>
        </w:rPr>
        <w:t xml:space="preserve">service </w:t>
      </w:r>
      <w:r>
        <w:rPr>
          <w:lang w:val="en-US"/>
        </w:rPr>
        <w:t>interruption</w:t>
      </w:r>
      <w:r w:rsidR="005E11B9">
        <w:rPr>
          <w:lang w:val="en-US"/>
        </w:rPr>
        <w:t xml:space="preserve"> t</w:t>
      </w:r>
      <w:r w:rsidR="002A64F1">
        <w:rPr>
          <w:lang w:val="en-US"/>
        </w:rPr>
        <w:t>ime</w:t>
      </w:r>
      <w:r>
        <w:rPr>
          <w:lang w:val="en-US"/>
        </w:rPr>
        <w:t xml:space="preserve">. </w:t>
      </w:r>
      <w:r w:rsidR="005E11B9">
        <w:rPr>
          <w:lang w:val="en-US"/>
        </w:rPr>
        <w:t xml:space="preserve">Hence, </w:t>
      </w:r>
      <w:r>
        <w:rPr>
          <w:lang w:val="en-US"/>
        </w:rPr>
        <w:t>removing the RA procedure alone could bring significant benefits (i.e. 15 ms in relation to 50 ms</w:t>
      </w:r>
      <w:r w:rsidR="005E11B9">
        <w:rPr>
          <w:lang w:val="en-US"/>
        </w:rPr>
        <w:t>, which means 30% reduction</w:t>
      </w:r>
      <w:r>
        <w:rPr>
          <w:lang w:val="en-US"/>
        </w:rPr>
        <w:t xml:space="preserve">).  </w:t>
      </w:r>
    </w:p>
    <w:p w14:paraId="7549384C" w14:textId="77777777" w:rsidR="00452971" w:rsidRDefault="00452971" w:rsidP="00452971">
      <w:pPr>
        <w:pStyle w:val="Heading2"/>
      </w:pPr>
      <w:r>
        <w:t>2.1</w:t>
      </w:r>
      <w:r>
        <w:tab/>
        <w:t>Synchronous RACH-less Handover</w:t>
      </w:r>
    </w:p>
    <w:p w14:paraId="1501B1ED" w14:textId="10A4C1E5" w:rsidR="00452971" w:rsidRPr="00452971" w:rsidRDefault="00F60A44" w:rsidP="006230A6">
      <w:pPr>
        <w:jc w:val="both"/>
      </w:pPr>
      <w:r>
        <w:t xml:space="preserve">The proposed enhancements to Handover procedure are depicted in </w:t>
      </w:r>
      <w:r>
        <w:fldChar w:fldCharType="begin"/>
      </w:r>
      <w:r>
        <w:instrText xml:space="preserve"> REF _Ref447178818 \h </w:instrText>
      </w:r>
      <w:r w:rsidR="006230A6">
        <w:instrText xml:space="preserve"> \* MERGEFORMAT </w:instrText>
      </w:r>
      <w:r>
        <w:fldChar w:fldCharType="separate"/>
      </w:r>
      <w:r>
        <w:t xml:space="preserve">Figure </w:t>
      </w:r>
      <w:r>
        <w:rPr>
          <w:noProof/>
        </w:rPr>
        <w:t>2</w:t>
      </w:r>
      <w:r>
        <w:fldChar w:fldCharType="end"/>
      </w:r>
      <w:r>
        <w:t xml:space="preserve">. </w:t>
      </w:r>
      <w:r w:rsidR="0037373A">
        <w:t>The entire process commences</w:t>
      </w:r>
      <w:r>
        <w:t xml:space="preserve"> in the same way as the legacy one (i.e. </w:t>
      </w:r>
      <w:r w:rsidR="00966B8B">
        <w:t>measurement report(s), HO request/response exchange between the source and the target cell</w:t>
      </w:r>
      <w:r>
        <w:t>).</w:t>
      </w:r>
      <w:r w:rsidR="006230A6">
        <w:t xml:space="preserve"> During the HO request/response phase, source and target cells set the time T that indicates when switching to a target cell shall occur (as shown in </w:t>
      </w:r>
      <w:r w:rsidR="006230A6">
        <w:fldChar w:fldCharType="begin"/>
      </w:r>
      <w:r w:rsidR="006230A6">
        <w:instrText xml:space="preserve"> REF _Ref447178818 \h  \* MERGEFORMAT </w:instrText>
      </w:r>
      <w:r w:rsidR="006230A6">
        <w:fldChar w:fldCharType="separate"/>
      </w:r>
      <w:r w:rsidR="006230A6">
        <w:t xml:space="preserve">Figure </w:t>
      </w:r>
      <w:r w:rsidR="006230A6">
        <w:rPr>
          <w:noProof/>
        </w:rPr>
        <w:t>2</w:t>
      </w:r>
      <w:r w:rsidR="006230A6">
        <w:fldChar w:fldCharType="end"/>
      </w:r>
      <w:r w:rsidR="006230A6">
        <w:t xml:space="preserve">). </w:t>
      </w:r>
      <w:r w:rsidR="00F0309C">
        <w:t>Throughout this pe</w:t>
      </w:r>
      <w:r w:rsidR="00002334">
        <w:t>riod</w:t>
      </w:r>
      <w:r w:rsidR="007E02C4">
        <w:t xml:space="preserve">, </w:t>
      </w:r>
      <w:r w:rsidR="00F0309C">
        <w:t xml:space="preserve">source cell </w:t>
      </w:r>
      <w:r w:rsidR="007414ED">
        <w:t xml:space="preserve">continues to schedule the UE </w:t>
      </w:r>
      <w:r w:rsidR="007E02C4">
        <w:t xml:space="preserve">normally </w:t>
      </w:r>
      <w:r w:rsidR="00075BE0">
        <w:t>both in Downlink (DL) and in Uplink (UL)</w:t>
      </w:r>
      <w:r w:rsidR="007414ED">
        <w:t xml:space="preserve">. </w:t>
      </w:r>
      <w:r w:rsidR="0037373A">
        <w:t>When the timer T expires, source cell will abandon DL transmission towards</w:t>
      </w:r>
      <w:r w:rsidR="00D22C22">
        <w:t xml:space="preserve"> the UE and forward the data to the target cell. </w:t>
      </w:r>
      <w:r w:rsidR="00727490">
        <w:t xml:space="preserve">Target cell assigns the UL resources and UE starts communicating with this cell – firstly by </w:t>
      </w:r>
      <w:r w:rsidR="00D93069">
        <w:t>sending HO confirmation message, afterwards normal data service is restored.</w:t>
      </w:r>
    </w:p>
    <w:p w14:paraId="7D137D60" w14:textId="77777777" w:rsidR="00BA4637" w:rsidRDefault="008B7C36" w:rsidP="00BA4637">
      <w:pPr>
        <w:keepNext/>
        <w:jc w:val="center"/>
      </w:pPr>
      <w:r w:rsidRPr="00BA4637">
        <w:rPr>
          <w:noProof/>
          <w:lang w:val="en-US"/>
        </w:rPr>
        <w:drawing>
          <wp:inline distT="0" distB="0" distL="0" distR="0" wp14:anchorId="19DA796F" wp14:editId="6D715AC2">
            <wp:extent cx="4752975" cy="3295650"/>
            <wp:effectExtent l="0" t="0" r="0" b="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2975" cy="3295650"/>
                    </a:xfrm>
                    <a:prstGeom prst="rect">
                      <a:avLst/>
                    </a:prstGeom>
                    <a:noFill/>
                    <a:ln>
                      <a:noFill/>
                    </a:ln>
                  </pic:spPr>
                </pic:pic>
              </a:graphicData>
            </a:graphic>
          </wp:inline>
        </w:drawing>
      </w:r>
    </w:p>
    <w:p w14:paraId="6FBDD97D" w14:textId="77777777" w:rsidR="00452971" w:rsidRDefault="00BA4637" w:rsidP="00BA4637">
      <w:pPr>
        <w:pStyle w:val="Caption"/>
        <w:jc w:val="center"/>
      </w:pPr>
      <w:bookmarkStart w:id="3" w:name="_Ref447178818"/>
      <w:r>
        <w:t xml:space="preserve">Figure </w:t>
      </w:r>
      <w:r>
        <w:fldChar w:fldCharType="begin"/>
      </w:r>
      <w:r>
        <w:instrText xml:space="preserve"> SEQ Figure \* ARABIC </w:instrText>
      </w:r>
      <w:r>
        <w:fldChar w:fldCharType="separate"/>
      </w:r>
      <w:r w:rsidR="00B73008">
        <w:rPr>
          <w:noProof/>
        </w:rPr>
        <w:t>2</w:t>
      </w:r>
      <w:r>
        <w:fldChar w:fldCharType="end"/>
      </w:r>
      <w:bookmarkEnd w:id="3"/>
      <w:r>
        <w:t xml:space="preserve">: </w:t>
      </w:r>
      <w:r w:rsidRPr="004160A0">
        <w:t>RACH-less Handover procedure</w:t>
      </w:r>
    </w:p>
    <w:p w14:paraId="614D75F0" w14:textId="77777777" w:rsidR="00CA662D" w:rsidRDefault="00AC6F37" w:rsidP="00AC6F37">
      <w:r>
        <w:br/>
      </w:r>
      <w:r w:rsidR="00CA662D">
        <w:t xml:space="preserve">In comparison to the legacy Handover procedure, the proposed approach shall result in the following benefits: </w:t>
      </w:r>
    </w:p>
    <w:p w14:paraId="73B256D2" w14:textId="77777777" w:rsidR="00CA662D" w:rsidRDefault="00CA662D" w:rsidP="00CA662D">
      <w:pPr>
        <w:numPr>
          <w:ilvl w:val="0"/>
          <w:numId w:val="5"/>
        </w:numPr>
      </w:pPr>
      <w:r>
        <w:t>Reduction of the interruption time during the handover</w:t>
      </w:r>
    </w:p>
    <w:p w14:paraId="1BB99FF1" w14:textId="77777777" w:rsidR="00CA662D" w:rsidRDefault="00CA662D" w:rsidP="00CA662D">
      <w:pPr>
        <w:numPr>
          <w:ilvl w:val="0"/>
          <w:numId w:val="5"/>
        </w:numPr>
      </w:pPr>
      <w:r>
        <w:t>RA procedure avoidance</w:t>
      </w:r>
    </w:p>
    <w:p w14:paraId="23C0D6E7" w14:textId="17C44EC6" w:rsidR="00EB2B7C" w:rsidRDefault="00CA662D" w:rsidP="00EB2B7C">
      <w:pPr>
        <w:numPr>
          <w:ilvl w:val="0"/>
          <w:numId w:val="5"/>
        </w:numPr>
      </w:pPr>
      <w:r>
        <w:t xml:space="preserve">Handover delay reduction and </w:t>
      </w:r>
      <w:r w:rsidR="009972A5">
        <w:t>overall mobility robustness improvement</w:t>
      </w:r>
    </w:p>
    <w:p w14:paraId="0FF2AA30" w14:textId="77777777" w:rsidR="00EB2B7C" w:rsidRPr="00EB2B7C" w:rsidRDefault="00EB2B7C" w:rsidP="007E02C4">
      <w:pPr>
        <w:jc w:val="both"/>
        <w:rPr>
          <w:lang w:val="en-US"/>
        </w:rPr>
      </w:pPr>
      <w:r w:rsidRPr="00306DA6">
        <w:rPr>
          <w:b/>
          <w:lang w:val="en-US"/>
        </w:rPr>
        <w:t>Observation 1:</w:t>
      </w:r>
      <w:r w:rsidRPr="00306DA6">
        <w:rPr>
          <w:lang w:val="en-US"/>
        </w:rPr>
        <w:t xml:space="preserve"> The RACH-</w:t>
      </w:r>
      <w:r w:rsidRPr="00EB2B7C">
        <w:rPr>
          <w:lang w:val="en-US"/>
        </w:rPr>
        <w:t>less handover can provide clear reduction to the service interruption time during handover.</w:t>
      </w:r>
    </w:p>
    <w:p w14:paraId="610ECD9B" w14:textId="7447AC90" w:rsidR="00EB2B7C" w:rsidRDefault="00EB2B7C" w:rsidP="007E02C4">
      <w:pPr>
        <w:jc w:val="both"/>
        <w:rPr>
          <w:lang w:val="en-US"/>
        </w:rPr>
      </w:pPr>
      <w:r>
        <w:rPr>
          <w:lang w:val="en-US"/>
        </w:rPr>
        <w:t>As the aforementioned benefits can be achieved by applying RACH-less handover procedure, it is proposed to consider RACH-less handover in the</w:t>
      </w:r>
      <w:r w:rsidR="00306DA6">
        <w:rPr>
          <w:lang w:val="en-US"/>
        </w:rPr>
        <w:t xml:space="preserve"> further</w:t>
      </w:r>
      <w:r>
        <w:rPr>
          <w:lang w:val="en-US"/>
        </w:rPr>
        <w:t xml:space="preserve"> evaluations within this Work Item.</w:t>
      </w:r>
    </w:p>
    <w:p w14:paraId="7CB41947" w14:textId="7C115DCB" w:rsidR="00306DA6" w:rsidRPr="00306DA6" w:rsidRDefault="00EB2B7C" w:rsidP="007E02C4">
      <w:r w:rsidRPr="00271B20">
        <w:rPr>
          <w:b/>
        </w:rPr>
        <w:lastRenderedPageBreak/>
        <w:t xml:space="preserve">Proposal </w:t>
      </w:r>
      <w:r>
        <w:rPr>
          <w:b/>
        </w:rPr>
        <w:t>1</w:t>
      </w:r>
      <w:r w:rsidRPr="00271B20">
        <w:rPr>
          <w:b/>
        </w:rPr>
        <w:t>:</w:t>
      </w:r>
      <w:r>
        <w:t xml:space="preserve"> RAN2 is kindly asked to </w:t>
      </w:r>
      <w:r w:rsidR="008C4C09">
        <w:t>consider RACH-less HO as a possible solution to mitigate service interruption issue emphasized in this WI.</w:t>
      </w:r>
      <w:r w:rsidR="00306DA6">
        <w:br/>
      </w:r>
    </w:p>
    <w:p w14:paraId="2B9D1A75" w14:textId="71A73A12" w:rsidR="00886F2D" w:rsidRDefault="00886F2D" w:rsidP="00886F2D">
      <w:pPr>
        <w:pStyle w:val="Heading2"/>
      </w:pPr>
      <w:r>
        <w:t>2.2</w:t>
      </w:r>
      <w:r>
        <w:tab/>
      </w:r>
      <w:r w:rsidR="00EE2D0D">
        <w:t>Timing Advance Calculation</w:t>
      </w:r>
    </w:p>
    <w:p w14:paraId="450CC2CF" w14:textId="1BAF215F" w:rsidR="00BE7CF3" w:rsidRDefault="00EF298F" w:rsidP="00B03195">
      <w:pPr>
        <w:jc w:val="both"/>
      </w:pPr>
      <w:r>
        <w:t>Even though the aforementioned</w:t>
      </w:r>
      <w:r w:rsidR="007A3F66">
        <w:t xml:space="preserve"> RACH-less HO procedure brings substantial benefits, </w:t>
      </w:r>
      <w:r w:rsidR="00EE2D0D">
        <w:t>some work is required to specify the procedure.</w:t>
      </w:r>
      <w:r w:rsidR="00C81666">
        <w:t xml:space="preserve"> </w:t>
      </w:r>
      <w:r w:rsidR="000A2527">
        <w:t xml:space="preserve">One </w:t>
      </w:r>
      <w:r w:rsidR="00EE2D0D">
        <w:t>thing to consider is how</w:t>
      </w:r>
      <w:r w:rsidR="000A2527">
        <w:t xml:space="preserve"> the estimation of the Timing Advance (TA)</w:t>
      </w:r>
      <w:r w:rsidR="00EE2D0D">
        <w:t xml:space="preserve"> is done for the target cell</w:t>
      </w:r>
      <w:r w:rsidR="000A2527">
        <w:t>.</w:t>
      </w:r>
      <w:r w:rsidR="00BE7CF3">
        <w:t xml:space="preserve"> </w:t>
      </w:r>
      <w:r w:rsidR="00EE2D0D">
        <w:t>However, a</w:t>
      </w:r>
      <w:r w:rsidR="00BE7CF3">
        <w:t xml:space="preserve">s the source and target cell are synchronized, the assumption is that Random Access procedure is not mandatory and Timing Advance (TA) can be derived based on the value from the known cell (i.e. source cell). </w:t>
      </w:r>
      <w:r w:rsidR="00980152">
        <w:t xml:space="preserve">UE can measure the time difference (denoted </w:t>
      </w:r>
      <w:r w:rsidR="008B7C36">
        <w:t xml:space="preserve">by </w:t>
      </w:r>
      <m:oMath>
        <m:sSub>
          <m:sSubPr>
            <m:ctrlPr>
              <w:rPr>
                <w:rFonts w:ascii="Cambria Math" w:hAnsi="Cambria Math"/>
                <w:i/>
              </w:rPr>
            </m:ctrlPr>
          </m:sSubPr>
          <m:e>
            <m:r>
              <w:rPr>
                <w:rFonts w:ascii="Cambria Math" w:hAnsi="Cambria Math"/>
              </w:rPr>
              <m:t>T</m:t>
            </m:r>
          </m:e>
          <m:sub>
            <m:r>
              <w:rPr>
                <w:rFonts w:ascii="Cambria Math" w:hAnsi="Cambria Math"/>
              </w:rPr>
              <m:t>DIFF</m:t>
            </m:r>
          </m:sub>
        </m:sSub>
      </m:oMath>
      <w:r w:rsidR="00980152">
        <w:t>)</w:t>
      </w:r>
      <w:r w:rsidR="00E66195">
        <w:t xml:space="preserve"> between the signals received from the source</w:t>
      </w:r>
      <w:r w:rsidR="00AA3F6E">
        <w:t xml:space="preserve"> (</w:t>
      </w:r>
      <m:oMath>
        <m:sSub>
          <m:sSubPr>
            <m:ctrlPr>
              <w:rPr>
                <w:rFonts w:ascii="Cambria Math" w:hAnsi="Cambria Math"/>
                <w:i/>
              </w:rPr>
            </m:ctrlPr>
          </m:sSubPr>
          <m:e>
            <m:r>
              <w:rPr>
                <w:rFonts w:ascii="Cambria Math" w:hAnsi="Cambria Math"/>
              </w:rPr>
              <m:t>T</m:t>
            </m:r>
          </m:e>
          <m:sub>
            <m:r>
              <w:rPr>
                <w:rFonts w:ascii="Cambria Math" w:hAnsi="Cambria Math"/>
              </w:rPr>
              <m:t>RX, SRC</m:t>
            </m:r>
          </m:sub>
        </m:sSub>
      </m:oMath>
      <w:r w:rsidR="00AA3F6E">
        <w:t>) and the target cell (</w:t>
      </w:r>
      <m:oMath>
        <m:sSub>
          <m:sSubPr>
            <m:ctrlPr>
              <w:rPr>
                <w:rFonts w:ascii="Cambria Math" w:hAnsi="Cambria Math"/>
                <w:i/>
              </w:rPr>
            </m:ctrlPr>
          </m:sSubPr>
          <m:e>
            <m:r>
              <w:rPr>
                <w:rFonts w:ascii="Cambria Math" w:hAnsi="Cambria Math"/>
              </w:rPr>
              <m:t>T</m:t>
            </m:r>
          </m:e>
          <m:sub>
            <m:r>
              <w:rPr>
                <w:rFonts w:ascii="Cambria Math" w:hAnsi="Cambria Math"/>
              </w:rPr>
              <m:t>RX, TGT</m:t>
            </m:r>
          </m:sub>
        </m:sSub>
      </m:oMath>
      <w:r w:rsidR="00AA3F6E">
        <w:t>).</w:t>
      </w:r>
      <w:r w:rsidR="00B73008">
        <w:t xml:space="preserve"> </w:t>
      </w:r>
      <w:r w:rsidR="00B73008">
        <w:fldChar w:fldCharType="begin"/>
      </w:r>
      <w:r w:rsidR="00B73008">
        <w:instrText xml:space="preserve"> REF _Ref447189281 \h </w:instrText>
      </w:r>
      <w:r w:rsidR="00B03195">
        <w:instrText xml:space="preserve"> \* MERGEFORMAT </w:instrText>
      </w:r>
      <w:r w:rsidR="00B73008">
        <w:fldChar w:fldCharType="separate"/>
      </w:r>
      <w:r w:rsidR="00B73008">
        <w:t xml:space="preserve">Figure </w:t>
      </w:r>
      <w:r w:rsidR="00B73008">
        <w:rPr>
          <w:noProof/>
        </w:rPr>
        <w:t>3</w:t>
      </w:r>
      <w:r w:rsidR="00B73008">
        <w:fldChar w:fldCharType="end"/>
      </w:r>
      <w:r w:rsidR="00CF2F3B">
        <w:t xml:space="preserve"> presents this basic concept.</w:t>
      </w:r>
    </w:p>
    <w:p w14:paraId="159A63E8" w14:textId="77777777" w:rsidR="00B73008" w:rsidRDefault="00B73008" w:rsidP="00B73008">
      <w:pPr>
        <w:keepNext/>
        <w:jc w:val="center"/>
      </w:pPr>
      <w:r>
        <w:rPr>
          <w:noProof/>
          <w:lang w:val="en-US"/>
        </w:rPr>
        <w:drawing>
          <wp:inline distT="0" distB="0" distL="0" distR="0" wp14:anchorId="30B3B099" wp14:editId="788ABB9D">
            <wp:extent cx="4492800" cy="203760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2800" cy="2037600"/>
                    </a:xfrm>
                    <a:prstGeom prst="rect">
                      <a:avLst/>
                    </a:prstGeom>
                    <a:noFill/>
                  </pic:spPr>
                </pic:pic>
              </a:graphicData>
            </a:graphic>
          </wp:inline>
        </w:drawing>
      </w:r>
    </w:p>
    <w:p w14:paraId="5EF7738D" w14:textId="77777777" w:rsidR="00B73008" w:rsidRDefault="00B73008" w:rsidP="00B73008">
      <w:pPr>
        <w:pStyle w:val="Caption"/>
        <w:jc w:val="center"/>
      </w:pPr>
      <w:bookmarkStart w:id="4" w:name="_Ref447189281"/>
      <w:r>
        <w:t xml:space="preserve">Figure </w:t>
      </w:r>
      <w:r>
        <w:fldChar w:fldCharType="begin"/>
      </w:r>
      <w:r>
        <w:instrText xml:space="preserve"> SEQ Figure \* ARABIC </w:instrText>
      </w:r>
      <w:r>
        <w:fldChar w:fldCharType="separate"/>
      </w:r>
      <w:r>
        <w:rPr>
          <w:noProof/>
        </w:rPr>
        <w:t>3</w:t>
      </w:r>
      <w:r>
        <w:fldChar w:fldCharType="end"/>
      </w:r>
      <w:bookmarkEnd w:id="4"/>
      <w:r>
        <w:t xml:space="preserve">: </w:t>
      </w:r>
      <w:r w:rsidRPr="00D75D65">
        <w:t>Propagation delays between the UE and the source/target cells</w:t>
      </w:r>
    </w:p>
    <w:p w14:paraId="5618D1DF" w14:textId="77777777" w:rsidR="00CD4C7B" w:rsidRDefault="00B03195" w:rsidP="00306DA6">
      <w:pPr>
        <w:jc w:val="both"/>
      </w:pPr>
      <w:r>
        <w:br/>
        <w:t xml:space="preserve">The </w:t>
      </w:r>
      <m:oMath>
        <m:sSub>
          <m:sSubPr>
            <m:ctrlPr>
              <w:rPr>
                <w:rFonts w:ascii="Cambria Math" w:hAnsi="Cambria Math"/>
                <w:i/>
              </w:rPr>
            </m:ctrlPr>
          </m:sSubPr>
          <m:e>
            <m:r>
              <w:rPr>
                <w:rFonts w:ascii="Cambria Math" w:hAnsi="Cambria Math"/>
              </w:rPr>
              <m:t>T</m:t>
            </m:r>
          </m:e>
          <m:sub>
            <m:r>
              <w:rPr>
                <w:rFonts w:ascii="Cambria Math" w:hAnsi="Cambria Math"/>
              </w:rPr>
              <m:t>DIFF</m:t>
            </m:r>
          </m:sub>
        </m:sSub>
      </m:oMath>
      <w:r>
        <w:t xml:space="preserve"> can be then simply calculated according to the following formula: </w:t>
      </w:r>
      <m:oMath>
        <m:sSub>
          <m:sSubPr>
            <m:ctrlPr>
              <w:rPr>
                <w:rFonts w:ascii="Cambria Math" w:hAnsi="Cambria Math"/>
                <w:i/>
              </w:rPr>
            </m:ctrlPr>
          </m:sSubPr>
          <m:e>
            <m:r>
              <w:rPr>
                <w:rFonts w:ascii="Cambria Math" w:hAnsi="Cambria Math"/>
              </w:rPr>
              <m:t>T</m:t>
            </m:r>
          </m:e>
          <m:sub>
            <m:r>
              <w:rPr>
                <w:rFonts w:ascii="Cambria Math" w:hAnsi="Cambria Math"/>
              </w:rPr>
              <m:t>DIFF</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RX, SRC</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RX, TGT</m:t>
            </m:r>
          </m:sub>
        </m:sSub>
      </m:oMath>
      <w:r w:rsidR="00B7149A">
        <w:t xml:space="preserve"> As a result - Timing Advance of the target cell (i.e. </w:t>
      </w:r>
      <m:oMath>
        <m:sSub>
          <m:sSubPr>
            <m:ctrlPr>
              <w:rPr>
                <w:rFonts w:ascii="Cambria Math" w:hAnsi="Cambria Math"/>
                <w:i/>
              </w:rPr>
            </m:ctrlPr>
          </m:sSubPr>
          <m:e>
            <m:r>
              <w:rPr>
                <w:rFonts w:ascii="Cambria Math" w:hAnsi="Cambria Math"/>
              </w:rPr>
              <m:t>TA</m:t>
            </m:r>
          </m:e>
          <m:sub>
            <m:r>
              <w:rPr>
                <w:rFonts w:ascii="Cambria Math" w:hAnsi="Cambria Math"/>
              </w:rPr>
              <m:t>TGT</m:t>
            </m:r>
          </m:sub>
        </m:sSub>
      </m:oMath>
      <w:r w:rsidR="00B7149A">
        <w:t xml:space="preserve">) can be estimated on the basis of the source TA (i.e. </w:t>
      </w:r>
      <m:oMath>
        <m:sSub>
          <m:sSubPr>
            <m:ctrlPr>
              <w:rPr>
                <w:rFonts w:ascii="Cambria Math" w:hAnsi="Cambria Math"/>
                <w:i/>
              </w:rPr>
            </m:ctrlPr>
          </m:sSubPr>
          <m:e>
            <m:r>
              <w:rPr>
                <w:rFonts w:ascii="Cambria Math" w:hAnsi="Cambria Math"/>
              </w:rPr>
              <m:t>TA</m:t>
            </m:r>
          </m:e>
          <m:sub>
            <m:r>
              <w:rPr>
                <w:rFonts w:ascii="Cambria Math" w:hAnsi="Cambria Math"/>
              </w:rPr>
              <m:t>SRC</m:t>
            </m:r>
          </m:sub>
        </m:sSub>
      </m:oMath>
      <w:r w:rsidR="00B7149A">
        <w:t>).</w:t>
      </w:r>
      <w:r w:rsidR="00195A8E">
        <w:t xml:space="preserve"> As proposed in</w:t>
      </w:r>
      <w:r w:rsidR="007F0772">
        <w:t xml:space="preserve"> </w:t>
      </w:r>
      <w:r w:rsidR="007F0772">
        <w:fldChar w:fldCharType="begin"/>
      </w:r>
      <w:r w:rsidR="007F0772">
        <w:instrText xml:space="preserve"> REF _Ref447118252 \r \h </w:instrText>
      </w:r>
      <w:r w:rsidR="0069244B">
        <w:instrText xml:space="preserve"> \* MERGEFORMAT </w:instrText>
      </w:r>
      <w:r w:rsidR="007F0772">
        <w:fldChar w:fldCharType="separate"/>
      </w:r>
      <w:r w:rsidR="007C076C">
        <w:t>[2]</w:t>
      </w:r>
      <w:r w:rsidR="007F0772">
        <w:fldChar w:fldCharType="end"/>
      </w:r>
      <w:r w:rsidR="00195A8E">
        <w:t xml:space="preserve"> - it can be done in the following way:</w:t>
      </w:r>
    </w:p>
    <w:p w14:paraId="11383633" w14:textId="77777777" w:rsidR="008A5151" w:rsidRDefault="00D37D30" w:rsidP="007F0772">
      <m:oMathPara>
        <m:oMath>
          <m:sSub>
            <m:sSubPr>
              <m:ctrlPr>
                <w:rPr>
                  <w:rFonts w:ascii="Cambria Math" w:hAnsi="Cambria Math"/>
                  <w:i/>
                </w:rPr>
              </m:ctrlPr>
            </m:sSubPr>
            <m:e>
              <m:r>
                <w:rPr>
                  <w:rFonts w:ascii="Cambria Math" w:hAnsi="Cambria Math"/>
                </w:rPr>
                <m:t>TA</m:t>
              </m:r>
            </m:e>
            <m:sub>
              <m:r>
                <w:rPr>
                  <w:rFonts w:ascii="Cambria Math" w:hAnsi="Cambria Math"/>
                </w:rPr>
                <m:t>SRC</m:t>
              </m:r>
            </m:sub>
          </m:sSub>
          <m:r>
            <w:rPr>
              <w:rFonts w:ascii="Cambria Math" w:hAnsi="Cambria Math"/>
            </w:rPr>
            <m:t>-</m:t>
          </m:r>
          <m:sSub>
            <m:sSubPr>
              <m:ctrlPr>
                <w:rPr>
                  <w:rFonts w:ascii="Cambria Math" w:hAnsi="Cambria Math"/>
                  <w:i/>
                </w:rPr>
              </m:ctrlPr>
            </m:sSubPr>
            <m:e>
              <m:r>
                <w:rPr>
                  <w:rFonts w:ascii="Cambria Math" w:hAnsi="Cambria Math"/>
                </w:rPr>
                <m:t>TA</m:t>
              </m:r>
            </m:e>
            <m:sub>
              <m:r>
                <w:rPr>
                  <w:rFonts w:ascii="Cambria Math" w:hAnsi="Cambria Math"/>
                </w:rPr>
                <m:t>TGT</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RX,  SRC</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RX,TGT</m:t>
              </m:r>
            </m:sub>
          </m:sSub>
        </m:oMath>
      </m:oMathPara>
      <w:bookmarkStart w:id="5" w:name="Equation"/>
      <w:bookmarkEnd w:id="5"/>
    </w:p>
    <w:p w14:paraId="3484025E" w14:textId="77777777" w:rsidR="007F0772" w:rsidRPr="007F0772" w:rsidRDefault="00D37D30" w:rsidP="007F0772">
      <m:oMathPara>
        <m:oMath>
          <m:sSub>
            <m:sSubPr>
              <m:ctrlPr>
                <w:rPr>
                  <w:rFonts w:ascii="Cambria Math" w:hAnsi="Cambria Math"/>
                  <w:i/>
                </w:rPr>
              </m:ctrlPr>
            </m:sSubPr>
            <m:e>
              <m:r>
                <w:rPr>
                  <w:rFonts w:ascii="Cambria Math" w:hAnsi="Cambria Math"/>
                </w:rPr>
                <m:t>TA</m:t>
              </m:r>
            </m:e>
            <m:sub>
              <m:r>
                <w:rPr>
                  <w:rFonts w:ascii="Cambria Math" w:hAnsi="Cambria Math"/>
                </w:rPr>
                <m:t>TGT</m:t>
              </m:r>
            </m:sub>
          </m:sSub>
          <m:r>
            <w:rPr>
              <w:rFonts w:ascii="Cambria Math" w:hAnsi="Cambria Math"/>
            </w:rPr>
            <m:t>=</m:t>
          </m:r>
          <m:sSub>
            <m:sSubPr>
              <m:ctrlPr>
                <w:rPr>
                  <w:rFonts w:ascii="Cambria Math" w:hAnsi="Cambria Math"/>
                  <w:i/>
                </w:rPr>
              </m:ctrlPr>
            </m:sSubPr>
            <m:e>
              <m:r>
                <w:rPr>
                  <w:rFonts w:ascii="Cambria Math" w:hAnsi="Cambria Math"/>
                </w:rPr>
                <m:t>TA</m:t>
              </m:r>
            </m:e>
            <m:sub>
              <m:r>
                <w:rPr>
                  <w:rFonts w:ascii="Cambria Math" w:hAnsi="Cambria Math"/>
                </w:rPr>
                <m:t>SRC</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DIFF</m:t>
              </m:r>
            </m:sub>
          </m:sSub>
        </m:oMath>
      </m:oMathPara>
    </w:p>
    <w:p w14:paraId="475BA0B2" w14:textId="289FEF50" w:rsidR="007F0772" w:rsidRDefault="008A5151" w:rsidP="0069244B">
      <w:pPr>
        <w:jc w:val="both"/>
      </w:pPr>
      <w:r>
        <w:t>A straightforward question is what accuracy of TA estimation can be obtaine</w:t>
      </w:r>
      <w:r w:rsidR="00A3718D">
        <w:t xml:space="preserve">d by applying such methodology and whether it can suffice in the majority of HO cases.  </w:t>
      </w:r>
    </w:p>
    <w:p w14:paraId="53CCA3E7" w14:textId="0B3CB98D" w:rsidR="00306DA6" w:rsidRPr="006E13D1" w:rsidRDefault="00EE2D0D" w:rsidP="0069244B">
      <w:pPr>
        <w:jc w:val="both"/>
      </w:pPr>
      <w:r w:rsidRPr="007E02C4">
        <w:rPr>
          <w:b/>
        </w:rPr>
        <w:t xml:space="preserve">Proposal </w:t>
      </w:r>
      <w:r w:rsidR="00EB2B7C">
        <w:rPr>
          <w:b/>
        </w:rPr>
        <w:t>2</w:t>
      </w:r>
      <w:r w:rsidRPr="007E02C4">
        <w:rPr>
          <w:b/>
        </w:rPr>
        <w:t>:</w:t>
      </w:r>
      <w:r>
        <w:t xml:space="preserve"> RAN2</w:t>
      </w:r>
      <w:r w:rsidR="005E43B1">
        <w:t xml:space="preserve"> is kindly asked</w:t>
      </w:r>
      <w:r>
        <w:t xml:space="preserve"> to adopt the TA calculation method as a solution for avoiding random access during handover.</w:t>
      </w:r>
      <w:r w:rsidR="00306DA6">
        <w:br/>
      </w:r>
    </w:p>
    <w:p w14:paraId="63F48313" w14:textId="77777777" w:rsidR="00CD4C7B" w:rsidRPr="006E13D1" w:rsidRDefault="0069562E" w:rsidP="00CD4C7B">
      <w:pPr>
        <w:pStyle w:val="Heading1"/>
      </w:pPr>
      <w:r>
        <w:t>3</w:t>
      </w:r>
      <w:r w:rsidR="00CD2C79">
        <w:tab/>
        <w:t>Conclusion</w:t>
      </w:r>
    </w:p>
    <w:p w14:paraId="36555C66" w14:textId="33A71324" w:rsidR="00CD4C7B" w:rsidRDefault="00F128CA" w:rsidP="00CD4C7B">
      <w:r>
        <w:t>In this paper the following observations and proposals have been made</w:t>
      </w:r>
      <w:r w:rsidR="00306DA6">
        <w:t>:</w:t>
      </w:r>
      <w:r>
        <w:t xml:space="preserve"> </w:t>
      </w:r>
    </w:p>
    <w:p w14:paraId="03C68F7F" w14:textId="39C729FC" w:rsidR="0069244B" w:rsidRDefault="00306DA6" w:rsidP="00CD4C7B">
      <w:pPr>
        <w:rPr>
          <w:lang w:val="en-US"/>
        </w:rPr>
      </w:pPr>
      <w:r w:rsidRPr="00271B20">
        <w:rPr>
          <w:b/>
          <w:lang w:val="en-US"/>
        </w:rPr>
        <w:t>Observation 1:</w:t>
      </w:r>
      <w:r w:rsidRPr="00271B20">
        <w:rPr>
          <w:lang w:val="en-US"/>
        </w:rPr>
        <w:t xml:space="preserve"> The RACH-less handover can provide clear reduction to the service interruption time during handover.</w:t>
      </w:r>
    </w:p>
    <w:p w14:paraId="09FBED5D" w14:textId="77777777" w:rsidR="00306DA6" w:rsidRPr="00271B20" w:rsidRDefault="00306DA6" w:rsidP="00306DA6">
      <w:pPr>
        <w:rPr>
          <w:lang w:val="en-US"/>
        </w:rPr>
      </w:pPr>
      <w:r w:rsidRPr="00271B20">
        <w:rPr>
          <w:b/>
        </w:rPr>
        <w:t xml:space="preserve">Proposal </w:t>
      </w:r>
      <w:r>
        <w:rPr>
          <w:b/>
        </w:rPr>
        <w:t>1</w:t>
      </w:r>
      <w:r w:rsidRPr="00271B20">
        <w:rPr>
          <w:b/>
        </w:rPr>
        <w:t>:</w:t>
      </w:r>
      <w:r>
        <w:t xml:space="preserve"> RAN2 is kindly asked to consider RACH-less HO as a possible solution to mitigate service interruption issue emphasized in this WI.</w:t>
      </w:r>
    </w:p>
    <w:p w14:paraId="20CDBF2F" w14:textId="236AC5CA" w:rsidR="00306DA6" w:rsidRDefault="00306DA6" w:rsidP="007E02C4">
      <w:pPr>
        <w:jc w:val="both"/>
      </w:pPr>
      <w:r w:rsidRPr="00271B20">
        <w:rPr>
          <w:b/>
        </w:rPr>
        <w:t xml:space="preserve">Proposal </w:t>
      </w:r>
      <w:r>
        <w:rPr>
          <w:b/>
        </w:rPr>
        <w:t>2</w:t>
      </w:r>
      <w:r w:rsidRPr="00271B20">
        <w:rPr>
          <w:b/>
        </w:rPr>
        <w:t>:</w:t>
      </w:r>
      <w:r>
        <w:t xml:space="preserve"> RAN2 is kindly asked to adopt the TA calculation method as a solution for avoiding random access during handover.</w:t>
      </w:r>
    </w:p>
    <w:p w14:paraId="5232A462" w14:textId="77777777" w:rsidR="00306DA6" w:rsidRPr="007E02C4" w:rsidRDefault="00306DA6" w:rsidP="007E02C4">
      <w:pPr>
        <w:jc w:val="both"/>
      </w:pPr>
    </w:p>
    <w:p w14:paraId="737BB7D3" w14:textId="77777777" w:rsidR="00CD4C7B" w:rsidRPr="006E13D1" w:rsidRDefault="00CD4C7B" w:rsidP="007C076C">
      <w:pPr>
        <w:pStyle w:val="Heading1"/>
      </w:pPr>
      <w:r w:rsidRPr="006E13D1">
        <w:lastRenderedPageBreak/>
        <w:t>References</w:t>
      </w:r>
      <w:bookmarkStart w:id="6" w:name="_Ref75086397"/>
    </w:p>
    <w:bookmarkStart w:id="7" w:name="_Ref447115499"/>
    <w:p w14:paraId="6C481ECC" w14:textId="77777777" w:rsidR="00CD4C7B" w:rsidRDefault="00FF46F9" w:rsidP="002A7A5E">
      <w:pPr>
        <w:numPr>
          <w:ilvl w:val="0"/>
          <w:numId w:val="4"/>
        </w:numPr>
        <w:overflowPunct w:val="0"/>
        <w:autoSpaceDE w:val="0"/>
        <w:autoSpaceDN w:val="0"/>
        <w:adjustRightInd w:val="0"/>
        <w:textAlignment w:val="baseline"/>
      </w:pPr>
      <w:r>
        <w:fldChar w:fldCharType="begin"/>
      </w:r>
      <w:r>
        <w:instrText xml:space="preserve"> HYPERLINK "http://3gpp.org/ftp/tsg_ran/TSG_RAN/TSGR_71/Docs/RP-160636.zip" </w:instrText>
      </w:r>
      <w:r>
        <w:fldChar w:fldCharType="separate"/>
      </w:r>
      <w:r w:rsidR="002A7A5E" w:rsidRPr="00FF46F9">
        <w:rPr>
          <w:rStyle w:val="Hyperlink"/>
        </w:rPr>
        <w:t>RP-160636</w:t>
      </w:r>
      <w:r>
        <w:fldChar w:fldCharType="end"/>
      </w:r>
      <w:r w:rsidR="00CD4C7B" w:rsidRPr="006E13D1">
        <w:t xml:space="preserve">, </w:t>
      </w:r>
      <w:r w:rsidR="002A7A5E" w:rsidRPr="002A7A5E">
        <w:rPr>
          <w:i/>
        </w:rPr>
        <w:t>Further mobility enhancements in LTE</w:t>
      </w:r>
      <w:r w:rsidR="00CD4C7B" w:rsidRPr="006E13D1">
        <w:t xml:space="preserve">, </w:t>
      </w:r>
      <w:bookmarkEnd w:id="6"/>
      <w:r w:rsidR="002A7A5E" w:rsidRPr="002A7A5E">
        <w:t>3GPP TSG RAN Meeting #71</w:t>
      </w:r>
      <w:r w:rsidR="002A7A5E">
        <w:t xml:space="preserve">, </w:t>
      </w:r>
      <w:r w:rsidR="002A7A5E" w:rsidRPr="002A7A5E">
        <w:t>Gothenburg, Sweden, March 7 - 10, 2016</w:t>
      </w:r>
      <w:bookmarkEnd w:id="7"/>
    </w:p>
    <w:p w14:paraId="25D26FC6" w14:textId="77777777" w:rsidR="00925BF2" w:rsidRPr="006E13D1" w:rsidRDefault="00925BF2" w:rsidP="00925BF2">
      <w:pPr>
        <w:numPr>
          <w:ilvl w:val="0"/>
          <w:numId w:val="4"/>
        </w:numPr>
        <w:overflowPunct w:val="0"/>
        <w:autoSpaceDE w:val="0"/>
        <w:autoSpaceDN w:val="0"/>
        <w:adjustRightInd w:val="0"/>
        <w:textAlignment w:val="baseline"/>
      </w:pPr>
      <w:bookmarkStart w:id="8" w:name="_Ref447118252"/>
      <w:r>
        <w:t xml:space="preserve">S. Barbera, et.al., </w:t>
      </w:r>
      <w:r w:rsidRPr="00925BF2">
        <w:rPr>
          <w:i/>
        </w:rPr>
        <w:t>Synchronized RACH-less Handover Solution for LTE Heterogeneous Networks</w:t>
      </w:r>
      <w:r>
        <w:t xml:space="preserve">, </w:t>
      </w:r>
      <w:r w:rsidRPr="00925BF2">
        <w:t>International Symposium on Wireless Communication Systems</w:t>
      </w:r>
      <w:r>
        <w:t xml:space="preserve"> (ISWCS)</w:t>
      </w:r>
      <w:r w:rsidRPr="00925BF2">
        <w:t xml:space="preserve"> 2015</w:t>
      </w:r>
      <w:bookmarkEnd w:id="8"/>
    </w:p>
    <w:p w14:paraId="1516B58E" w14:textId="77777777" w:rsidR="00CD4C7B" w:rsidRPr="006E13D1" w:rsidRDefault="00CD4C7B" w:rsidP="00CD4C7B"/>
    <w:p w14:paraId="233FCC06" w14:textId="77777777" w:rsidR="00CD4C7B" w:rsidRDefault="00CD4C7B" w:rsidP="00CD4C7B"/>
    <w:p w14:paraId="6182C7F0"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A499E" w14:textId="77777777" w:rsidR="00D37D30" w:rsidRDefault="00D37D30">
      <w:r>
        <w:separator/>
      </w:r>
    </w:p>
  </w:endnote>
  <w:endnote w:type="continuationSeparator" w:id="0">
    <w:p w14:paraId="0C1EEC55" w14:textId="77777777" w:rsidR="00D37D30" w:rsidRDefault="00D37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AF5CD" w14:textId="77777777" w:rsidR="00D37D30" w:rsidRDefault="00D37D30">
      <w:r>
        <w:separator/>
      </w:r>
    </w:p>
  </w:footnote>
  <w:footnote w:type="continuationSeparator" w:id="0">
    <w:p w14:paraId="063E4456" w14:textId="77777777" w:rsidR="00D37D30" w:rsidRDefault="00D37D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AAE482D"/>
    <w:multiLevelType w:val="hybridMultilevel"/>
    <w:tmpl w:val="44EA1248"/>
    <w:lvl w:ilvl="0" w:tplc="04090005">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334"/>
    <w:rsid w:val="00033397"/>
    <w:rsid w:val="00040095"/>
    <w:rsid w:val="00043CC1"/>
    <w:rsid w:val="00075BE0"/>
    <w:rsid w:val="00080512"/>
    <w:rsid w:val="000A2527"/>
    <w:rsid w:val="000B06C6"/>
    <w:rsid w:val="000B7BCF"/>
    <w:rsid w:val="000D58AB"/>
    <w:rsid w:val="000F1BE1"/>
    <w:rsid w:val="00155A68"/>
    <w:rsid w:val="00165005"/>
    <w:rsid w:val="001741A0"/>
    <w:rsid w:val="00194CD0"/>
    <w:rsid w:val="00195A8E"/>
    <w:rsid w:val="001B49C9"/>
    <w:rsid w:val="001D1E8C"/>
    <w:rsid w:val="001F168B"/>
    <w:rsid w:val="001F7831"/>
    <w:rsid w:val="00204045"/>
    <w:rsid w:val="0022606D"/>
    <w:rsid w:val="00244935"/>
    <w:rsid w:val="002747EC"/>
    <w:rsid w:val="002855BF"/>
    <w:rsid w:val="002A64F1"/>
    <w:rsid w:val="002A7A5E"/>
    <w:rsid w:val="002B3CA8"/>
    <w:rsid w:val="002F0D22"/>
    <w:rsid w:val="00306DA6"/>
    <w:rsid w:val="003172DC"/>
    <w:rsid w:val="00326069"/>
    <w:rsid w:val="0035462D"/>
    <w:rsid w:val="0037373A"/>
    <w:rsid w:val="003C4E37"/>
    <w:rsid w:val="003E16BE"/>
    <w:rsid w:val="003E1BDE"/>
    <w:rsid w:val="004007F2"/>
    <w:rsid w:val="00401855"/>
    <w:rsid w:val="0041495F"/>
    <w:rsid w:val="0042587B"/>
    <w:rsid w:val="00432E68"/>
    <w:rsid w:val="00452971"/>
    <w:rsid w:val="00453921"/>
    <w:rsid w:val="00463601"/>
    <w:rsid w:val="00463B1E"/>
    <w:rsid w:val="00477455"/>
    <w:rsid w:val="004D3578"/>
    <w:rsid w:val="004D380D"/>
    <w:rsid w:val="004E213A"/>
    <w:rsid w:val="00503171"/>
    <w:rsid w:val="00511CF0"/>
    <w:rsid w:val="00534DA0"/>
    <w:rsid w:val="00543E6C"/>
    <w:rsid w:val="005552F8"/>
    <w:rsid w:val="00565087"/>
    <w:rsid w:val="0056573F"/>
    <w:rsid w:val="005E11B9"/>
    <w:rsid w:val="005E43B1"/>
    <w:rsid w:val="005E546C"/>
    <w:rsid w:val="005F06FD"/>
    <w:rsid w:val="00611566"/>
    <w:rsid w:val="006230A6"/>
    <w:rsid w:val="0062508D"/>
    <w:rsid w:val="00646514"/>
    <w:rsid w:val="00651D6A"/>
    <w:rsid w:val="00656910"/>
    <w:rsid w:val="0069244B"/>
    <w:rsid w:val="0069562E"/>
    <w:rsid w:val="006D1E24"/>
    <w:rsid w:val="006D34FC"/>
    <w:rsid w:val="006F6A2C"/>
    <w:rsid w:val="00727490"/>
    <w:rsid w:val="00734A5B"/>
    <w:rsid w:val="007414ED"/>
    <w:rsid w:val="00744E76"/>
    <w:rsid w:val="00745C3A"/>
    <w:rsid w:val="00757D40"/>
    <w:rsid w:val="007704E9"/>
    <w:rsid w:val="00781F0F"/>
    <w:rsid w:val="0078727C"/>
    <w:rsid w:val="007A3F66"/>
    <w:rsid w:val="007B18D8"/>
    <w:rsid w:val="007C076C"/>
    <w:rsid w:val="007C095F"/>
    <w:rsid w:val="007E02C4"/>
    <w:rsid w:val="007F0772"/>
    <w:rsid w:val="008028A4"/>
    <w:rsid w:val="008768CA"/>
    <w:rsid w:val="00880559"/>
    <w:rsid w:val="00886F2D"/>
    <w:rsid w:val="008A5151"/>
    <w:rsid w:val="008B7C36"/>
    <w:rsid w:val="008C4C09"/>
    <w:rsid w:val="0090271F"/>
    <w:rsid w:val="00925BF2"/>
    <w:rsid w:val="00942EC2"/>
    <w:rsid w:val="00961B32"/>
    <w:rsid w:val="00966B8B"/>
    <w:rsid w:val="00972BAC"/>
    <w:rsid w:val="00974BB0"/>
    <w:rsid w:val="00980152"/>
    <w:rsid w:val="00986567"/>
    <w:rsid w:val="009972A5"/>
    <w:rsid w:val="009B07CD"/>
    <w:rsid w:val="00A10F02"/>
    <w:rsid w:val="00A3718D"/>
    <w:rsid w:val="00A53724"/>
    <w:rsid w:val="00A82346"/>
    <w:rsid w:val="00A86DE8"/>
    <w:rsid w:val="00A9671C"/>
    <w:rsid w:val="00AA3F6E"/>
    <w:rsid w:val="00AC6F37"/>
    <w:rsid w:val="00B030E5"/>
    <w:rsid w:val="00B03195"/>
    <w:rsid w:val="00B13575"/>
    <w:rsid w:val="00B15449"/>
    <w:rsid w:val="00B21E3C"/>
    <w:rsid w:val="00B2270F"/>
    <w:rsid w:val="00B7149A"/>
    <w:rsid w:val="00B73008"/>
    <w:rsid w:val="00B96FB2"/>
    <w:rsid w:val="00BA4637"/>
    <w:rsid w:val="00BE7CF3"/>
    <w:rsid w:val="00C12B51"/>
    <w:rsid w:val="00C33079"/>
    <w:rsid w:val="00C813DF"/>
    <w:rsid w:val="00C81666"/>
    <w:rsid w:val="00C83A13"/>
    <w:rsid w:val="00CA1EFC"/>
    <w:rsid w:val="00CA3B0D"/>
    <w:rsid w:val="00CA3D0C"/>
    <w:rsid w:val="00CA662D"/>
    <w:rsid w:val="00CD2C79"/>
    <w:rsid w:val="00CD4C7B"/>
    <w:rsid w:val="00CF2F3B"/>
    <w:rsid w:val="00D22C22"/>
    <w:rsid w:val="00D37D30"/>
    <w:rsid w:val="00D738D6"/>
    <w:rsid w:val="00D80795"/>
    <w:rsid w:val="00D830E8"/>
    <w:rsid w:val="00D87E00"/>
    <w:rsid w:val="00D9134D"/>
    <w:rsid w:val="00D93069"/>
    <w:rsid w:val="00D96D11"/>
    <w:rsid w:val="00DA7A03"/>
    <w:rsid w:val="00DB1818"/>
    <w:rsid w:val="00DC309B"/>
    <w:rsid w:val="00DC4DA2"/>
    <w:rsid w:val="00E62835"/>
    <w:rsid w:val="00E66195"/>
    <w:rsid w:val="00E77645"/>
    <w:rsid w:val="00E90186"/>
    <w:rsid w:val="00EB2B7C"/>
    <w:rsid w:val="00EC4A25"/>
    <w:rsid w:val="00ED5BF9"/>
    <w:rsid w:val="00EE2D0D"/>
    <w:rsid w:val="00EF1B07"/>
    <w:rsid w:val="00EF298F"/>
    <w:rsid w:val="00EF78FB"/>
    <w:rsid w:val="00F025A2"/>
    <w:rsid w:val="00F0309C"/>
    <w:rsid w:val="00F128CA"/>
    <w:rsid w:val="00F2026E"/>
    <w:rsid w:val="00F2210A"/>
    <w:rsid w:val="00F37552"/>
    <w:rsid w:val="00F37743"/>
    <w:rsid w:val="00F54A3D"/>
    <w:rsid w:val="00F60A44"/>
    <w:rsid w:val="00F653B8"/>
    <w:rsid w:val="00F76F8F"/>
    <w:rsid w:val="00F90F90"/>
    <w:rsid w:val="00FA1266"/>
    <w:rsid w:val="00FC1192"/>
    <w:rsid w:val="00FC2A5B"/>
    <w:rsid w:val="00FD57A1"/>
    <w:rsid w:val="00FF46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98B6EA"/>
  <w15:chartTrackingRefBased/>
  <w15:docId w15:val="{E692EDC2-E9B4-482D-AE07-76BA3523D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styleId="Caption">
    <w:name w:val="caption"/>
    <w:basedOn w:val="Normal"/>
    <w:next w:val="Normal"/>
    <w:unhideWhenUsed/>
    <w:qFormat/>
    <w:rsid w:val="006D34FC"/>
    <w:rPr>
      <w:b/>
      <w:bCs/>
    </w:rPr>
  </w:style>
  <w:style w:type="character" w:styleId="Hyperlink">
    <w:name w:val="Hyperlink"/>
    <w:rsid w:val="0056573F"/>
    <w:rPr>
      <w:color w:val="0000FF"/>
      <w:u w:val="single"/>
    </w:rPr>
  </w:style>
  <w:style w:type="character" w:styleId="PlaceholderText">
    <w:name w:val="Placeholder Text"/>
    <w:basedOn w:val="DefaultParagraphFont"/>
    <w:uiPriority w:val="99"/>
    <w:semiHidden/>
    <w:rsid w:val="008B7C36"/>
    <w:rPr>
      <w:color w:val="808080"/>
    </w:rPr>
  </w:style>
  <w:style w:type="character" w:styleId="CommentReference">
    <w:name w:val="annotation reference"/>
    <w:basedOn w:val="DefaultParagraphFont"/>
    <w:rsid w:val="007704E9"/>
    <w:rPr>
      <w:sz w:val="16"/>
      <w:szCs w:val="16"/>
    </w:rPr>
  </w:style>
  <w:style w:type="paragraph" w:styleId="CommentText">
    <w:name w:val="annotation text"/>
    <w:basedOn w:val="Normal"/>
    <w:link w:val="CommentTextChar"/>
    <w:rsid w:val="007704E9"/>
  </w:style>
  <w:style w:type="character" w:customStyle="1" w:styleId="CommentTextChar">
    <w:name w:val="Comment Text Char"/>
    <w:basedOn w:val="DefaultParagraphFont"/>
    <w:link w:val="CommentText"/>
    <w:rsid w:val="007704E9"/>
    <w:rPr>
      <w:lang w:val="en-GB"/>
    </w:rPr>
  </w:style>
  <w:style w:type="paragraph" w:styleId="CommentSubject">
    <w:name w:val="annotation subject"/>
    <w:basedOn w:val="CommentText"/>
    <w:next w:val="CommentText"/>
    <w:link w:val="CommentSubjectChar"/>
    <w:rsid w:val="007704E9"/>
    <w:rPr>
      <w:b/>
      <w:bCs/>
    </w:rPr>
  </w:style>
  <w:style w:type="character" w:customStyle="1" w:styleId="CommentSubjectChar">
    <w:name w:val="Comment Subject Char"/>
    <w:basedOn w:val="CommentTextChar"/>
    <w:link w:val="CommentSubject"/>
    <w:rsid w:val="007704E9"/>
    <w:rPr>
      <w:b/>
      <w:bCs/>
      <w:lang w:val="en-GB"/>
    </w:rPr>
  </w:style>
  <w:style w:type="paragraph" w:styleId="BalloonText">
    <w:name w:val="Balloon Text"/>
    <w:basedOn w:val="Normal"/>
    <w:link w:val="BalloonTextChar"/>
    <w:rsid w:val="007704E9"/>
    <w:pPr>
      <w:spacing w:after="0"/>
    </w:pPr>
    <w:rPr>
      <w:rFonts w:ascii="Segoe UI" w:hAnsi="Segoe UI" w:cs="Segoe UI"/>
      <w:sz w:val="18"/>
      <w:szCs w:val="18"/>
    </w:rPr>
  </w:style>
  <w:style w:type="character" w:customStyle="1" w:styleId="BalloonTextChar">
    <w:name w:val="Balloon Text Char"/>
    <w:basedOn w:val="DefaultParagraphFont"/>
    <w:link w:val="BalloonText"/>
    <w:rsid w:val="007704E9"/>
    <w:rPr>
      <w:rFonts w:ascii="Segoe UI" w:hAnsi="Segoe UI" w:cs="Segoe UI"/>
      <w:sz w:val="18"/>
      <w:szCs w:val="18"/>
      <w:lang w:val="en-GB"/>
    </w:rPr>
  </w:style>
  <w:style w:type="paragraph" w:styleId="ListParagraph">
    <w:name w:val="List Paragraph"/>
    <w:basedOn w:val="Normal"/>
    <w:uiPriority w:val="34"/>
    <w:qFormat/>
    <w:rsid w:val="00EB2B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538322">
      <w:bodyDiv w:val="1"/>
      <w:marLeft w:val="0"/>
      <w:marRight w:val="0"/>
      <w:marTop w:val="0"/>
      <w:marBottom w:val="0"/>
      <w:divBdr>
        <w:top w:val="none" w:sz="0" w:space="0" w:color="auto"/>
        <w:left w:val="none" w:sz="0" w:space="0" w:color="auto"/>
        <w:bottom w:val="none" w:sz="0" w:space="0" w:color="auto"/>
        <w:right w:val="none" w:sz="0" w:space="0" w:color="auto"/>
      </w:divBdr>
      <w:divsChild>
        <w:div w:id="139082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71/Docs/RP-160636.zip"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36331.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3gpp.org/DynaReport/36881.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2E39C-791D-4FA5-8AC1-0364CB2A3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1199</Words>
  <Characters>6837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8020</CharactersWithSpaces>
  <SharedDoc>false</SharedDoc>
  <HyperlinkBase/>
  <HLinks>
    <vt:vector size="6" baseType="variant">
      <vt:variant>
        <vt:i4>2490448</vt:i4>
      </vt:variant>
      <vt:variant>
        <vt:i4>27</vt:i4>
      </vt:variant>
      <vt:variant>
        <vt:i4>0</vt:i4>
      </vt:variant>
      <vt:variant>
        <vt:i4>5</vt:i4>
      </vt:variant>
      <vt:variant>
        <vt:lpwstr>http://3gpp.org/ftp/tsg_ran/TSG_RAN/TSGR_71/Docs/RP-160636.zip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cp:revision>
  <dcterms:created xsi:type="dcterms:W3CDTF">2016-04-01T11:22:00Z</dcterms:created>
  <dcterms:modified xsi:type="dcterms:W3CDTF">2016-04-01T15:13:00Z</dcterms:modified>
</cp:coreProperties>
</file>