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D3483" w14:textId="6BA50DD0" w:rsidR="00B852EC" w:rsidRDefault="00B852EC" w:rsidP="00B852EC">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Arial" w:hAnsi="Arial"/>
          <w:b/>
        </w:rPr>
        <w:t>3GPP TSG RAN WG2 Meeting #129</w:t>
      </w:r>
      <w:r w:rsidR="00553BED">
        <w:rPr>
          <w:rFonts w:ascii="Arial" w:hAnsi="Arial"/>
          <w:b/>
        </w:rPr>
        <w:t>-</w:t>
      </w:r>
      <w:r>
        <w:rPr>
          <w:rFonts w:ascii="Arial" w:hAnsi="Arial"/>
          <w:b/>
        </w:rPr>
        <w:t>bis</w:t>
      </w:r>
      <w:r>
        <w:rPr>
          <w:rFonts w:ascii="Arial" w:hAnsi="Arial"/>
          <w:b/>
        </w:rPr>
        <w:tab/>
      </w:r>
      <w:r w:rsidR="009A252E" w:rsidRPr="009A252E">
        <w:rPr>
          <w:rFonts w:ascii="Arial" w:hAnsi="Arial"/>
          <w:b/>
        </w:rPr>
        <w:t>R2-2501989</w:t>
      </w:r>
    </w:p>
    <w:p w14:paraId="73B4674B" w14:textId="77777777" w:rsidR="00B852EC" w:rsidRDefault="00B852EC" w:rsidP="00B852EC">
      <w:pPr>
        <w:rPr>
          <w:rFonts w:ascii="Arial" w:hAnsi="Arial"/>
          <w:b/>
        </w:rPr>
      </w:pPr>
      <w:r>
        <w:rPr>
          <w:rFonts w:ascii="Arial" w:hAnsi="Arial"/>
          <w:b/>
        </w:rPr>
        <w:t>Wuhan, China, February 17</w:t>
      </w:r>
      <w:r>
        <w:rPr>
          <w:rFonts w:ascii="Arial" w:hAnsi="Arial"/>
          <w:b/>
          <w:vertAlign w:val="superscript"/>
        </w:rPr>
        <w:t xml:space="preserve"> </w:t>
      </w:r>
      <w:r>
        <w:rPr>
          <w:rFonts w:ascii="Arial" w:hAnsi="Arial"/>
          <w:b/>
        </w:rPr>
        <w:t>- 21, 2025</w:t>
      </w:r>
    </w:p>
    <w:p w14:paraId="6AEBA30D" w14:textId="77777777" w:rsidR="00B852EC" w:rsidRDefault="00B852EC" w:rsidP="00B852EC">
      <w:pPr>
        <w:tabs>
          <w:tab w:val="left" w:pos="1800"/>
        </w:tabs>
        <w:spacing w:after="60"/>
        <w:ind w:left="1800" w:hanging="1800"/>
        <w:rPr>
          <w:b/>
          <w:color w:val="000000"/>
        </w:rPr>
      </w:pPr>
    </w:p>
    <w:p w14:paraId="6CDB1ED5" w14:textId="77777777" w:rsidR="00B852EC" w:rsidRDefault="00B852EC" w:rsidP="00B852EC">
      <w:pPr>
        <w:tabs>
          <w:tab w:val="left" w:pos="1800"/>
        </w:tabs>
        <w:spacing w:after="40" w:line="276" w:lineRule="auto"/>
        <w:ind w:left="1800" w:hanging="1800"/>
        <w:rPr>
          <w:b/>
        </w:rPr>
      </w:pPr>
      <w:r>
        <w:rPr>
          <w:b/>
          <w:color w:val="000000"/>
        </w:rPr>
        <w:t>Title:</w:t>
      </w:r>
      <w:r>
        <w:rPr>
          <w:b/>
          <w:color w:val="000000"/>
        </w:rPr>
        <w:tab/>
        <w:t>Discussion on IoT-NTN TDD mode</w:t>
      </w:r>
    </w:p>
    <w:p w14:paraId="2D3ACDFC" w14:textId="77777777" w:rsidR="00B852EC" w:rsidRDefault="00B852EC" w:rsidP="00B852EC">
      <w:pPr>
        <w:tabs>
          <w:tab w:val="left" w:pos="1800"/>
        </w:tabs>
        <w:spacing w:after="40" w:line="276" w:lineRule="auto"/>
        <w:rPr>
          <w:b/>
        </w:rPr>
      </w:pPr>
      <w:r>
        <w:rPr>
          <w:b/>
        </w:rPr>
        <w:t xml:space="preserve">Source: </w:t>
      </w:r>
      <w:r>
        <w:rPr>
          <w:b/>
        </w:rPr>
        <w:tab/>
        <w:t>Iridium, CCL</w:t>
      </w:r>
    </w:p>
    <w:p w14:paraId="43FD1915" w14:textId="77777777" w:rsidR="00B852EC" w:rsidRDefault="00B852EC" w:rsidP="00B852EC">
      <w:pPr>
        <w:tabs>
          <w:tab w:val="left" w:pos="1800"/>
        </w:tabs>
        <w:spacing w:after="40" w:line="276" w:lineRule="auto"/>
        <w:rPr>
          <w:b/>
        </w:rPr>
      </w:pPr>
      <w:r>
        <w:rPr>
          <w:b/>
        </w:rPr>
        <w:t>Document for:</w:t>
      </w:r>
      <w:r>
        <w:rPr>
          <w:b/>
        </w:rPr>
        <w:tab/>
        <w:t xml:space="preserve">Discussion and Decision </w:t>
      </w:r>
    </w:p>
    <w:p w14:paraId="5FB820FB" w14:textId="3F9D03CA" w:rsidR="00B852EC" w:rsidRDefault="00B852EC" w:rsidP="00B852EC">
      <w:pPr>
        <w:tabs>
          <w:tab w:val="left" w:pos="1800"/>
        </w:tabs>
        <w:spacing w:after="40"/>
        <w:rPr>
          <w:rFonts w:ascii="Arial" w:eastAsia="Batang" w:hAnsi="Arial" w:cs="Arial"/>
          <w:b/>
          <w:lang w:eastAsia="zh-CN"/>
        </w:rPr>
      </w:pPr>
      <w:r>
        <w:rPr>
          <w:b/>
        </w:rPr>
        <w:t>Agenda Item:</w:t>
      </w:r>
      <w:r>
        <w:rPr>
          <w:b/>
        </w:rPr>
        <w:tab/>
      </w:r>
      <w:r w:rsidR="009A252E">
        <w:rPr>
          <w:b/>
        </w:rPr>
        <w:t>8.17</w:t>
      </w:r>
    </w:p>
    <w:p w14:paraId="35D61BAB" w14:textId="77777777" w:rsidR="00B852EC" w:rsidRDefault="00B852EC" w:rsidP="00B852EC">
      <w:pPr>
        <w:pStyle w:val="Heading1"/>
        <w:pageBreakBefore w:val="0"/>
        <w:ind w:left="431" w:hanging="431"/>
        <w:rPr>
          <w:b w:val="0"/>
        </w:rPr>
      </w:pPr>
      <w:bookmarkStart w:id="11" w:name="OLE_LINK1"/>
      <w:bookmarkStart w:id="12" w:name="OLE_LINK2"/>
      <w:bookmarkEnd w:id="0"/>
      <w:bookmarkEnd w:id="1"/>
      <w:bookmarkEnd w:id="2"/>
      <w:bookmarkEnd w:id="3"/>
      <w:bookmarkEnd w:id="4"/>
      <w:bookmarkEnd w:id="5"/>
      <w:bookmarkEnd w:id="6"/>
      <w:bookmarkEnd w:id="7"/>
      <w:bookmarkEnd w:id="8"/>
      <w:bookmarkEnd w:id="9"/>
      <w:r>
        <w:rPr>
          <w:b w:val="0"/>
          <w:bCs w:val="0"/>
        </w:rPr>
        <w:t>Introduction</w:t>
      </w:r>
    </w:p>
    <w:bookmarkEnd w:id="10"/>
    <w:bookmarkEnd w:id="11"/>
    <w:bookmarkEnd w:id="12"/>
    <w:p w14:paraId="71F04AD5" w14:textId="77777777" w:rsidR="00B852EC" w:rsidRDefault="00B852EC" w:rsidP="00B852EC">
      <w:pPr>
        <w:pStyle w:val="BodyText"/>
      </w:pPr>
      <w:r>
        <w:t xml:space="preserve">The current NB-IoT NTN network can only operate in FDD mode. </w:t>
      </w:r>
      <w:r w:rsidRPr="00CC0B51">
        <w:t>While the NB</w:t>
      </w:r>
      <w:r>
        <w:t>-</w:t>
      </w:r>
      <w:r w:rsidRPr="00CC0B51">
        <w:t>I</w:t>
      </w:r>
      <w:r>
        <w:t>o</w:t>
      </w:r>
      <w:r w:rsidRPr="00CC0B51">
        <w:t xml:space="preserve">T specifications include a TDD mode, this mode requires changes in direction coordinated around the timing of individual sub-frames (1 msec).   </w:t>
      </w:r>
      <w:r>
        <w:t>A</w:t>
      </w:r>
      <w:r w:rsidRPr="00CC0B51">
        <w:t>n NTN system</w:t>
      </w:r>
      <w:r>
        <w:t xml:space="preserve"> </w:t>
      </w:r>
      <w:r w:rsidRPr="00CC0B51">
        <w:t xml:space="preserve">has significant propagation time between the UE and SV that makes the TDD mode </w:t>
      </w:r>
      <w:r>
        <w:t xml:space="preserve">in its current form </w:t>
      </w:r>
      <w:r w:rsidRPr="00CC0B51">
        <w:t>not viable for NTN systems</w:t>
      </w:r>
      <w:r>
        <w:t>.</w:t>
      </w:r>
    </w:p>
    <w:p w14:paraId="2A73B3CF" w14:textId="77777777" w:rsidR="00B852EC" w:rsidRDefault="00B852EC" w:rsidP="00B852EC">
      <w:pPr>
        <w:pStyle w:val="BodyText"/>
      </w:pPr>
      <w:r w:rsidRPr="00B073D5">
        <w:t>It is beneficial for the NB-IoT NTN ecosystem to support the TDD mode of operation, allowing carriers with unpaired spectrum to provide NB-IoT NTN services. To enable this, the IoT-NTN TDD mode work item was approved in RAN#105</w:t>
      </w:r>
      <w:r>
        <w:t xml:space="preserve"> [3]</w:t>
      </w:r>
      <w:r w:rsidRPr="00B073D5">
        <w:t xml:space="preserve"> and later revised in RAN#106</w:t>
      </w:r>
      <w:r>
        <w:t xml:space="preserve"> [1]</w:t>
      </w:r>
      <w:r w:rsidRPr="00B073D5">
        <w:t xml:space="preserve"> following the conclusion of the RAN1 study phase. The revised WID outlines the following objectives for RAN2:</w:t>
      </w:r>
    </w:p>
    <w:tbl>
      <w:tblPr>
        <w:tblStyle w:val="TableGrid"/>
        <w:tblW w:w="0" w:type="auto"/>
        <w:tblLook w:val="04A0" w:firstRow="1" w:lastRow="0" w:firstColumn="1" w:lastColumn="0" w:noHBand="0" w:noVBand="1"/>
      </w:tblPr>
      <w:tblGrid>
        <w:gridCol w:w="9061"/>
      </w:tblGrid>
      <w:tr w:rsidR="00B852EC" w14:paraId="0307A381" w14:textId="77777777" w:rsidTr="005A7657">
        <w:tc>
          <w:tcPr>
            <w:tcW w:w="9061" w:type="dxa"/>
            <w:tcBorders>
              <w:top w:val="single" w:sz="4" w:space="0" w:color="auto"/>
              <w:left w:val="single" w:sz="4" w:space="0" w:color="auto"/>
              <w:bottom w:val="single" w:sz="4" w:space="0" w:color="auto"/>
              <w:right w:val="single" w:sz="4" w:space="0" w:color="auto"/>
            </w:tcBorders>
            <w:hideMark/>
          </w:tcPr>
          <w:p w14:paraId="33C5CB5D" w14:textId="77777777" w:rsidR="00B852EC" w:rsidRPr="00EC2EB4" w:rsidRDefault="00B852EC" w:rsidP="005A7657">
            <w:pPr>
              <w:numPr>
                <w:ilvl w:val="0"/>
                <w:numId w:val="10"/>
              </w:numPr>
              <w:suppressAutoHyphens/>
              <w:autoSpaceDN/>
              <w:adjustRightInd/>
              <w:spacing w:after="120" w:line="240" w:lineRule="auto"/>
            </w:pPr>
            <w:bookmarkStart w:id="13" w:name="_Hlk178869525"/>
            <w:r w:rsidRPr="00EC2EB4">
              <w:t>Specify a new NB-IoT TDD NTN mode</w:t>
            </w:r>
            <w:r w:rsidRPr="00EC2EB4">
              <w:rPr>
                <w:rStyle w:val="WW8Num1z0"/>
              </w:rPr>
              <w:t xml:space="preserve"> </w:t>
            </w:r>
            <w:r w:rsidRPr="00EC2EB4">
              <w:rPr>
                <w:rStyle w:val="ui-provider"/>
              </w:rPr>
              <w:t>based on minimum necessary changes to the NB-IoT NTN FDD frame structure and procedures</w:t>
            </w:r>
            <w:r w:rsidRPr="00EC2EB4">
              <w:t>, including:</w:t>
            </w:r>
          </w:p>
          <w:p w14:paraId="46178D58" w14:textId="77777777" w:rsidR="00B852EC" w:rsidRPr="00EC2EB4" w:rsidRDefault="00B852EC" w:rsidP="005A7657">
            <w:pPr>
              <w:numPr>
                <w:ilvl w:val="1"/>
                <w:numId w:val="11"/>
              </w:numPr>
              <w:suppressAutoHyphens/>
              <w:autoSpaceDN/>
              <w:adjustRightInd/>
              <w:spacing w:after="120" w:line="240" w:lineRule="auto"/>
            </w:pPr>
            <w:r w:rsidRPr="00EC2EB4">
              <w:t>Definition, configuration (if needed) and signaling (if needed) of the periodic pattern, necessary adaptation (if needed) and associated UE procedures [RAN1, RAN2]</w:t>
            </w:r>
          </w:p>
          <w:p w14:paraId="10964BA7" w14:textId="77777777" w:rsidR="00B852EC" w:rsidRPr="00EC2EB4" w:rsidRDefault="00B852EC" w:rsidP="005A7657">
            <w:pPr>
              <w:numPr>
                <w:ilvl w:val="3"/>
                <w:numId w:val="11"/>
              </w:numPr>
              <w:suppressAutoHyphens/>
              <w:autoSpaceDN/>
              <w:adjustRightInd/>
              <w:spacing w:after="120" w:line="240" w:lineRule="auto"/>
            </w:pPr>
            <w:r w:rsidRPr="00EC2EB4">
              <w:t xml:space="preserve">Support a pattern with a period of 9 radio frames for the target MSS allocated band, where D=U=8 with a fixed guard period. </w:t>
            </w:r>
            <w:r w:rsidRPr="00EC2EB4">
              <w:rPr>
                <w:rFonts w:hint="cs"/>
              </w:rPr>
              <w:t>R</w:t>
            </w:r>
            <w:r w:rsidRPr="00EC2EB4">
              <w:t>AN1 to consider whether there is a need for a mechanism to achieve an adjustable guard period for the purpose of allowing deployment with the TDD frame structure of the legacy system operating in the target MSS allocated band.</w:t>
            </w:r>
          </w:p>
          <w:p w14:paraId="70E1019C" w14:textId="77777777" w:rsidR="00B852EC" w:rsidRDefault="00B852EC" w:rsidP="005A7657">
            <w:pPr>
              <w:spacing w:after="0"/>
              <w:rPr>
                <w:lang w:val="sv-SE"/>
              </w:rPr>
            </w:pPr>
            <w:r w:rsidRPr="00EC2EB4">
              <w:t>Other necessary impacts on higher layers [RAN2]</w:t>
            </w:r>
          </w:p>
        </w:tc>
      </w:tr>
      <w:bookmarkEnd w:id="13"/>
    </w:tbl>
    <w:p w14:paraId="571839A5" w14:textId="77777777" w:rsidR="00B852EC" w:rsidRDefault="00B852EC" w:rsidP="00B852EC"/>
    <w:p w14:paraId="5768481B" w14:textId="5A3DDEE3" w:rsidR="00B852EC" w:rsidRDefault="00B852EC" w:rsidP="00B852EC">
      <w:pPr>
        <w:pStyle w:val="BodyText"/>
      </w:pPr>
      <w:r>
        <w:t>The RAN1 study phase agreements can be found in the WI status report [2] and RAN1#120 agreements can be found in</w:t>
      </w:r>
      <w:r w:rsidR="00D80C79">
        <w:t xml:space="preserve"> the</w:t>
      </w:r>
      <w:r>
        <w:t xml:space="preserve"> feature lead summary [4].</w:t>
      </w:r>
    </w:p>
    <w:p w14:paraId="56A32A7E" w14:textId="77777777" w:rsidR="00B852EC" w:rsidRDefault="00B852EC" w:rsidP="00B852EC">
      <w:pPr>
        <w:pStyle w:val="BodyText"/>
      </w:pPr>
      <w:r>
        <w:t>In RAN2#129 following agreements were made [5]:</w:t>
      </w:r>
    </w:p>
    <w:tbl>
      <w:tblPr>
        <w:tblStyle w:val="TableGrid"/>
        <w:tblW w:w="0" w:type="auto"/>
        <w:tblLook w:val="04A0" w:firstRow="1" w:lastRow="0" w:firstColumn="1" w:lastColumn="0" w:noHBand="0" w:noVBand="1"/>
      </w:tblPr>
      <w:tblGrid>
        <w:gridCol w:w="9061"/>
      </w:tblGrid>
      <w:tr w:rsidR="00B852EC" w14:paraId="4CCDBD3F" w14:textId="77777777" w:rsidTr="005A7657">
        <w:tc>
          <w:tcPr>
            <w:tcW w:w="9061" w:type="dxa"/>
            <w:tcBorders>
              <w:top w:val="single" w:sz="4" w:space="0" w:color="auto"/>
              <w:left w:val="single" w:sz="4" w:space="0" w:color="auto"/>
              <w:bottom w:val="single" w:sz="4" w:space="0" w:color="auto"/>
              <w:right w:val="single" w:sz="4" w:space="0" w:color="auto"/>
            </w:tcBorders>
            <w:hideMark/>
          </w:tcPr>
          <w:p w14:paraId="4CA21930" w14:textId="77777777" w:rsidR="00B852EC" w:rsidRDefault="00B852EC" w:rsidP="005A7657">
            <w:pPr>
              <w:pStyle w:val="ListParagraph"/>
              <w:numPr>
                <w:ilvl w:val="0"/>
                <w:numId w:val="23"/>
              </w:numPr>
              <w:rPr>
                <w:bCs/>
              </w:rPr>
            </w:pPr>
            <w:r w:rsidRPr="008B73F7">
              <w:rPr>
                <w:bCs/>
              </w:rPr>
              <w:t>RAN2 invites the WI rapporteur to submit a TP for Stage2 to RAN1 so that they can endorse it and send it back to RAN2 for final approval</w:t>
            </w:r>
          </w:p>
          <w:p w14:paraId="01AD121F" w14:textId="77777777" w:rsidR="00B852EC" w:rsidRPr="008B73F7" w:rsidRDefault="00B852EC" w:rsidP="005A7657">
            <w:pPr>
              <w:pStyle w:val="ListParagraph"/>
              <w:rPr>
                <w:bCs/>
              </w:rPr>
            </w:pPr>
          </w:p>
          <w:p w14:paraId="679CCDE8" w14:textId="77777777" w:rsidR="00B852EC" w:rsidRDefault="00B852EC" w:rsidP="005A7657">
            <w:pPr>
              <w:pStyle w:val="ListParagraph"/>
              <w:numPr>
                <w:ilvl w:val="0"/>
                <w:numId w:val="23"/>
              </w:numPr>
              <w:spacing w:after="0"/>
              <w:rPr>
                <w:bCs/>
              </w:rPr>
            </w:pPr>
            <w:r w:rsidRPr="009738AA">
              <w:rPr>
                <w:bCs/>
              </w:rPr>
              <w:lastRenderedPageBreak/>
              <w:t xml:space="preserve">RAN2 will continue studying paging aspects </w:t>
            </w:r>
            <w:proofErr w:type="gramStart"/>
            <w:r w:rsidRPr="009738AA">
              <w:rPr>
                <w:bCs/>
              </w:rPr>
              <w:t>based,</w:t>
            </w:r>
            <w:proofErr w:type="gramEnd"/>
            <w:r w:rsidRPr="009738AA">
              <w:rPr>
                <w:bCs/>
              </w:rPr>
              <w:t xml:space="preserve"> on RAN1 progress</w:t>
            </w:r>
          </w:p>
          <w:p w14:paraId="0594224A" w14:textId="77777777" w:rsidR="00B852EC" w:rsidRPr="00F73172" w:rsidRDefault="00B852EC" w:rsidP="005A7657">
            <w:pPr>
              <w:spacing w:after="0"/>
              <w:rPr>
                <w:bCs/>
              </w:rPr>
            </w:pPr>
          </w:p>
          <w:p w14:paraId="19BBB139" w14:textId="0F5B2880" w:rsidR="00B852EC" w:rsidRPr="001C7794" w:rsidRDefault="00B852EC" w:rsidP="001C7794">
            <w:pPr>
              <w:pStyle w:val="ListParagraph"/>
              <w:numPr>
                <w:ilvl w:val="0"/>
                <w:numId w:val="23"/>
              </w:numPr>
              <w:spacing w:after="0"/>
              <w:rPr>
                <w:bCs/>
              </w:rPr>
            </w:pPr>
            <w:r>
              <w:t xml:space="preserve">RAN2 confirms that idle mode </w:t>
            </w:r>
            <w:proofErr w:type="spellStart"/>
            <w:r>
              <w:t>eDRX</w:t>
            </w:r>
            <w:proofErr w:type="spellEnd"/>
            <w:r>
              <w:t xml:space="preserve"> is supported in IoT-NTN TDD network.</w:t>
            </w:r>
          </w:p>
          <w:p w14:paraId="508A91DA" w14:textId="77777777" w:rsidR="00B852EC" w:rsidRPr="00F73172" w:rsidRDefault="00B852EC" w:rsidP="005A7657">
            <w:pPr>
              <w:pStyle w:val="ListParagraph"/>
              <w:spacing w:after="0"/>
              <w:rPr>
                <w:bCs/>
              </w:rPr>
            </w:pPr>
          </w:p>
          <w:p w14:paraId="6F0A303C" w14:textId="77777777" w:rsidR="00B852EC" w:rsidRPr="00A30C59" w:rsidRDefault="00B852EC" w:rsidP="005A7657">
            <w:pPr>
              <w:pStyle w:val="ListParagraph"/>
              <w:numPr>
                <w:ilvl w:val="0"/>
                <w:numId w:val="23"/>
              </w:numPr>
              <w:spacing w:after="0"/>
              <w:rPr>
                <w:bCs/>
              </w:rPr>
            </w:pPr>
            <w:r w:rsidRPr="00A30C59">
              <w:rPr>
                <w:bCs/>
              </w:rPr>
              <w:t xml:space="preserve">RAN2 assumes </w:t>
            </w:r>
            <w:proofErr w:type="spellStart"/>
            <w:r w:rsidRPr="00A30C59">
              <w:rPr>
                <w:bCs/>
              </w:rPr>
              <w:t>Kmac</w:t>
            </w:r>
            <w:proofErr w:type="spellEnd"/>
            <w:r w:rsidRPr="00A30C59">
              <w:rPr>
                <w:bCs/>
              </w:rPr>
              <w:t xml:space="preserve"> </w:t>
            </w:r>
            <w:proofErr w:type="gramStart"/>
            <w:r w:rsidRPr="00A30C59">
              <w:rPr>
                <w:bCs/>
              </w:rPr>
              <w:t>has to</w:t>
            </w:r>
            <w:proofErr w:type="gramEnd"/>
            <w:r w:rsidRPr="00A30C59">
              <w:rPr>
                <w:bCs/>
              </w:rPr>
              <w:t xml:space="preserve"> be extended (or a new parameter with higher range introduced) to address the case where the number of hops exceeds a certain limit. We continue the discussion in the next meeting to investigate if there are any other implications and in case of any </w:t>
            </w:r>
            <w:proofErr w:type="gramStart"/>
            <w:r w:rsidRPr="00A30C59">
              <w:rPr>
                <w:bCs/>
              </w:rPr>
              <w:t>decisions</w:t>
            </w:r>
            <w:proofErr w:type="gramEnd"/>
            <w:r w:rsidRPr="00A30C59">
              <w:rPr>
                <w:bCs/>
              </w:rPr>
              <w:t xml:space="preserve"> we send an LS to other groups if needed.</w:t>
            </w:r>
          </w:p>
          <w:p w14:paraId="52C078BA" w14:textId="77777777" w:rsidR="00B852EC" w:rsidRPr="002D0322" w:rsidRDefault="00B852EC" w:rsidP="005A7657">
            <w:pPr>
              <w:spacing w:after="0"/>
              <w:rPr>
                <w:bCs/>
              </w:rPr>
            </w:pPr>
          </w:p>
          <w:p w14:paraId="3CE449D8" w14:textId="77777777" w:rsidR="00B852EC" w:rsidRDefault="00B852EC" w:rsidP="005A7657">
            <w:pPr>
              <w:pStyle w:val="ListParagraph"/>
              <w:numPr>
                <w:ilvl w:val="0"/>
                <w:numId w:val="23"/>
              </w:numPr>
              <w:spacing w:after="0"/>
              <w:rPr>
                <w:bCs/>
              </w:rPr>
            </w:pPr>
            <w:r w:rsidRPr="009738AA">
              <w:rPr>
                <w:bCs/>
              </w:rPr>
              <w:t xml:space="preserve">RAN2 thinks that a change of H-SFN duration (Option 1-1) and/or H-SFN total number (option 2-2) will impact RAN2 and SA2 specification regarding the support of idle mode </w:t>
            </w:r>
            <w:proofErr w:type="spellStart"/>
            <w:r w:rsidRPr="009738AA">
              <w:rPr>
                <w:bCs/>
              </w:rPr>
              <w:t>eDRX</w:t>
            </w:r>
            <w:proofErr w:type="spellEnd"/>
            <w:r w:rsidRPr="009738AA">
              <w:rPr>
                <w:bCs/>
              </w:rPr>
              <w:t xml:space="preserve"> in IoT-NTN TDD network and the impact should be evaluated.</w:t>
            </w:r>
          </w:p>
          <w:p w14:paraId="1CF1A7E1" w14:textId="77777777" w:rsidR="00B852EC" w:rsidRPr="002D0322" w:rsidRDefault="00B852EC" w:rsidP="005A7657">
            <w:pPr>
              <w:spacing w:after="0"/>
              <w:rPr>
                <w:bCs/>
              </w:rPr>
            </w:pPr>
          </w:p>
          <w:p w14:paraId="7DC2365B" w14:textId="77777777" w:rsidR="00B852EC" w:rsidRDefault="00B852EC" w:rsidP="005A7657">
            <w:pPr>
              <w:pStyle w:val="ListParagraph"/>
              <w:numPr>
                <w:ilvl w:val="0"/>
                <w:numId w:val="23"/>
              </w:numPr>
              <w:spacing w:after="0"/>
              <w:rPr>
                <w:bCs/>
              </w:rPr>
            </w:pPr>
            <w:r w:rsidRPr="009738AA">
              <w:rPr>
                <w:bCs/>
              </w:rPr>
              <w:t xml:space="preserve">RAN2 assumes that legacy coverage enhancement techniques (i.e. transmission with repetitions) are supported in IoT-NTN TDD system. </w:t>
            </w:r>
          </w:p>
          <w:p w14:paraId="1EAC362D" w14:textId="77777777" w:rsidR="00B852EC" w:rsidRPr="00A30C59" w:rsidRDefault="00B852EC" w:rsidP="005A7657">
            <w:pPr>
              <w:spacing w:after="0"/>
              <w:rPr>
                <w:bCs/>
              </w:rPr>
            </w:pPr>
          </w:p>
          <w:p w14:paraId="4FA70C3A" w14:textId="77777777" w:rsidR="00B852EC" w:rsidRPr="00A30C59" w:rsidRDefault="00B852EC" w:rsidP="005A7657">
            <w:pPr>
              <w:pStyle w:val="ListParagraph"/>
              <w:numPr>
                <w:ilvl w:val="0"/>
                <w:numId w:val="23"/>
              </w:numPr>
              <w:spacing w:after="0"/>
              <w:rPr>
                <w:bCs/>
              </w:rPr>
            </w:pPr>
            <w:r w:rsidRPr="00A30C59">
              <w:rPr>
                <w:bCs/>
              </w:rPr>
              <w:t xml:space="preserve">RAN2 can continue the discussion also on RAR window </w:t>
            </w:r>
          </w:p>
          <w:p w14:paraId="568CE988" w14:textId="77777777" w:rsidR="00B852EC" w:rsidRPr="00A30C59" w:rsidRDefault="00B852EC" w:rsidP="005A7657">
            <w:pPr>
              <w:spacing w:after="0"/>
              <w:rPr>
                <w:bCs/>
              </w:rPr>
            </w:pPr>
          </w:p>
          <w:p w14:paraId="76E7E5C9" w14:textId="77777777" w:rsidR="00B852EC" w:rsidRPr="00A30C59" w:rsidRDefault="00B852EC" w:rsidP="005A7657">
            <w:pPr>
              <w:pStyle w:val="ListParagraph"/>
              <w:numPr>
                <w:ilvl w:val="0"/>
                <w:numId w:val="23"/>
              </w:numPr>
              <w:spacing w:after="0"/>
              <w:rPr>
                <w:bCs/>
              </w:rPr>
            </w:pPr>
            <w:r w:rsidRPr="00A30C59">
              <w:rPr>
                <w:bCs/>
              </w:rPr>
              <w:t xml:space="preserve">Legacy barring bit will be used (FFS is </w:t>
            </w:r>
            <w:proofErr w:type="spellStart"/>
            <w:r w:rsidRPr="00A30C59">
              <w:rPr>
                <w:bCs/>
              </w:rPr>
              <w:t>cellBarred</w:t>
            </w:r>
            <w:proofErr w:type="spellEnd"/>
            <w:r w:rsidRPr="00A30C59">
              <w:rPr>
                <w:bCs/>
              </w:rPr>
              <w:t xml:space="preserve"> or </w:t>
            </w:r>
            <w:proofErr w:type="spellStart"/>
            <w:r w:rsidRPr="00A30C59">
              <w:rPr>
                <w:bCs/>
              </w:rPr>
              <w:t>cellBarred</w:t>
            </w:r>
            <w:proofErr w:type="spellEnd"/>
            <w:r w:rsidRPr="00A30C59">
              <w:rPr>
                <w:bCs/>
              </w:rPr>
              <w:t>-NTN)</w:t>
            </w:r>
          </w:p>
          <w:p w14:paraId="396758FD" w14:textId="77777777" w:rsidR="00B852EC" w:rsidRDefault="00B852EC" w:rsidP="005A7657">
            <w:pPr>
              <w:spacing w:after="0"/>
              <w:rPr>
                <w:lang w:val="sv-SE"/>
              </w:rPr>
            </w:pPr>
          </w:p>
        </w:tc>
      </w:tr>
    </w:tbl>
    <w:p w14:paraId="0BE203D7" w14:textId="77777777" w:rsidR="00B852EC" w:rsidRDefault="00B852EC" w:rsidP="00B852EC">
      <w:pPr>
        <w:pStyle w:val="BodyText"/>
      </w:pPr>
    </w:p>
    <w:p w14:paraId="78B9FC6F" w14:textId="4C3490DB" w:rsidR="00B852EC" w:rsidRDefault="00B852EC" w:rsidP="00B852EC">
      <w:r>
        <w:t xml:space="preserve">For NB-IoT frame structure type-1 to be utilized on the same frequency in both uplink and downlink, separate spectrum time is allocated for each, separated by a time gap. The period during which uplink operations are allowed is referred to here as the </w:t>
      </w:r>
      <w:r>
        <w:rPr>
          <w:i/>
          <w:iCs/>
        </w:rPr>
        <w:t xml:space="preserve">active uplink </w:t>
      </w:r>
      <w:r w:rsidRPr="00E603E9">
        <w:t xml:space="preserve">with duration of </w:t>
      </w:r>
      <w:r>
        <w:t>U</w:t>
      </w:r>
      <w:r w:rsidRPr="00E603E9">
        <w:t xml:space="preserve"> </w:t>
      </w:r>
      <w:r>
        <w:t xml:space="preserve">subframes, and the period during which downlink operations are allowed is referred to as the </w:t>
      </w:r>
      <w:r>
        <w:rPr>
          <w:i/>
          <w:iCs/>
        </w:rPr>
        <w:t xml:space="preserve">active downlink </w:t>
      </w:r>
      <w:r w:rsidRPr="00E603E9">
        <w:t xml:space="preserve">with duration of </w:t>
      </w:r>
      <w:r>
        <w:t>D</w:t>
      </w:r>
      <w:r w:rsidRPr="00E603E9">
        <w:t xml:space="preserve"> </w:t>
      </w:r>
      <w:r>
        <w:t xml:space="preserve">subframes in </w:t>
      </w:r>
      <w:r>
        <w:fldChar w:fldCharType="begin"/>
      </w:r>
      <w:r>
        <w:instrText xml:space="preserve"> REF _Ref189591810 \h </w:instrText>
      </w:r>
      <w:r>
        <w:fldChar w:fldCharType="separate"/>
      </w:r>
      <w:r w:rsidR="00917AEC">
        <w:t xml:space="preserve">Figure </w:t>
      </w:r>
      <w:r w:rsidR="00917AEC">
        <w:rPr>
          <w:noProof/>
        </w:rPr>
        <w:t>1</w:t>
      </w:r>
      <w:r>
        <w:fldChar w:fldCharType="end"/>
      </w:r>
      <w:r>
        <w:t xml:space="preserve">. In RAN#106 it was agreed that the periodicity of the active uplink and downlink times are fixed for NGSO satellite system operating in L-band (1616 – 1626.5 MHz) at 90ms with N=9. There is no RF transmission or reception during inactive times, resulting in discontinuous downlink transmissions. It is also agreed that duration of uplink and downlink active time i.e. D=U=8ms are fixed for </w:t>
      </w:r>
      <w:r w:rsidRPr="00741AA3">
        <w:t xml:space="preserve">MSS spectrum spanning 1616.0 to 1626.5 </w:t>
      </w:r>
      <w:proofErr w:type="spellStart"/>
      <w:r w:rsidRPr="00741AA3">
        <w:t>MHz</w:t>
      </w:r>
      <w:r>
        <w:t>.</w:t>
      </w:r>
      <w:proofErr w:type="spellEnd"/>
    </w:p>
    <w:p w14:paraId="12162A69" w14:textId="77777777" w:rsidR="00B852EC" w:rsidRDefault="00B852EC" w:rsidP="00B852EC">
      <w:pPr>
        <w:keepNext/>
        <w:jc w:val="center"/>
      </w:pPr>
      <w:r w:rsidRPr="00693E25">
        <w:rPr>
          <w:noProof/>
        </w:rPr>
        <w:drawing>
          <wp:inline distT="0" distB="0" distL="0" distR="0" wp14:anchorId="48D643D4" wp14:editId="5EF4FF08">
            <wp:extent cx="6122035" cy="663575"/>
            <wp:effectExtent l="0" t="0" r="0" b="0"/>
            <wp:docPr id="140822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22458" name=""/>
                    <pic:cNvPicPr/>
                  </pic:nvPicPr>
                  <pic:blipFill>
                    <a:blip r:embed="rId11"/>
                    <a:stretch>
                      <a:fillRect/>
                    </a:stretch>
                  </pic:blipFill>
                  <pic:spPr>
                    <a:xfrm>
                      <a:off x="0" y="0"/>
                      <a:ext cx="6122035" cy="663575"/>
                    </a:xfrm>
                    <a:prstGeom prst="rect">
                      <a:avLst/>
                    </a:prstGeom>
                  </pic:spPr>
                </pic:pic>
              </a:graphicData>
            </a:graphic>
          </wp:inline>
        </w:drawing>
      </w:r>
    </w:p>
    <w:p w14:paraId="7765A9D3" w14:textId="74DCFC95" w:rsidR="00B852EC" w:rsidRDefault="00B852EC" w:rsidP="00B852EC">
      <w:pPr>
        <w:pStyle w:val="Caption"/>
      </w:pPr>
      <w:bookmarkStart w:id="14" w:name="_Ref189591810"/>
      <w:r>
        <w:t xml:space="preserve">Figure </w:t>
      </w:r>
      <w:fldSimple w:instr=" SEQ Figure \* ARABIC ">
        <w:r w:rsidR="00917AEC">
          <w:rPr>
            <w:noProof/>
          </w:rPr>
          <w:t>1</w:t>
        </w:r>
      </w:fldSimple>
      <w:bookmarkEnd w:id="14"/>
      <w:r>
        <w:t xml:space="preserve"> </w:t>
      </w:r>
      <w:r w:rsidRPr="00D23CC3">
        <w:t>IoT-NTN TDD mode with HD-FDD frame structure</w:t>
      </w:r>
    </w:p>
    <w:p w14:paraId="1230FFE3" w14:textId="77777777" w:rsidR="00B852EC" w:rsidRDefault="00B852EC" w:rsidP="00B852EC">
      <w:pPr>
        <w:spacing w:after="180" w:line="240" w:lineRule="auto"/>
        <w:contextualSpacing/>
        <w:rPr>
          <w:rFonts w:eastAsia="Batang" w:cstheme="minorHAnsi"/>
          <w:bCs/>
          <w:lang w:eastAsia="zh-CN"/>
        </w:rPr>
      </w:pPr>
      <w:r w:rsidRPr="00052C2E">
        <w:rPr>
          <w:rFonts w:eastAsia="Batang" w:cstheme="minorHAnsi"/>
          <w:bCs/>
          <w:lang w:eastAsia="zh-CN"/>
        </w:rPr>
        <w:t xml:space="preserve">In </w:t>
      </w:r>
      <w:r>
        <w:rPr>
          <w:rFonts w:eastAsia="Batang" w:cstheme="minorHAnsi"/>
          <w:bCs/>
          <w:lang w:eastAsia="zh-CN"/>
        </w:rPr>
        <w:t>RAN1#120</w:t>
      </w:r>
      <w:r w:rsidRPr="00052C2E">
        <w:rPr>
          <w:rFonts w:eastAsia="Batang" w:cstheme="minorHAnsi"/>
          <w:bCs/>
          <w:lang w:eastAsia="zh-CN"/>
        </w:rPr>
        <w:t>, it is agreed that any subframes within inactive downlink and uplink times are not considered valid NB-IoT downlink or uplink subframes, respectively.</w:t>
      </w:r>
    </w:p>
    <w:p w14:paraId="7CD5613B" w14:textId="77777777" w:rsidR="00B852EC" w:rsidRDefault="00B852EC" w:rsidP="00B852EC">
      <w:pPr>
        <w:spacing w:after="180" w:line="240" w:lineRule="auto"/>
        <w:contextualSpacing/>
        <w:rPr>
          <w:rFonts w:eastAsia="Batang" w:cstheme="minorHAnsi"/>
          <w:bCs/>
          <w:lang w:eastAsia="zh-CN"/>
        </w:rPr>
      </w:pPr>
    </w:p>
    <w:p w14:paraId="1B66A011" w14:textId="590F8D3D" w:rsidR="00B852EC" w:rsidRDefault="00B852EC" w:rsidP="00706765">
      <w:pPr>
        <w:spacing w:after="180" w:line="240" w:lineRule="auto"/>
        <w:contextualSpacing/>
        <w:rPr>
          <w:rFonts w:eastAsia="Batang" w:cstheme="minorHAnsi"/>
          <w:bCs/>
          <w:lang w:eastAsia="zh-CN"/>
        </w:rPr>
      </w:pPr>
      <w:r>
        <w:rPr>
          <w:rFonts w:eastAsia="Batang" w:cstheme="minorHAnsi"/>
          <w:bCs/>
          <w:lang w:eastAsia="zh-CN"/>
        </w:rPr>
        <w:t xml:space="preserve">The </w:t>
      </w:r>
      <w:r w:rsidRPr="000F3CF6">
        <w:rPr>
          <w:rFonts w:eastAsia="Batang" w:cstheme="minorHAnsi"/>
          <w:bCs/>
          <w:lang w:eastAsia="zh-CN"/>
        </w:rPr>
        <w:t xml:space="preserve">“non-D NB-IoT subframes” are subframes not contained within the set of D=8 usable consecutive downlink subframes in the </w:t>
      </w:r>
      <w:r>
        <w:rPr>
          <w:rFonts w:eastAsia="Batang" w:cstheme="minorHAnsi"/>
          <w:bCs/>
          <w:lang w:eastAsia="zh-CN"/>
        </w:rPr>
        <w:t xml:space="preserve">IoT-NTN </w:t>
      </w:r>
      <w:r w:rsidRPr="000F3CF6">
        <w:rPr>
          <w:rFonts w:eastAsia="Batang" w:cstheme="minorHAnsi"/>
          <w:bCs/>
          <w:lang w:eastAsia="zh-CN"/>
        </w:rPr>
        <w:t>TDD structure.</w:t>
      </w:r>
      <w:r>
        <w:rPr>
          <w:rFonts w:eastAsia="Batang" w:cstheme="minorHAnsi"/>
          <w:bCs/>
          <w:lang w:eastAsia="zh-CN"/>
        </w:rPr>
        <w:t xml:space="preserve"> Similarly, the </w:t>
      </w:r>
      <w:r w:rsidRPr="000F3CF6">
        <w:rPr>
          <w:rFonts w:eastAsia="Batang" w:cstheme="minorHAnsi"/>
          <w:bCs/>
          <w:lang w:eastAsia="zh-CN"/>
        </w:rPr>
        <w:t>“non-</w:t>
      </w:r>
      <w:r>
        <w:rPr>
          <w:rFonts w:eastAsia="Batang" w:cstheme="minorHAnsi"/>
          <w:bCs/>
          <w:lang w:eastAsia="zh-CN"/>
        </w:rPr>
        <w:t>U</w:t>
      </w:r>
      <w:r w:rsidRPr="000F3CF6">
        <w:rPr>
          <w:rFonts w:eastAsia="Batang" w:cstheme="minorHAnsi"/>
          <w:bCs/>
          <w:lang w:eastAsia="zh-CN"/>
        </w:rPr>
        <w:t xml:space="preserve"> NB-IoT </w:t>
      </w:r>
      <w:r w:rsidRPr="000F3CF6">
        <w:rPr>
          <w:rFonts w:eastAsia="Batang" w:cstheme="minorHAnsi"/>
          <w:bCs/>
          <w:lang w:eastAsia="zh-CN"/>
        </w:rPr>
        <w:lastRenderedPageBreak/>
        <w:t xml:space="preserve">subframes” are subframes not contained within the set of </w:t>
      </w:r>
      <w:r>
        <w:rPr>
          <w:rFonts w:eastAsia="Batang" w:cstheme="minorHAnsi"/>
          <w:bCs/>
          <w:lang w:eastAsia="zh-CN"/>
        </w:rPr>
        <w:t>U</w:t>
      </w:r>
      <w:r w:rsidRPr="000F3CF6">
        <w:rPr>
          <w:rFonts w:eastAsia="Batang" w:cstheme="minorHAnsi"/>
          <w:bCs/>
          <w:lang w:eastAsia="zh-CN"/>
        </w:rPr>
        <w:t xml:space="preserve">=8 usable consecutive </w:t>
      </w:r>
      <w:r>
        <w:rPr>
          <w:rFonts w:eastAsia="Batang" w:cstheme="minorHAnsi"/>
          <w:bCs/>
          <w:lang w:eastAsia="zh-CN"/>
        </w:rPr>
        <w:t xml:space="preserve">uplink </w:t>
      </w:r>
      <w:r w:rsidRPr="000F3CF6">
        <w:rPr>
          <w:rFonts w:eastAsia="Batang" w:cstheme="minorHAnsi"/>
          <w:bCs/>
          <w:lang w:eastAsia="zh-CN"/>
        </w:rPr>
        <w:t xml:space="preserve">subframes in the </w:t>
      </w:r>
      <w:r>
        <w:rPr>
          <w:rFonts w:eastAsia="Batang" w:cstheme="minorHAnsi"/>
          <w:bCs/>
          <w:lang w:eastAsia="zh-CN"/>
        </w:rPr>
        <w:t>IoT-NTN TDD frame structure.</w:t>
      </w:r>
    </w:p>
    <w:p w14:paraId="5542BC2C" w14:textId="77777777" w:rsidR="00706765" w:rsidRPr="00706765" w:rsidRDefault="00706765" w:rsidP="00706765">
      <w:pPr>
        <w:spacing w:after="180" w:line="240" w:lineRule="auto"/>
        <w:contextualSpacing/>
        <w:rPr>
          <w:rFonts w:eastAsia="Batang" w:cstheme="minorHAnsi"/>
          <w:bCs/>
          <w:lang w:eastAsia="zh-CN"/>
        </w:rPr>
      </w:pPr>
    </w:p>
    <w:p w14:paraId="4B175B15" w14:textId="77777777" w:rsidR="00B852EC" w:rsidRDefault="00B852EC" w:rsidP="00B852EC">
      <w:r>
        <w:t>The system parameters to consider in the normative phase are the following:</w:t>
      </w:r>
    </w:p>
    <w:tbl>
      <w:tblPr>
        <w:tblStyle w:val="TableGrid"/>
        <w:tblW w:w="0" w:type="auto"/>
        <w:tblLook w:val="04A0" w:firstRow="1" w:lastRow="0" w:firstColumn="1" w:lastColumn="0" w:noHBand="0" w:noVBand="1"/>
      </w:tblPr>
      <w:tblGrid>
        <w:gridCol w:w="4814"/>
        <w:gridCol w:w="4815"/>
      </w:tblGrid>
      <w:tr w:rsidR="00B852EC" w14:paraId="71D2757E" w14:textId="77777777" w:rsidTr="005A7657">
        <w:tc>
          <w:tcPr>
            <w:tcW w:w="4814" w:type="dxa"/>
            <w:shd w:val="clear" w:color="auto" w:fill="E7E6E6" w:themeFill="background2"/>
          </w:tcPr>
          <w:p w14:paraId="5A0E033A" w14:textId="77777777" w:rsidR="00B852EC" w:rsidRPr="00161048" w:rsidRDefault="00B852EC" w:rsidP="005A7657">
            <w:pPr>
              <w:jc w:val="center"/>
              <w:rPr>
                <w:b/>
                <w:sz w:val="20"/>
                <w:szCs w:val="20"/>
              </w:rPr>
            </w:pPr>
            <w:r w:rsidRPr="00161048">
              <w:rPr>
                <w:b/>
                <w:sz w:val="20"/>
                <w:szCs w:val="20"/>
              </w:rPr>
              <w:t>Parameters</w:t>
            </w:r>
          </w:p>
        </w:tc>
        <w:tc>
          <w:tcPr>
            <w:tcW w:w="4815" w:type="dxa"/>
            <w:shd w:val="clear" w:color="auto" w:fill="E7E6E6" w:themeFill="background2"/>
          </w:tcPr>
          <w:p w14:paraId="669EB6AA" w14:textId="77777777" w:rsidR="00B852EC" w:rsidRPr="00161048" w:rsidRDefault="00B852EC" w:rsidP="005A7657">
            <w:pPr>
              <w:jc w:val="center"/>
              <w:rPr>
                <w:b/>
                <w:sz w:val="20"/>
                <w:szCs w:val="20"/>
              </w:rPr>
            </w:pPr>
            <w:r w:rsidRPr="00161048">
              <w:rPr>
                <w:b/>
                <w:sz w:val="20"/>
                <w:szCs w:val="20"/>
              </w:rPr>
              <w:t>Values/Comments</w:t>
            </w:r>
          </w:p>
        </w:tc>
      </w:tr>
      <w:tr w:rsidR="00B852EC" w14:paraId="70AA05DF" w14:textId="77777777" w:rsidTr="005A7657">
        <w:tc>
          <w:tcPr>
            <w:tcW w:w="4814" w:type="dxa"/>
          </w:tcPr>
          <w:p w14:paraId="31F24588" w14:textId="77777777" w:rsidR="00B852EC" w:rsidRPr="00161048" w:rsidRDefault="00B852EC" w:rsidP="005A7657">
            <w:pPr>
              <w:jc w:val="center"/>
              <w:rPr>
                <w:sz w:val="20"/>
                <w:szCs w:val="20"/>
              </w:rPr>
            </w:pPr>
            <w:r>
              <w:rPr>
                <w:sz w:val="20"/>
                <w:szCs w:val="20"/>
              </w:rPr>
              <w:t>Constellation</w:t>
            </w:r>
          </w:p>
        </w:tc>
        <w:tc>
          <w:tcPr>
            <w:tcW w:w="4815" w:type="dxa"/>
          </w:tcPr>
          <w:p w14:paraId="36623578" w14:textId="77777777" w:rsidR="00B852EC" w:rsidRPr="00161048" w:rsidRDefault="00B852EC" w:rsidP="005A7657">
            <w:pPr>
              <w:jc w:val="center"/>
              <w:rPr>
                <w:sz w:val="20"/>
                <w:szCs w:val="20"/>
              </w:rPr>
            </w:pPr>
            <w:r w:rsidRPr="00161048">
              <w:rPr>
                <w:sz w:val="20"/>
                <w:szCs w:val="20"/>
              </w:rPr>
              <w:t>LEO at 600 and 1200 km</w:t>
            </w:r>
          </w:p>
        </w:tc>
      </w:tr>
      <w:tr w:rsidR="00B852EC" w14:paraId="43A506D4" w14:textId="77777777" w:rsidTr="005A7657">
        <w:tc>
          <w:tcPr>
            <w:tcW w:w="4814" w:type="dxa"/>
          </w:tcPr>
          <w:p w14:paraId="45B02E94" w14:textId="77777777" w:rsidR="00B852EC" w:rsidRPr="00161048" w:rsidRDefault="00B852EC" w:rsidP="005A7657">
            <w:pPr>
              <w:jc w:val="center"/>
              <w:rPr>
                <w:sz w:val="20"/>
                <w:szCs w:val="20"/>
              </w:rPr>
            </w:pPr>
            <w:r>
              <w:rPr>
                <w:sz w:val="20"/>
                <w:szCs w:val="20"/>
              </w:rPr>
              <w:t>NTN Reference Scenario</w:t>
            </w:r>
          </w:p>
        </w:tc>
        <w:tc>
          <w:tcPr>
            <w:tcW w:w="4815" w:type="dxa"/>
          </w:tcPr>
          <w:p w14:paraId="12F7B345" w14:textId="77777777" w:rsidR="00B852EC" w:rsidRPr="00161048" w:rsidRDefault="00B852EC" w:rsidP="005A7657">
            <w:pPr>
              <w:jc w:val="center"/>
              <w:rPr>
                <w:sz w:val="20"/>
                <w:szCs w:val="20"/>
              </w:rPr>
            </w:pPr>
            <w:proofErr w:type="gramStart"/>
            <w:r w:rsidRPr="00161048">
              <w:rPr>
                <w:sz w:val="20"/>
                <w:szCs w:val="20"/>
              </w:rPr>
              <w:t>Set</w:t>
            </w:r>
            <w:r>
              <w:rPr>
                <w:sz w:val="20"/>
                <w:szCs w:val="20"/>
              </w:rPr>
              <w:t>-1</w:t>
            </w:r>
            <w:proofErr w:type="gramEnd"/>
            <w:r>
              <w:rPr>
                <w:sz w:val="20"/>
                <w:szCs w:val="20"/>
              </w:rPr>
              <w:t xml:space="preserve"> (</w:t>
            </w:r>
            <w:r w:rsidRPr="00161048">
              <w:rPr>
                <w:sz w:val="20"/>
                <w:szCs w:val="20"/>
              </w:rPr>
              <w:t>3GPP TR 36.763</w:t>
            </w:r>
            <w:r>
              <w:rPr>
                <w:sz w:val="20"/>
                <w:szCs w:val="20"/>
              </w:rPr>
              <w:t>)</w:t>
            </w:r>
          </w:p>
        </w:tc>
      </w:tr>
      <w:tr w:rsidR="00B852EC" w14:paraId="400B5E52" w14:textId="77777777" w:rsidTr="005A7657">
        <w:tc>
          <w:tcPr>
            <w:tcW w:w="4814" w:type="dxa"/>
          </w:tcPr>
          <w:p w14:paraId="2D03C5AA" w14:textId="77777777" w:rsidR="00B852EC" w:rsidRPr="00161048" w:rsidRDefault="00B852EC" w:rsidP="005A7657">
            <w:pPr>
              <w:jc w:val="center"/>
              <w:rPr>
                <w:sz w:val="20"/>
                <w:szCs w:val="20"/>
              </w:rPr>
            </w:pPr>
            <w:r w:rsidRPr="00161048">
              <w:rPr>
                <w:sz w:val="20"/>
                <w:szCs w:val="20"/>
              </w:rPr>
              <w:t xml:space="preserve">Targeted </w:t>
            </w:r>
            <w:r>
              <w:rPr>
                <w:sz w:val="20"/>
                <w:szCs w:val="20"/>
              </w:rPr>
              <w:t xml:space="preserve">MSS </w:t>
            </w:r>
            <w:r w:rsidRPr="00161048">
              <w:rPr>
                <w:sz w:val="20"/>
                <w:szCs w:val="20"/>
              </w:rPr>
              <w:t>band</w:t>
            </w:r>
          </w:p>
        </w:tc>
        <w:tc>
          <w:tcPr>
            <w:tcW w:w="4815" w:type="dxa"/>
          </w:tcPr>
          <w:p w14:paraId="04C2CBA6" w14:textId="77777777" w:rsidR="00B852EC" w:rsidRPr="00161048" w:rsidRDefault="00B852EC" w:rsidP="005A7657">
            <w:pPr>
              <w:jc w:val="center"/>
              <w:rPr>
                <w:sz w:val="20"/>
                <w:szCs w:val="20"/>
              </w:rPr>
            </w:pPr>
            <w:r w:rsidRPr="00161048">
              <w:rPr>
                <w:sz w:val="20"/>
                <w:szCs w:val="20"/>
              </w:rPr>
              <w:t>1616-1626.5 MHz</w:t>
            </w:r>
          </w:p>
        </w:tc>
      </w:tr>
      <w:tr w:rsidR="00B852EC" w14:paraId="05D258BC" w14:textId="77777777" w:rsidTr="005A7657">
        <w:tc>
          <w:tcPr>
            <w:tcW w:w="4814" w:type="dxa"/>
          </w:tcPr>
          <w:p w14:paraId="0F2E406A" w14:textId="77777777" w:rsidR="00B852EC" w:rsidRPr="00161048" w:rsidRDefault="00B852EC" w:rsidP="005A7657">
            <w:pPr>
              <w:jc w:val="center"/>
              <w:rPr>
                <w:sz w:val="20"/>
                <w:szCs w:val="20"/>
              </w:rPr>
            </w:pPr>
            <w:r w:rsidRPr="00161048">
              <w:rPr>
                <w:sz w:val="20"/>
                <w:szCs w:val="20"/>
              </w:rPr>
              <w:t>NB-IoT mode</w:t>
            </w:r>
          </w:p>
        </w:tc>
        <w:tc>
          <w:tcPr>
            <w:tcW w:w="4815" w:type="dxa"/>
          </w:tcPr>
          <w:p w14:paraId="7C69E710" w14:textId="77777777" w:rsidR="00B852EC" w:rsidRPr="00161048" w:rsidRDefault="00B852EC" w:rsidP="005A7657">
            <w:pPr>
              <w:jc w:val="center"/>
              <w:rPr>
                <w:sz w:val="20"/>
                <w:szCs w:val="20"/>
              </w:rPr>
            </w:pPr>
            <w:r w:rsidRPr="00161048">
              <w:rPr>
                <w:sz w:val="20"/>
                <w:szCs w:val="20"/>
              </w:rPr>
              <w:t>Standalone with anchor and non-anchor carriers</w:t>
            </w:r>
          </w:p>
        </w:tc>
      </w:tr>
      <w:tr w:rsidR="00B852EC" w14:paraId="6921097E" w14:textId="77777777" w:rsidTr="005A7657">
        <w:tc>
          <w:tcPr>
            <w:tcW w:w="4814" w:type="dxa"/>
          </w:tcPr>
          <w:p w14:paraId="71A2EAF4" w14:textId="77777777" w:rsidR="00B852EC" w:rsidRPr="00161048" w:rsidRDefault="00B852EC" w:rsidP="005A7657">
            <w:pPr>
              <w:jc w:val="center"/>
              <w:rPr>
                <w:sz w:val="20"/>
                <w:szCs w:val="20"/>
              </w:rPr>
            </w:pPr>
            <w:r w:rsidRPr="00161048">
              <w:rPr>
                <w:sz w:val="20"/>
                <w:szCs w:val="20"/>
              </w:rPr>
              <w:t>Cell type</w:t>
            </w:r>
          </w:p>
        </w:tc>
        <w:tc>
          <w:tcPr>
            <w:tcW w:w="4815" w:type="dxa"/>
          </w:tcPr>
          <w:p w14:paraId="121C777F" w14:textId="77777777" w:rsidR="00B852EC" w:rsidRPr="00161048" w:rsidRDefault="00B852EC" w:rsidP="005A7657">
            <w:pPr>
              <w:jc w:val="center"/>
              <w:rPr>
                <w:sz w:val="20"/>
                <w:szCs w:val="20"/>
              </w:rPr>
            </w:pPr>
            <w:r w:rsidRPr="00161048">
              <w:rPr>
                <w:sz w:val="20"/>
                <w:szCs w:val="20"/>
              </w:rPr>
              <w:t>Earth-</w:t>
            </w:r>
            <w:r>
              <w:rPr>
                <w:sz w:val="20"/>
                <w:szCs w:val="20"/>
              </w:rPr>
              <w:t>f</w:t>
            </w:r>
            <w:r w:rsidRPr="00161048">
              <w:rPr>
                <w:sz w:val="20"/>
                <w:szCs w:val="20"/>
              </w:rPr>
              <w:t>ixed and Earth-moving cells</w:t>
            </w:r>
          </w:p>
        </w:tc>
      </w:tr>
      <w:tr w:rsidR="00B852EC" w14:paraId="0302A7C5" w14:textId="77777777" w:rsidTr="005A7657">
        <w:tc>
          <w:tcPr>
            <w:tcW w:w="4814" w:type="dxa"/>
          </w:tcPr>
          <w:p w14:paraId="3376161E" w14:textId="77777777" w:rsidR="00B852EC" w:rsidRPr="00161048" w:rsidRDefault="00B852EC" w:rsidP="005A7657">
            <w:pPr>
              <w:jc w:val="center"/>
              <w:rPr>
                <w:sz w:val="20"/>
                <w:szCs w:val="20"/>
              </w:rPr>
            </w:pPr>
            <w:r w:rsidRPr="00161048">
              <w:rPr>
                <w:sz w:val="20"/>
                <w:szCs w:val="20"/>
              </w:rPr>
              <w:t xml:space="preserve">Baseline </w:t>
            </w:r>
            <w:r>
              <w:rPr>
                <w:sz w:val="20"/>
                <w:szCs w:val="20"/>
              </w:rPr>
              <w:t>System for Structure and P</w:t>
            </w:r>
            <w:r w:rsidRPr="00161048">
              <w:rPr>
                <w:sz w:val="20"/>
                <w:szCs w:val="20"/>
              </w:rPr>
              <w:t>rocedures</w:t>
            </w:r>
          </w:p>
        </w:tc>
        <w:tc>
          <w:tcPr>
            <w:tcW w:w="4815" w:type="dxa"/>
          </w:tcPr>
          <w:p w14:paraId="543B5397" w14:textId="77777777" w:rsidR="00B852EC" w:rsidRPr="00161048" w:rsidRDefault="00B852EC" w:rsidP="005A7657">
            <w:pPr>
              <w:jc w:val="center"/>
              <w:rPr>
                <w:sz w:val="20"/>
                <w:szCs w:val="20"/>
              </w:rPr>
            </w:pPr>
            <w:r w:rsidRPr="00161048">
              <w:rPr>
                <w:sz w:val="20"/>
                <w:szCs w:val="20"/>
              </w:rPr>
              <w:t>NB-IoT NTN FDD</w:t>
            </w:r>
          </w:p>
        </w:tc>
      </w:tr>
      <w:tr w:rsidR="00B852EC" w14:paraId="1C68EB82" w14:textId="77777777" w:rsidTr="005A7657">
        <w:tc>
          <w:tcPr>
            <w:tcW w:w="4814" w:type="dxa"/>
          </w:tcPr>
          <w:p w14:paraId="17EAD0DD" w14:textId="77777777" w:rsidR="00B852EC" w:rsidRPr="00161048" w:rsidRDefault="00B852EC" w:rsidP="005A7657">
            <w:pPr>
              <w:jc w:val="center"/>
              <w:rPr>
                <w:sz w:val="20"/>
                <w:szCs w:val="20"/>
              </w:rPr>
            </w:pPr>
            <w:r>
              <w:rPr>
                <w:sz w:val="20"/>
                <w:szCs w:val="20"/>
              </w:rPr>
              <w:t>NTN-</w:t>
            </w:r>
            <w:r w:rsidRPr="00161048">
              <w:rPr>
                <w:sz w:val="20"/>
                <w:szCs w:val="20"/>
              </w:rPr>
              <w:t>TDD pattern</w:t>
            </w:r>
          </w:p>
        </w:tc>
        <w:tc>
          <w:tcPr>
            <w:tcW w:w="4815" w:type="dxa"/>
          </w:tcPr>
          <w:p w14:paraId="265B6CC8" w14:textId="6682F92D" w:rsidR="00B852EC" w:rsidRPr="00161048" w:rsidRDefault="00B852EC" w:rsidP="005A7657">
            <w:pPr>
              <w:jc w:val="center"/>
              <w:rPr>
                <w:sz w:val="20"/>
                <w:szCs w:val="20"/>
              </w:rPr>
            </w:pPr>
            <w:r w:rsidRPr="00161048">
              <w:rPr>
                <w:sz w:val="20"/>
                <w:szCs w:val="20"/>
              </w:rPr>
              <w:t>Periodic pattern of N=9 radio frame constituted of U=8 non-overlapping set of usable contiguous UL subframe and D=</w:t>
            </w:r>
            <w:r>
              <w:rPr>
                <w:sz w:val="20"/>
                <w:szCs w:val="20"/>
              </w:rPr>
              <w:t>8</w:t>
            </w:r>
            <w:r w:rsidRPr="00161048">
              <w:rPr>
                <w:sz w:val="20"/>
                <w:szCs w:val="20"/>
              </w:rPr>
              <w:t xml:space="preserve"> set of usable contiguous DL subframe separated by </w:t>
            </w:r>
            <w:r>
              <w:rPr>
                <w:sz w:val="20"/>
                <w:szCs w:val="20"/>
              </w:rPr>
              <w:t xml:space="preserve">fixed </w:t>
            </w:r>
            <w:r w:rsidRPr="00161048">
              <w:rPr>
                <w:sz w:val="20"/>
                <w:szCs w:val="20"/>
              </w:rPr>
              <w:t>guard period</w:t>
            </w:r>
            <w:r>
              <w:rPr>
                <w:sz w:val="20"/>
                <w:szCs w:val="20"/>
              </w:rPr>
              <w:t xml:space="preserve"> as per </w:t>
            </w:r>
            <w:r>
              <w:rPr>
                <w:sz w:val="20"/>
                <w:szCs w:val="20"/>
              </w:rPr>
              <w:fldChar w:fldCharType="begin"/>
            </w:r>
            <w:r>
              <w:rPr>
                <w:sz w:val="20"/>
                <w:szCs w:val="20"/>
              </w:rPr>
              <w:instrText xml:space="preserve"> REF _Ref189591810 \h  \* MERGEFORMAT </w:instrText>
            </w:r>
            <w:r>
              <w:rPr>
                <w:sz w:val="20"/>
                <w:szCs w:val="20"/>
              </w:rPr>
            </w:r>
            <w:r>
              <w:rPr>
                <w:sz w:val="20"/>
                <w:szCs w:val="20"/>
              </w:rPr>
              <w:fldChar w:fldCharType="separate"/>
            </w:r>
            <w:r w:rsidR="00917AEC" w:rsidRPr="00917AEC">
              <w:rPr>
                <w:sz w:val="20"/>
                <w:szCs w:val="20"/>
              </w:rPr>
              <w:t>Figure 1</w:t>
            </w:r>
            <w:r>
              <w:rPr>
                <w:sz w:val="20"/>
                <w:szCs w:val="20"/>
              </w:rPr>
              <w:fldChar w:fldCharType="end"/>
            </w:r>
            <w:r>
              <w:rPr>
                <w:sz w:val="20"/>
                <w:szCs w:val="20"/>
              </w:rPr>
              <w:t>.</w:t>
            </w:r>
          </w:p>
        </w:tc>
      </w:tr>
    </w:tbl>
    <w:p w14:paraId="001F8C35" w14:textId="77777777" w:rsidR="00B852EC" w:rsidRDefault="00B852EC" w:rsidP="00B852EC">
      <w:pPr>
        <w:pStyle w:val="BodyText"/>
      </w:pPr>
    </w:p>
    <w:p w14:paraId="555286A6" w14:textId="77777777" w:rsidR="00B852EC" w:rsidRPr="00C6647A" w:rsidRDefault="00B852EC" w:rsidP="00B852EC">
      <w:pPr>
        <w:pStyle w:val="BodyText"/>
      </w:pPr>
      <w:r>
        <w:t xml:space="preserve">In this contribution, we present the definition of IoT-NTN TDD mode as discussed in RAN1, and the necessary adaptions and associated UE procedures. </w:t>
      </w:r>
    </w:p>
    <w:p w14:paraId="5A046D64" w14:textId="77777777" w:rsidR="00B852EC" w:rsidRDefault="00B852EC" w:rsidP="00B852EC">
      <w:pPr>
        <w:pStyle w:val="Heading1"/>
        <w:pageBreakBefore w:val="0"/>
        <w:ind w:left="431" w:hanging="431"/>
        <w:rPr>
          <w:b w:val="0"/>
          <w:bCs w:val="0"/>
        </w:rPr>
      </w:pPr>
      <w:r>
        <w:rPr>
          <w:b w:val="0"/>
          <w:bCs w:val="0"/>
        </w:rPr>
        <w:t>Discussion</w:t>
      </w:r>
    </w:p>
    <w:p w14:paraId="76E56A72" w14:textId="77777777" w:rsidR="00B852EC" w:rsidRDefault="00B852EC" w:rsidP="00B852EC">
      <w:pPr>
        <w:pStyle w:val="Heading2"/>
      </w:pPr>
      <w:r>
        <w:t>EUTRA Overall Description</w:t>
      </w:r>
    </w:p>
    <w:p w14:paraId="5A317E70" w14:textId="77777777" w:rsidR="00B852EC" w:rsidRPr="008F7B4A" w:rsidRDefault="00B852EC" w:rsidP="00B852EC">
      <w:r w:rsidRPr="008F7B4A">
        <w:t xml:space="preserve">With the introduction of IoT-NTN </w:t>
      </w:r>
      <w:r>
        <w:t xml:space="preserve">TDD </w:t>
      </w:r>
      <w:r w:rsidRPr="008F7B4A">
        <w:t>mode, 36.300 needs to be updated to include IoT-NTN TDD mode definitions and the associated changes as per the proposals below.</w:t>
      </w:r>
    </w:p>
    <w:p w14:paraId="37CC8599" w14:textId="77777777" w:rsidR="00B852EC" w:rsidRDefault="00B852EC" w:rsidP="00B852EC">
      <w:pPr>
        <w:autoSpaceDE w:val="0"/>
        <w:autoSpaceDN w:val="0"/>
        <w:adjustRightInd w:val="0"/>
        <w:spacing w:after="0" w:line="240" w:lineRule="auto"/>
        <w:rPr>
          <w:rStyle w:val="d9fyld"/>
          <w:lang w:val="en"/>
        </w:rPr>
      </w:pPr>
      <w:r>
        <w:rPr>
          <w:b/>
        </w:rPr>
        <w:t xml:space="preserve">Proposal 1: </w:t>
      </w:r>
      <w:r>
        <w:rPr>
          <w:rFonts w:eastAsia="MS Mincho" w:cstheme="minorHAnsi"/>
          <w:kern w:val="0"/>
          <w:lang w:eastAsia="ja-JP"/>
        </w:rPr>
        <w:t xml:space="preserve">A description of IoT-NTN TDD mode shall be added in 36.300 </w:t>
      </w:r>
      <w:r>
        <w:rPr>
          <w:rStyle w:val="d9fyld"/>
          <w:lang w:val="en"/>
        </w:rPr>
        <w:t>[§5] as follows:</w:t>
      </w:r>
    </w:p>
    <w:p w14:paraId="3C2E2289" w14:textId="77777777" w:rsidR="00B852EC" w:rsidRPr="006B7C7C" w:rsidRDefault="00B852EC" w:rsidP="00B852EC">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Downlink and uplink transmissions are organized into radio frames with 10 </w:t>
      </w:r>
      <w:proofErr w:type="spellStart"/>
      <w:r w:rsidRPr="006B7C7C">
        <w:rPr>
          <w:rFonts w:eastAsia="MS Mincho" w:cstheme="minorHAnsi"/>
          <w:i/>
          <w:iCs/>
          <w:kern w:val="0"/>
          <w:lang w:eastAsia="ja-JP"/>
        </w:rPr>
        <w:t>ms</w:t>
      </w:r>
      <w:proofErr w:type="spellEnd"/>
      <w:r w:rsidRPr="006B7C7C">
        <w:rPr>
          <w:rFonts w:eastAsia="MS Mincho" w:cstheme="minorHAnsi"/>
          <w:i/>
          <w:iCs/>
          <w:kern w:val="0"/>
          <w:lang w:eastAsia="ja-JP"/>
        </w:rPr>
        <w:t xml:space="preserve"> duration. Three radio frame structures are supported:</w:t>
      </w:r>
    </w:p>
    <w:p w14:paraId="50EFC772" w14:textId="77777777" w:rsidR="00B852EC" w:rsidRPr="006B7C7C" w:rsidRDefault="00B852EC" w:rsidP="00B852EC">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1, applicable to FDD </w:t>
      </w:r>
      <w:r w:rsidRPr="006B7C7C">
        <w:rPr>
          <w:rFonts w:eastAsia="MS Mincho" w:cstheme="minorHAnsi"/>
          <w:i/>
          <w:iCs/>
          <w:color w:val="5B9BD5" w:themeColor="accent1"/>
          <w:kern w:val="0"/>
          <w:lang w:eastAsia="ja-JP"/>
        </w:rPr>
        <w:t xml:space="preserve">and IoT-NTN </w:t>
      </w:r>
      <w:proofErr w:type="gramStart"/>
      <w:r w:rsidRPr="006B7C7C">
        <w:rPr>
          <w:rFonts w:eastAsia="MS Mincho" w:cstheme="minorHAnsi"/>
          <w:i/>
          <w:iCs/>
          <w:color w:val="5B9BD5" w:themeColor="accent1"/>
          <w:kern w:val="0"/>
          <w:lang w:eastAsia="ja-JP"/>
        </w:rPr>
        <w:t>TDD</w:t>
      </w:r>
      <w:r w:rsidRPr="006B7C7C">
        <w:rPr>
          <w:rFonts w:eastAsia="MS Mincho" w:cstheme="minorHAnsi"/>
          <w:i/>
          <w:iCs/>
          <w:kern w:val="0"/>
          <w:lang w:eastAsia="ja-JP"/>
        </w:rPr>
        <w:t>;</w:t>
      </w:r>
      <w:proofErr w:type="gramEnd"/>
    </w:p>
    <w:p w14:paraId="19C34CEA" w14:textId="77777777" w:rsidR="00B852EC" w:rsidRDefault="00B852EC" w:rsidP="00B852EC">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2, applicable to </w:t>
      </w:r>
      <w:proofErr w:type="gramStart"/>
      <w:r w:rsidRPr="006B7C7C">
        <w:rPr>
          <w:rFonts w:eastAsia="MS Mincho" w:cstheme="minorHAnsi"/>
          <w:i/>
          <w:iCs/>
          <w:kern w:val="0"/>
          <w:lang w:eastAsia="ja-JP"/>
        </w:rPr>
        <w:t>TDD;</w:t>
      </w:r>
      <w:proofErr w:type="gramEnd"/>
    </w:p>
    <w:p w14:paraId="746A6115" w14:textId="77777777" w:rsidR="00B852EC" w:rsidRDefault="00B852EC" w:rsidP="00B852EC">
      <w:pPr>
        <w:autoSpaceDE w:val="0"/>
        <w:autoSpaceDN w:val="0"/>
        <w:adjustRightInd w:val="0"/>
        <w:spacing w:after="0" w:line="240" w:lineRule="auto"/>
        <w:rPr>
          <w:rFonts w:eastAsia="MS Mincho" w:cstheme="minorHAnsi"/>
          <w:i/>
          <w:iCs/>
          <w:kern w:val="0"/>
          <w:lang w:eastAsia="ja-JP"/>
        </w:rPr>
      </w:pPr>
      <w:r>
        <w:rPr>
          <w:rFonts w:eastAsia="MS Mincho" w:cstheme="minorHAnsi"/>
          <w:i/>
          <w:iCs/>
          <w:kern w:val="0"/>
          <w:lang w:eastAsia="ja-JP"/>
        </w:rPr>
        <w:t>…</w:t>
      </w:r>
    </w:p>
    <w:p w14:paraId="301B45AF" w14:textId="61D121F9" w:rsidR="00B852EC" w:rsidRPr="00B14602" w:rsidRDefault="00B852EC" w:rsidP="00B852EC">
      <w:pPr>
        <w:autoSpaceDE w:val="0"/>
        <w:autoSpaceDN w:val="0"/>
        <w:adjustRightInd w:val="0"/>
        <w:spacing w:after="0" w:line="240" w:lineRule="auto"/>
        <w:rPr>
          <w:rFonts w:eastAsia="MS Mincho"/>
          <w:i/>
          <w:color w:val="5B9BD5" w:themeColor="accent1"/>
          <w:kern w:val="0"/>
          <w:lang w:eastAsia="ja-JP"/>
        </w:rPr>
      </w:pPr>
      <w:r w:rsidRPr="14786BFD">
        <w:rPr>
          <w:rFonts w:eastAsia="MS Mincho"/>
          <w:i/>
          <w:color w:val="5B9BD5" w:themeColor="accent1"/>
          <w:kern w:val="0"/>
          <w:lang w:eastAsia="ja-JP"/>
        </w:rPr>
        <w:t xml:space="preserve">For IoT-NTN TDD mode, Frame Structure Type-1 is used where </w:t>
      </w:r>
      <w:r>
        <w:rPr>
          <w:rFonts w:eastAsia="MS Mincho"/>
          <w:i/>
          <w:color w:val="5B9BD5" w:themeColor="accent1"/>
          <w:kern w:val="0"/>
          <w:lang w:eastAsia="ja-JP"/>
        </w:rPr>
        <w:t>u</w:t>
      </w:r>
      <w:r w:rsidRPr="14786BFD">
        <w:rPr>
          <w:rFonts w:eastAsia="MS Mincho"/>
          <w:i/>
          <w:color w:val="5B9BD5" w:themeColor="accent1"/>
          <w:kern w:val="0"/>
          <w:lang w:eastAsia="ja-JP"/>
        </w:rPr>
        <w:t>plink and downlink transmissions are separated in the time domain and constitute of</w:t>
      </w:r>
      <w:r w:rsidRPr="00B14602">
        <w:rPr>
          <w:i/>
          <w:iCs/>
          <w:color w:val="5B9BD5" w:themeColor="accent1"/>
        </w:rPr>
        <w:t xml:space="preserve"> set of </w:t>
      </w:r>
      <w:r>
        <w:rPr>
          <w:i/>
          <w:iCs/>
          <w:color w:val="5B9BD5" w:themeColor="accent1"/>
        </w:rPr>
        <w:t>D</w:t>
      </w:r>
      <w:r w:rsidRPr="00B14602">
        <w:rPr>
          <w:i/>
          <w:iCs/>
          <w:color w:val="5B9BD5" w:themeColor="accent1"/>
        </w:rPr>
        <w:t xml:space="preserve"> non-overlapping usable contiguous </w:t>
      </w:r>
      <w:r>
        <w:rPr>
          <w:i/>
          <w:iCs/>
          <w:color w:val="5B9BD5" w:themeColor="accent1"/>
        </w:rPr>
        <w:t>D</w:t>
      </w:r>
      <w:r w:rsidRPr="00B14602">
        <w:rPr>
          <w:i/>
          <w:iCs/>
          <w:color w:val="5B9BD5" w:themeColor="accent1"/>
        </w:rPr>
        <w:t>L subframe</w:t>
      </w:r>
      <w:r>
        <w:rPr>
          <w:i/>
          <w:iCs/>
          <w:color w:val="5B9BD5" w:themeColor="accent1"/>
        </w:rPr>
        <w:t>s</w:t>
      </w:r>
      <w:r w:rsidRPr="00B14602">
        <w:rPr>
          <w:i/>
          <w:iCs/>
          <w:color w:val="5B9BD5" w:themeColor="accent1"/>
        </w:rPr>
        <w:t xml:space="preserve"> and set of </w:t>
      </w:r>
      <w:r>
        <w:rPr>
          <w:i/>
          <w:iCs/>
          <w:color w:val="5B9BD5" w:themeColor="accent1"/>
        </w:rPr>
        <w:t>U</w:t>
      </w:r>
      <w:r w:rsidRPr="00B14602">
        <w:rPr>
          <w:i/>
          <w:iCs/>
          <w:color w:val="5B9BD5" w:themeColor="accent1"/>
        </w:rPr>
        <w:t xml:space="preserve"> usable contiguous </w:t>
      </w:r>
      <w:r>
        <w:rPr>
          <w:i/>
          <w:iCs/>
          <w:color w:val="5B9BD5" w:themeColor="accent1"/>
        </w:rPr>
        <w:t>U</w:t>
      </w:r>
      <w:r w:rsidRPr="00B14602">
        <w:rPr>
          <w:i/>
          <w:iCs/>
          <w:color w:val="5B9BD5" w:themeColor="accent1"/>
        </w:rPr>
        <w:t>L subframe</w:t>
      </w:r>
      <w:r>
        <w:rPr>
          <w:i/>
          <w:iCs/>
          <w:color w:val="5B9BD5" w:themeColor="accent1"/>
        </w:rPr>
        <w:t>s</w:t>
      </w:r>
      <w:r w:rsidRPr="00B14602">
        <w:rPr>
          <w:i/>
          <w:iCs/>
          <w:color w:val="5B9BD5" w:themeColor="accent1"/>
        </w:rPr>
        <w:t xml:space="preserve"> separated by fixed guard period</w:t>
      </w:r>
      <w:r>
        <w:rPr>
          <w:i/>
          <w:iCs/>
          <w:color w:val="5B9BD5" w:themeColor="accent1"/>
        </w:rPr>
        <w:t xml:space="preserve"> (GP)</w:t>
      </w:r>
      <w:r w:rsidRPr="00B14602">
        <w:rPr>
          <w:i/>
          <w:iCs/>
          <w:color w:val="5B9BD5" w:themeColor="accent1"/>
        </w:rPr>
        <w:t xml:space="preserve"> as per</w:t>
      </w:r>
      <w:r>
        <w:rPr>
          <w:i/>
          <w:iCs/>
          <w:color w:val="5B9BD5" w:themeColor="accent1"/>
        </w:rPr>
        <w:t xml:space="preserve"> </w:t>
      </w:r>
      <w:r>
        <w:rPr>
          <w:i/>
          <w:iCs/>
          <w:color w:val="5B9BD5" w:themeColor="accent1"/>
        </w:rPr>
        <w:fldChar w:fldCharType="begin"/>
      </w:r>
      <w:r>
        <w:rPr>
          <w:i/>
          <w:iCs/>
          <w:color w:val="5B9BD5" w:themeColor="accent1"/>
        </w:rPr>
        <w:instrText xml:space="preserve"> REF _Ref189591810 \h </w:instrText>
      </w:r>
      <w:r>
        <w:rPr>
          <w:i/>
          <w:iCs/>
          <w:color w:val="5B9BD5" w:themeColor="accent1"/>
        </w:rPr>
      </w:r>
      <w:r>
        <w:rPr>
          <w:i/>
          <w:iCs/>
          <w:color w:val="5B9BD5" w:themeColor="accent1"/>
        </w:rPr>
        <w:fldChar w:fldCharType="separate"/>
      </w:r>
      <w:r w:rsidR="00917AEC">
        <w:t xml:space="preserve">Figure </w:t>
      </w:r>
      <w:r w:rsidR="00917AEC">
        <w:rPr>
          <w:noProof/>
        </w:rPr>
        <w:t>1</w:t>
      </w:r>
      <w:r>
        <w:rPr>
          <w:i/>
          <w:iCs/>
          <w:color w:val="5B9BD5" w:themeColor="accent1"/>
        </w:rPr>
        <w:fldChar w:fldCharType="end"/>
      </w:r>
      <w:r>
        <w:rPr>
          <w:i/>
          <w:iCs/>
          <w:color w:val="5B9BD5" w:themeColor="accent1"/>
        </w:rPr>
        <w:t>.</w:t>
      </w:r>
      <w:r w:rsidRPr="00B14602">
        <w:rPr>
          <w:i/>
          <w:iCs/>
          <w:color w:val="5B9BD5" w:themeColor="accent1"/>
        </w:rPr>
        <w:t xml:space="preserve"> This pattern is repeated every N radio frames.</w:t>
      </w:r>
      <w:r>
        <w:rPr>
          <w:i/>
          <w:iCs/>
          <w:color w:val="5B9BD5" w:themeColor="accent1"/>
        </w:rPr>
        <w:t xml:space="preserve"> The values of N, D, U, [TBD for GP and start subframe for D] are fixed per IoT-NTN TDD band specified in [TBD]</w:t>
      </w:r>
    </w:p>
    <w:p w14:paraId="214D2983" w14:textId="77777777" w:rsidR="00B852EC" w:rsidRDefault="00B852EC" w:rsidP="00B852EC">
      <w:pPr>
        <w:autoSpaceDE w:val="0"/>
        <w:autoSpaceDN w:val="0"/>
        <w:adjustRightInd w:val="0"/>
        <w:spacing w:after="0" w:line="240" w:lineRule="auto"/>
        <w:rPr>
          <w:rFonts w:eastAsia="MS Mincho" w:cstheme="minorHAnsi"/>
          <w:kern w:val="0"/>
          <w:lang w:eastAsia="ja-JP"/>
        </w:rPr>
      </w:pPr>
    </w:p>
    <w:p w14:paraId="283E3F63" w14:textId="77777777" w:rsidR="00B852EC" w:rsidRDefault="00B852EC" w:rsidP="00B852EC">
      <w:pPr>
        <w:rPr>
          <w:rStyle w:val="d9fyld"/>
          <w:lang w:val="en"/>
        </w:rPr>
      </w:pPr>
      <w:r>
        <w:rPr>
          <w:b/>
        </w:rPr>
        <w:t xml:space="preserve">Proposal 2: </w:t>
      </w:r>
      <w:r>
        <w:t xml:space="preserve">Anchor carrier definitions in 36.300 </w:t>
      </w:r>
      <w:r>
        <w:rPr>
          <w:rStyle w:val="d9fyld"/>
          <w:lang w:val="en"/>
        </w:rPr>
        <w:t>§3 needs updating:</w:t>
      </w:r>
    </w:p>
    <w:p w14:paraId="771286AA" w14:textId="77777777" w:rsidR="00B852EC" w:rsidRPr="00177827" w:rsidRDefault="00B852EC" w:rsidP="00B852EC">
      <w:pPr>
        <w:autoSpaceDE w:val="0"/>
        <w:autoSpaceDN w:val="0"/>
        <w:adjustRightInd w:val="0"/>
        <w:spacing w:after="0" w:line="240" w:lineRule="auto"/>
        <w:rPr>
          <w:rFonts w:eastAsia="MS Mincho" w:cstheme="minorHAnsi"/>
          <w:i/>
          <w:iCs/>
          <w:kern w:val="0"/>
          <w:lang w:eastAsia="ja-JP"/>
        </w:rPr>
      </w:pPr>
      <w:r w:rsidRPr="00177827">
        <w:rPr>
          <w:rFonts w:eastAsia="MS Mincho" w:cstheme="minorHAnsi"/>
          <w:b/>
          <w:bCs/>
          <w:i/>
          <w:iCs/>
          <w:kern w:val="0"/>
          <w:lang w:eastAsia="ja-JP"/>
        </w:rPr>
        <w:lastRenderedPageBreak/>
        <w:t>Anchor carrier</w:t>
      </w:r>
      <w:r w:rsidRPr="00177827">
        <w:rPr>
          <w:rFonts w:eastAsia="MS Mincho" w:cstheme="minorHAnsi"/>
          <w:i/>
          <w:iCs/>
          <w:kern w:val="0"/>
          <w:lang w:eastAsia="ja-JP"/>
        </w:rPr>
        <w:t xml:space="preserve">: in NB-IoT, a carrier where the UE assumes that NPSS/NSSS/NPBCH/SIB-NB for FDD </w:t>
      </w:r>
      <w:r w:rsidRPr="00177827">
        <w:rPr>
          <w:rFonts w:eastAsia="MS Mincho" w:cstheme="minorHAnsi"/>
          <w:i/>
          <w:iCs/>
          <w:color w:val="5B9BD5" w:themeColor="accent1"/>
          <w:kern w:val="0"/>
          <w:lang w:eastAsia="ja-JP"/>
        </w:rPr>
        <w:t>and IoT-NTN TDD</w:t>
      </w:r>
      <w:r w:rsidRPr="00177827">
        <w:rPr>
          <w:rFonts w:eastAsia="MS Mincho" w:cstheme="minorHAnsi"/>
          <w:i/>
          <w:iCs/>
          <w:kern w:val="0"/>
          <w:lang w:eastAsia="ja-JP"/>
        </w:rPr>
        <w:t xml:space="preserve"> or NPSS/NSSS/NPBCH for TDD are transmitted.</w:t>
      </w:r>
    </w:p>
    <w:p w14:paraId="1CC50F76" w14:textId="77777777" w:rsidR="00B852EC" w:rsidRDefault="00B852EC" w:rsidP="00B852EC">
      <w:pPr>
        <w:autoSpaceDE w:val="0"/>
        <w:autoSpaceDN w:val="0"/>
        <w:adjustRightInd w:val="0"/>
        <w:spacing w:after="0" w:line="240" w:lineRule="auto"/>
        <w:rPr>
          <w:rFonts w:eastAsia="MS Mincho" w:cstheme="minorHAnsi"/>
          <w:kern w:val="0"/>
          <w:lang w:eastAsia="ja-JP"/>
        </w:rPr>
      </w:pPr>
    </w:p>
    <w:p w14:paraId="4EEEE454" w14:textId="77777777" w:rsidR="00B852EC" w:rsidRDefault="00B852EC" w:rsidP="00B852EC">
      <w:pPr>
        <w:autoSpaceDE w:val="0"/>
        <w:autoSpaceDN w:val="0"/>
        <w:adjustRightInd w:val="0"/>
        <w:spacing w:after="0" w:line="240" w:lineRule="auto"/>
        <w:rPr>
          <w:rStyle w:val="d9fyld"/>
          <w:lang w:val="en"/>
        </w:rPr>
      </w:pPr>
      <w:r>
        <w:rPr>
          <w:b/>
        </w:rPr>
        <w:t xml:space="preserve">Proposal 3: </w:t>
      </w:r>
      <w:r>
        <w:t xml:space="preserve">In 36.300 </w:t>
      </w:r>
      <w:r>
        <w:rPr>
          <w:rStyle w:val="d9fyld"/>
          <w:lang w:val="en"/>
        </w:rPr>
        <w:t>§23.21 should be updated to reflect that NTN is applicable to both FDD and IoT-NTN TDD system:</w:t>
      </w:r>
    </w:p>
    <w:p w14:paraId="3DBA48C7" w14:textId="77777777" w:rsidR="00B852EC" w:rsidRDefault="00B852EC" w:rsidP="00B852EC">
      <w:pPr>
        <w:autoSpaceDE w:val="0"/>
        <w:autoSpaceDN w:val="0"/>
        <w:adjustRightInd w:val="0"/>
        <w:spacing w:after="0" w:line="240" w:lineRule="auto"/>
        <w:rPr>
          <w:rFonts w:eastAsia="MS Mincho" w:cstheme="minorHAnsi"/>
          <w:i/>
          <w:iCs/>
          <w:kern w:val="0"/>
          <w:lang w:eastAsia="ja-JP"/>
        </w:rPr>
      </w:pPr>
      <w:r w:rsidRPr="00D440C2">
        <w:rPr>
          <w:rFonts w:eastAsia="MS Mincho" w:cstheme="minorHAnsi"/>
          <w:i/>
          <w:iCs/>
          <w:kern w:val="0"/>
          <w:lang w:eastAsia="ja-JP"/>
        </w:rPr>
        <w:t xml:space="preserve">In this release of the specification, NTN is only applicable to FDD </w:t>
      </w:r>
      <w:r w:rsidRPr="00D440C2">
        <w:rPr>
          <w:rFonts w:eastAsia="MS Mincho" w:cstheme="minorHAnsi"/>
          <w:i/>
          <w:iCs/>
          <w:color w:val="5B9BD5" w:themeColor="accent1"/>
          <w:kern w:val="0"/>
          <w:lang w:eastAsia="ja-JP"/>
        </w:rPr>
        <w:t>and IoT-NTN TDD</w:t>
      </w:r>
      <w:r>
        <w:rPr>
          <w:rFonts w:eastAsia="MS Mincho" w:cstheme="minorHAnsi"/>
          <w:i/>
          <w:iCs/>
          <w:kern w:val="0"/>
          <w:lang w:eastAsia="ja-JP"/>
        </w:rPr>
        <w:t xml:space="preserve"> </w:t>
      </w:r>
      <w:r w:rsidRPr="00D440C2">
        <w:rPr>
          <w:rFonts w:eastAsia="MS Mincho" w:cstheme="minorHAnsi"/>
          <w:i/>
          <w:iCs/>
          <w:kern w:val="0"/>
          <w:lang w:eastAsia="ja-JP"/>
        </w:rPr>
        <w:t>sy</w:t>
      </w:r>
      <w:r>
        <w:rPr>
          <w:rFonts w:eastAsia="MS Mincho" w:cstheme="minorHAnsi"/>
          <w:i/>
          <w:iCs/>
          <w:kern w:val="0"/>
          <w:lang w:eastAsia="ja-JP"/>
        </w:rPr>
        <w:t>stem.</w:t>
      </w:r>
    </w:p>
    <w:p w14:paraId="2E86C11A" w14:textId="77777777" w:rsidR="00B852EC" w:rsidRDefault="00B852EC" w:rsidP="00B852EC"/>
    <w:p w14:paraId="36A13A3A" w14:textId="12896606" w:rsidR="001C7794" w:rsidRPr="001C7794" w:rsidRDefault="001C7794" w:rsidP="00B852EC">
      <w:pPr>
        <w:rPr>
          <w:i/>
          <w:iCs/>
        </w:rPr>
      </w:pPr>
      <w:r w:rsidRPr="001C7794">
        <w:rPr>
          <w:i/>
          <w:iCs/>
        </w:rPr>
        <w:t xml:space="preserve">Note: As per RAN2 VC instructions after the </w:t>
      </w:r>
      <w:r w:rsidR="00781454">
        <w:rPr>
          <w:i/>
          <w:iCs/>
        </w:rPr>
        <w:t>RAN2 #129</w:t>
      </w:r>
      <w:r w:rsidRPr="001C7794">
        <w:rPr>
          <w:i/>
          <w:iCs/>
        </w:rPr>
        <w:t xml:space="preserve"> [5], the rapporteur</w:t>
      </w:r>
      <w:r w:rsidR="00DC4B61">
        <w:rPr>
          <w:i/>
          <w:iCs/>
        </w:rPr>
        <w:t xml:space="preserve"> of IOT NTN TDD WI</w:t>
      </w:r>
      <w:r w:rsidRPr="001C7794">
        <w:rPr>
          <w:i/>
          <w:iCs/>
        </w:rPr>
        <w:t xml:space="preserve"> has submitted the above three proposals for consideration into RAN1 120-bis, and these </w:t>
      </w:r>
      <w:r w:rsidR="00CA236D">
        <w:rPr>
          <w:i/>
          <w:iCs/>
        </w:rPr>
        <w:t xml:space="preserve">three </w:t>
      </w:r>
      <w:r w:rsidRPr="001C7794">
        <w:rPr>
          <w:i/>
          <w:iCs/>
        </w:rPr>
        <w:t>proposals brought up here again are simply for completeness.</w:t>
      </w:r>
    </w:p>
    <w:p w14:paraId="02AACEE0" w14:textId="77777777" w:rsidR="00B852EC" w:rsidRDefault="00B852EC" w:rsidP="00B852EC">
      <w:pPr>
        <w:pStyle w:val="Heading2"/>
      </w:pPr>
      <w:r>
        <w:t>Scheduling</w:t>
      </w:r>
    </w:p>
    <w:p w14:paraId="6DCF2557" w14:textId="37614A46" w:rsidR="00B852EC" w:rsidRPr="00786C31" w:rsidRDefault="00B852EC" w:rsidP="00B852EC">
      <w:pPr>
        <w:rPr>
          <w:lang w:eastAsia="en-GB"/>
        </w:rPr>
      </w:pPr>
      <w:r>
        <w:t xml:space="preserve">In this section, we present our views on various scheduling aspects covering MIB-NB, SIB1-NB, SI, NPDCCH, NPDSCH, NPUSCH and NPRACH with IoT-NTN TDD frame pattern. </w:t>
      </w:r>
    </w:p>
    <w:p w14:paraId="3ED85CC4" w14:textId="77777777" w:rsidR="00B852EC" w:rsidRDefault="00B852EC" w:rsidP="00B852EC">
      <w:pPr>
        <w:pStyle w:val="Heading4"/>
      </w:pPr>
      <w:r>
        <w:t>SIB1-NB</w:t>
      </w:r>
    </w:p>
    <w:p w14:paraId="0D6B93D0" w14:textId="6F78129D" w:rsidR="00B852EC" w:rsidRDefault="00B852EC" w:rsidP="00B852EC">
      <w:pPr>
        <w:jc w:val="both"/>
      </w:pPr>
      <w:r>
        <w:t>In NB-IoT FDD mode, SIB1 uses a fixed schedule with a periodicity of 2560ms. It is transmitted on subframe 4 of every other frame and 8 subframes make up one transport block. The starting frame for the first transmission of the SIB1 is derived from the cell PCID.</w:t>
      </w:r>
    </w:p>
    <w:p w14:paraId="73124669" w14:textId="77777777" w:rsidR="00B852EC" w:rsidRDefault="00B852EC" w:rsidP="00B852EC">
      <w:pPr>
        <w:jc w:val="both"/>
      </w:pPr>
      <w:r>
        <w:t xml:space="preserve">The transport block size and the repetition rate of SIB1 is configurable, ranging from 208 to 680 bits, and 4, 8 or 16 block repetitions within a 2560ms period. </w:t>
      </w:r>
    </w:p>
    <w:p w14:paraId="1F241EA9" w14:textId="30FBC902" w:rsidR="00B852EC" w:rsidRDefault="00B852EC" w:rsidP="00B852EC">
      <w:pPr>
        <w:jc w:val="both"/>
      </w:pPr>
      <w:bookmarkStart w:id="15" w:name="_Hlk189235176"/>
      <w:r>
        <w:t xml:space="preserve">The </w:t>
      </w:r>
      <w:bookmarkEnd w:id="15"/>
      <w:r>
        <w:t xml:space="preserve">IoT-NTN TDD frame pattern limits the number of SIB1 subframes a UE can see within a SIB1 periodicity window of 2560ms. </w:t>
      </w:r>
      <w:r>
        <w:fldChar w:fldCharType="begin"/>
      </w:r>
      <w:r>
        <w:instrText xml:space="preserve"> REF _Ref189662004 \h </w:instrText>
      </w:r>
      <w:r>
        <w:fldChar w:fldCharType="separate"/>
      </w:r>
      <w:r w:rsidR="00917AEC">
        <w:t xml:space="preserve">Table </w:t>
      </w:r>
      <w:r w:rsidR="00917AEC">
        <w:rPr>
          <w:noProof/>
        </w:rPr>
        <w:t>1</w:t>
      </w:r>
      <w:r>
        <w:fldChar w:fldCharType="end"/>
      </w:r>
      <w:r>
        <w:t xml:space="preserve"> shows the maximum number of SIB1 subframes that are visible and can be soft combined within a SIB1 periodicity window of 2560ms.</w:t>
      </w:r>
    </w:p>
    <w:tbl>
      <w:tblPr>
        <w:tblStyle w:val="TableGrid"/>
        <w:tblW w:w="0" w:type="auto"/>
        <w:jc w:val="center"/>
        <w:tblLook w:val="04A0" w:firstRow="1" w:lastRow="0" w:firstColumn="1" w:lastColumn="0" w:noHBand="0" w:noVBand="1"/>
      </w:tblPr>
      <w:tblGrid>
        <w:gridCol w:w="2551"/>
        <w:gridCol w:w="4395"/>
      </w:tblGrid>
      <w:tr w:rsidR="00B852EC" w14:paraId="32182199" w14:textId="77777777" w:rsidTr="005A7657">
        <w:trPr>
          <w:jc w:val="center"/>
        </w:trPr>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B8FE41" w14:textId="7A853375" w:rsidR="00B852EC" w:rsidRPr="009F6495" w:rsidRDefault="00B852EC" w:rsidP="005A7657">
            <w:pPr>
              <w:jc w:val="center"/>
              <w:rPr>
                <w:b/>
                <w:bCs/>
                <w:sz w:val="20"/>
                <w:szCs w:val="20"/>
                <w:lang w:val="sv-SE"/>
              </w:rPr>
            </w:pPr>
            <w:r w:rsidRPr="009F6495">
              <w:rPr>
                <w:b/>
                <w:bCs/>
                <w:sz w:val="20"/>
                <w:szCs w:val="20"/>
                <w:lang w:val="sv-SE"/>
              </w:rPr>
              <w:t>SIB1 Repetitions</w:t>
            </w:r>
          </w:p>
        </w:tc>
        <w:tc>
          <w:tcPr>
            <w:tcW w:w="43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FEDAAF" w14:textId="6C6F07A5" w:rsidR="00B852EC" w:rsidRPr="009F6495" w:rsidRDefault="00B852EC" w:rsidP="005A7657">
            <w:pPr>
              <w:jc w:val="both"/>
              <w:rPr>
                <w:b/>
                <w:bCs/>
                <w:sz w:val="20"/>
                <w:szCs w:val="20"/>
                <w:lang w:val="sv-SE"/>
              </w:rPr>
            </w:pPr>
            <w:r w:rsidRPr="009F6495">
              <w:rPr>
                <w:b/>
                <w:bCs/>
                <w:sz w:val="20"/>
                <w:szCs w:val="20"/>
                <w:lang w:val="sv-SE"/>
              </w:rPr>
              <w:t xml:space="preserve">Maximum </w:t>
            </w:r>
            <w:r w:rsidRPr="004A34CC">
              <w:rPr>
                <w:b/>
                <w:bCs/>
                <w:sz w:val="20"/>
                <w:szCs w:val="20"/>
              </w:rPr>
              <w:t>number</w:t>
            </w:r>
            <w:r w:rsidRPr="009F6495">
              <w:rPr>
                <w:b/>
                <w:bCs/>
                <w:sz w:val="20"/>
                <w:szCs w:val="20"/>
                <w:lang w:val="sv-SE"/>
              </w:rPr>
              <w:t xml:space="preserve"> </w:t>
            </w:r>
            <w:proofErr w:type="spellStart"/>
            <w:r w:rsidRPr="009F6495">
              <w:rPr>
                <w:b/>
                <w:bCs/>
                <w:sz w:val="20"/>
                <w:szCs w:val="20"/>
                <w:lang w:val="sv-SE"/>
              </w:rPr>
              <w:t>of</w:t>
            </w:r>
            <w:proofErr w:type="spellEnd"/>
            <w:r w:rsidRPr="009F6495">
              <w:rPr>
                <w:b/>
                <w:bCs/>
                <w:sz w:val="20"/>
                <w:szCs w:val="20"/>
                <w:lang w:val="sv-SE"/>
              </w:rPr>
              <w:t xml:space="preserve"> SIB1 </w:t>
            </w:r>
            <w:proofErr w:type="spellStart"/>
            <w:r w:rsidRPr="009F6495">
              <w:rPr>
                <w:b/>
                <w:bCs/>
                <w:sz w:val="20"/>
                <w:szCs w:val="20"/>
                <w:lang w:val="sv-SE"/>
              </w:rPr>
              <w:t>subframes</w:t>
            </w:r>
            <w:proofErr w:type="spellEnd"/>
          </w:p>
        </w:tc>
      </w:tr>
      <w:tr w:rsidR="00B852EC" w14:paraId="4CC1A5BF" w14:textId="77777777" w:rsidTr="005A7657">
        <w:trPr>
          <w:jc w:val="center"/>
        </w:trPr>
        <w:tc>
          <w:tcPr>
            <w:tcW w:w="2551" w:type="dxa"/>
            <w:tcBorders>
              <w:top w:val="single" w:sz="4" w:space="0" w:color="auto"/>
              <w:left w:val="single" w:sz="4" w:space="0" w:color="auto"/>
              <w:bottom w:val="single" w:sz="4" w:space="0" w:color="auto"/>
              <w:right w:val="single" w:sz="4" w:space="0" w:color="auto"/>
            </w:tcBorders>
            <w:hideMark/>
          </w:tcPr>
          <w:p w14:paraId="62CDC2FF" w14:textId="77777777" w:rsidR="00B852EC" w:rsidRPr="009F6495" w:rsidRDefault="00B852EC" w:rsidP="005A7657">
            <w:pPr>
              <w:jc w:val="center"/>
              <w:rPr>
                <w:sz w:val="20"/>
                <w:szCs w:val="20"/>
                <w:lang w:val="sv-SE"/>
              </w:rPr>
            </w:pPr>
            <w:r w:rsidRPr="009F6495">
              <w:rPr>
                <w:sz w:val="20"/>
                <w:szCs w:val="20"/>
                <w:lang w:val="sv-SE"/>
              </w:rPr>
              <w:t>4</w:t>
            </w:r>
          </w:p>
        </w:tc>
        <w:tc>
          <w:tcPr>
            <w:tcW w:w="4395" w:type="dxa"/>
            <w:tcBorders>
              <w:top w:val="single" w:sz="4" w:space="0" w:color="auto"/>
              <w:left w:val="single" w:sz="4" w:space="0" w:color="auto"/>
              <w:bottom w:val="single" w:sz="4" w:space="0" w:color="auto"/>
              <w:right w:val="single" w:sz="4" w:space="0" w:color="auto"/>
            </w:tcBorders>
            <w:hideMark/>
          </w:tcPr>
          <w:p w14:paraId="0ABE975E" w14:textId="77777777" w:rsidR="00B852EC" w:rsidRPr="009F6495" w:rsidRDefault="00B852EC" w:rsidP="005A7657">
            <w:pPr>
              <w:jc w:val="center"/>
              <w:rPr>
                <w:sz w:val="20"/>
                <w:szCs w:val="20"/>
                <w:lang w:val="sv-SE"/>
              </w:rPr>
            </w:pPr>
            <w:r w:rsidRPr="009F6495">
              <w:rPr>
                <w:sz w:val="20"/>
                <w:szCs w:val="20"/>
                <w:lang w:val="sv-SE"/>
              </w:rPr>
              <w:t>3</w:t>
            </w:r>
          </w:p>
        </w:tc>
      </w:tr>
      <w:tr w:rsidR="00B852EC" w14:paraId="7FEB25C3" w14:textId="77777777" w:rsidTr="005A7657">
        <w:trPr>
          <w:jc w:val="center"/>
        </w:trPr>
        <w:tc>
          <w:tcPr>
            <w:tcW w:w="2551" w:type="dxa"/>
            <w:tcBorders>
              <w:top w:val="single" w:sz="4" w:space="0" w:color="auto"/>
              <w:left w:val="single" w:sz="4" w:space="0" w:color="auto"/>
              <w:bottom w:val="single" w:sz="4" w:space="0" w:color="auto"/>
              <w:right w:val="single" w:sz="4" w:space="0" w:color="auto"/>
            </w:tcBorders>
            <w:hideMark/>
          </w:tcPr>
          <w:p w14:paraId="3C007DDC" w14:textId="77777777" w:rsidR="00B852EC" w:rsidRPr="009F6495" w:rsidRDefault="00B852EC" w:rsidP="005A7657">
            <w:pPr>
              <w:jc w:val="center"/>
              <w:rPr>
                <w:sz w:val="20"/>
                <w:szCs w:val="20"/>
                <w:lang w:val="sv-SE"/>
              </w:rPr>
            </w:pPr>
            <w:r w:rsidRPr="009F6495">
              <w:rPr>
                <w:sz w:val="20"/>
                <w:szCs w:val="20"/>
                <w:lang w:val="sv-SE"/>
              </w:rPr>
              <w:t>8</w:t>
            </w:r>
          </w:p>
        </w:tc>
        <w:tc>
          <w:tcPr>
            <w:tcW w:w="4395" w:type="dxa"/>
            <w:tcBorders>
              <w:top w:val="single" w:sz="4" w:space="0" w:color="auto"/>
              <w:left w:val="single" w:sz="4" w:space="0" w:color="auto"/>
              <w:bottom w:val="single" w:sz="4" w:space="0" w:color="auto"/>
              <w:right w:val="single" w:sz="4" w:space="0" w:color="auto"/>
            </w:tcBorders>
            <w:hideMark/>
          </w:tcPr>
          <w:p w14:paraId="79E922DB" w14:textId="77777777" w:rsidR="00B852EC" w:rsidRPr="009F6495" w:rsidRDefault="00B852EC" w:rsidP="005A7657">
            <w:pPr>
              <w:jc w:val="center"/>
              <w:rPr>
                <w:sz w:val="20"/>
                <w:szCs w:val="20"/>
                <w:lang w:val="sv-SE"/>
              </w:rPr>
            </w:pPr>
            <w:r w:rsidRPr="009F6495">
              <w:rPr>
                <w:sz w:val="20"/>
                <w:szCs w:val="20"/>
                <w:lang w:val="sv-SE"/>
              </w:rPr>
              <w:t>7</w:t>
            </w:r>
          </w:p>
        </w:tc>
      </w:tr>
      <w:tr w:rsidR="00B852EC" w14:paraId="2C1EA806" w14:textId="77777777" w:rsidTr="005A7657">
        <w:trPr>
          <w:jc w:val="center"/>
        </w:trPr>
        <w:tc>
          <w:tcPr>
            <w:tcW w:w="2551" w:type="dxa"/>
            <w:tcBorders>
              <w:top w:val="single" w:sz="4" w:space="0" w:color="auto"/>
              <w:left w:val="single" w:sz="4" w:space="0" w:color="auto"/>
              <w:bottom w:val="single" w:sz="4" w:space="0" w:color="auto"/>
              <w:right w:val="single" w:sz="4" w:space="0" w:color="auto"/>
            </w:tcBorders>
            <w:hideMark/>
          </w:tcPr>
          <w:p w14:paraId="7B14B3EE" w14:textId="77777777" w:rsidR="00B852EC" w:rsidRPr="009F6495" w:rsidRDefault="00B852EC" w:rsidP="005A7657">
            <w:pPr>
              <w:jc w:val="center"/>
              <w:rPr>
                <w:sz w:val="20"/>
                <w:szCs w:val="20"/>
                <w:lang w:val="sv-SE"/>
              </w:rPr>
            </w:pPr>
            <w:r w:rsidRPr="009F6495">
              <w:rPr>
                <w:sz w:val="20"/>
                <w:szCs w:val="20"/>
                <w:lang w:val="sv-SE"/>
              </w:rPr>
              <w:t>16</w:t>
            </w:r>
          </w:p>
        </w:tc>
        <w:tc>
          <w:tcPr>
            <w:tcW w:w="4395" w:type="dxa"/>
            <w:tcBorders>
              <w:top w:val="single" w:sz="4" w:space="0" w:color="auto"/>
              <w:left w:val="single" w:sz="4" w:space="0" w:color="auto"/>
              <w:bottom w:val="single" w:sz="4" w:space="0" w:color="auto"/>
              <w:right w:val="single" w:sz="4" w:space="0" w:color="auto"/>
            </w:tcBorders>
            <w:hideMark/>
          </w:tcPr>
          <w:p w14:paraId="6447A8AC" w14:textId="77777777" w:rsidR="00B852EC" w:rsidRPr="009F6495" w:rsidRDefault="00B852EC" w:rsidP="005A7657">
            <w:pPr>
              <w:keepNext/>
              <w:jc w:val="center"/>
              <w:rPr>
                <w:sz w:val="20"/>
                <w:szCs w:val="20"/>
                <w:lang w:val="sv-SE"/>
              </w:rPr>
            </w:pPr>
            <w:r w:rsidRPr="009F6495">
              <w:rPr>
                <w:sz w:val="20"/>
                <w:szCs w:val="20"/>
                <w:lang w:val="sv-SE"/>
              </w:rPr>
              <w:t>15</w:t>
            </w:r>
          </w:p>
        </w:tc>
      </w:tr>
    </w:tbl>
    <w:p w14:paraId="2F20CA58" w14:textId="133869AD" w:rsidR="00B852EC" w:rsidRPr="009F6495" w:rsidRDefault="00B852EC" w:rsidP="00B852EC">
      <w:pPr>
        <w:pStyle w:val="Caption"/>
      </w:pPr>
      <w:bookmarkStart w:id="16" w:name="_Ref189662004"/>
      <w:r>
        <w:t xml:space="preserve">Table </w:t>
      </w:r>
      <w:fldSimple w:instr=" SEQ Table \* ARABIC ">
        <w:r w:rsidR="00917AEC">
          <w:rPr>
            <w:noProof/>
          </w:rPr>
          <w:t>1</w:t>
        </w:r>
      </w:fldSimple>
      <w:bookmarkEnd w:id="16"/>
      <w:r>
        <w:t xml:space="preserve"> Maximum number of SIB1 subframes visible within SIB1 period of 2560ms in IoT-NTN TDD mode with N=9 and D=8</w:t>
      </w:r>
    </w:p>
    <w:p w14:paraId="17FF557B" w14:textId="431C0AB9" w:rsidR="00B852EC" w:rsidRDefault="00B852EC" w:rsidP="00B852EC">
      <w:r w:rsidRPr="008F7B4A">
        <w:t xml:space="preserve">The link-level simulation results for SIB1-NB decoding performance </w:t>
      </w:r>
      <w:r w:rsidR="00052468">
        <w:t>were</w:t>
      </w:r>
      <w:r w:rsidRPr="008F7B4A">
        <w:t xml:space="preserve"> provided in our contribution paper</w:t>
      </w:r>
      <w:r w:rsidR="00052468">
        <w:t xml:space="preserve"> [4]</w:t>
      </w:r>
      <w:r w:rsidRPr="008F7B4A">
        <w:t xml:space="preserve">, which </w:t>
      </w:r>
      <w:r w:rsidR="00052468">
        <w:t>was</w:t>
      </w:r>
      <w:r w:rsidRPr="008F7B4A">
        <w:t xml:space="preserve"> discussed at RAN1#120. The observations and proposals are captured here.</w:t>
      </w:r>
    </w:p>
    <w:p w14:paraId="397F1C69" w14:textId="763AD73A" w:rsidR="00B852EC" w:rsidRPr="00576E70" w:rsidRDefault="00B852EC" w:rsidP="00B852EC">
      <w:pPr>
        <w:jc w:val="both"/>
      </w:pPr>
      <w:r>
        <w:rPr>
          <w:b/>
        </w:rPr>
        <w:t xml:space="preserve">Observation 1: </w:t>
      </w:r>
      <w:r>
        <w:t>When operating in IoT-NTN TDD mode, the SIB1 repetition of 16 radio frames works even with the maximum allowed transport block size of 680 bits with adequate link budget margin of 3.91 dB and 4.51 dB for LEO-600 and LEO-1200 respectively.</w:t>
      </w:r>
    </w:p>
    <w:p w14:paraId="5C71C1FB" w14:textId="04FC93F6" w:rsidR="00B852EC" w:rsidRDefault="00B852EC" w:rsidP="00B852EC">
      <w:pPr>
        <w:jc w:val="both"/>
      </w:pPr>
      <w:r>
        <w:rPr>
          <w:b/>
        </w:rPr>
        <w:t xml:space="preserve">Observation 2: </w:t>
      </w:r>
      <w:r>
        <w:t>When operating in IoT-NTN TDD mode, SIB1 repetition pattern should be configured as 16 radio frames to allow every alternate active downlink opportunity to carry SIB1 subframes for optimal SIB1 decoding performance and acquisition time.</w:t>
      </w:r>
    </w:p>
    <w:p w14:paraId="132BB239" w14:textId="55097E87" w:rsidR="00B852EC" w:rsidRDefault="00B852EC" w:rsidP="00B852EC">
      <w:pPr>
        <w:jc w:val="both"/>
      </w:pPr>
      <w:r>
        <w:rPr>
          <w:b/>
        </w:rPr>
        <w:lastRenderedPageBreak/>
        <w:t xml:space="preserve">Observation 3: </w:t>
      </w:r>
      <w:r>
        <w:t xml:space="preserve">When operating in IoT-NTN TDD mode, with SIB1 repetition pattern of every 16 RFs, maximum delay in receiving SIB1 is 2520ms. </w:t>
      </w:r>
    </w:p>
    <w:p w14:paraId="0E60E7BD" w14:textId="38A612C8" w:rsidR="00B852EC" w:rsidRPr="00C6647A" w:rsidRDefault="00B852EC" w:rsidP="00B852EC">
      <w:r>
        <w:rPr>
          <w:b/>
        </w:rPr>
        <w:t xml:space="preserve">Proposal 4: </w:t>
      </w:r>
      <w:r>
        <w:t>When operating in IoT-NTN TDD mode, there is no need to update the SIB1 scheduling mechanism in the existing specifications, except for disabling transmissions during downlink inactive time.</w:t>
      </w:r>
    </w:p>
    <w:p w14:paraId="36A6E586" w14:textId="77777777" w:rsidR="00B852EC" w:rsidRDefault="00B852EC" w:rsidP="00B852EC">
      <w:pPr>
        <w:pStyle w:val="Heading4"/>
      </w:pPr>
      <w:r>
        <w:t>System Information (SI) Scheduling</w:t>
      </w:r>
    </w:p>
    <w:p w14:paraId="3BC0116F" w14:textId="52FE9C32" w:rsidR="00B852EC" w:rsidRPr="00A15511" w:rsidRDefault="00B852EC" w:rsidP="00B852EC">
      <w:r>
        <w:t xml:space="preserve">In RAN1#120 it is concluded that, SI scheduling aspect is decided by RAN2.  </w:t>
      </w:r>
    </w:p>
    <w:tbl>
      <w:tblPr>
        <w:tblStyle w:val="TableGrid"/>
        <w:tblW w:w="0" w:type="auto"/>
        <w:tblLook w:val="04A0" w:firstRow="1" w:lastRow="0" w:firstColumn="1" w:lastColumn="0" w:noHBand="0" w:noVBand="1"/>
      </w:tblPr>
      <w:tblGrid>
        <w:gridCol w:w="9061"/>
      </w:tblGrid>
      <w:tr w:rsidR="00B852EC" w14:paraId="722283D2" w14:textId="77777777" w:rsidTr="005A7657">
        <w:tc>
          <w:tcPr>
            <w:tcW w:w="9061" w:type="dxa"/>
            <w:tcBorders>
              <w:top w:val="single" w:sz="4" w:space="0" w:color="auto"/>
              <w:left w:val="single" w:sz="4" w:space="0" w:color="auto"/>
              <w:bottom w:val="single" w:sz="4" w:space="0" w:color="auto"/>
              <w:right w:val="single" w:sz="4" w:space="0" w:color="auto"/>
            </w:tcBorders>
            <w:hideMark/>
          </w:tcPr>
          <w:p w14:paraId="52699B4D" w14:textId="77777777" w:rsidR="00B852EC" w:rsidRDefault="00B852EC" w:rsidP="005A7657">
            <w:pPr>
              <w:spacing w:after="0"/>
              <w:rPr>
                <w:bCs/>
              </w:rPr>
            </w:pPr>
            <w:r>
              <w:rPr>
                <w:bCs/>
              </w:rPr>
              <w:t>As per RAN1#120:</w:t>
            </w:r>
          </w:p>
          <w:p w14:paraId="3877B9DB" w14:textId="77777777" w:rsidR="00B852EC" w:rsidRPr="00981988" w:rsidRDefault="00B852EC" w:rsidP="005A7657">
            <w:pPr>
              <w:spacing w:after="0"/>
              <w:rPr>
                <w:b/>
                <w:bCs/>
              </w:rPr>
            </w:pPr>
            <w:r w:rsidRPr="00981988">
              <w:rPr>
                <w:b/>
                <w:bCs/>
              </w:rPr>
              <w:t>Conclusion</w:t>
            </w:r>
          </w:p>
          <w:p w14:paraId="6421DB13" w14:textId="77777777" w:rsidR="00B852EC" w:rsidRDefault="00B852EC" w:rsidP="005A7657">
            <w:pPr>
              <w:spacing w:after="0"/>
              <w:rPr>
                <w:bCs/>
              </w:rPr>
            </w:pPr>
            <w:r w:rsidRPr="00981988">
              <w:rPr>
                <w:bCs/>
              </w:rPr>
              <w:t>It is RAN1’s understanding that the issue of scheduling and transmitting SI messages in the presence of non-D subframes will be solved mainly (or completely) by RAN2 specifications. RAN1 may discuss potential impact on RAN1 specifications, if any.</w:t>
            </w:r>
          </w:p>
          <w:p w14:paraId="01DE63EA" w14:textId="77777777" w:rsidR="00B852EC" w:rsidRDefault="00B852EC" w:rsidP="005A7657">
            <w:pPr>
              <w:spacing w:after="0"/>
              <w:rPr>
                <w:bCs/>
              </w:rPr>
            </w:pPr>
          </w:p>
          <w:p w14:paraId="4BABACB9" w14:textId="77777777" w:rsidR="00B852EC" w:rsidRDefault="00B852EC" w:rsidP="005A7657">
            <w:pPr>
              <w:rPr>
                <w:rFonts w:ascii="Times New Roman" w:eastAsia="SimSun" w:hAnsi="Times New Roman" w:cs="Times New Roman"/>
                <w:kern w:val="0"/>
                <w:szCs w:val="20"/>
                <w:lang w:eastAsia="zh-CN"/>
              </w:rPr>
            </w:pPr>
            <w:r>
              <w:rPr>
                <w:rFonts w:eastAsia="SimSun"/>
                <w:bCs/>
                <w:szCs w:val="20"/>
                <w:highlight w:val="green"/>
                <w:lang w:eastAsia="zh-CN"/>
              </w:rPr>
              <w:t>Agreement</w:t>
            </w:r>
          </w:p>
          <w:p w14:paraId="140E0F34" w14:textId="77777777" w:rsidR="00B852EC" w:rsidRDefault="00B852EC" w:rsidP="005A7657">
            <w:pPr>
              <w:rPr>
                <w:rFonts w:eastAsia="SimSun"/>
                <w:bCs/>
                <w:szCs w:val="20"/>
                <w:lang w:eastAsia="zh-CN"/>
              </w:rPr>
            </w:pPr>
            <w:r>
              <w:rPr>
                <w:rFonts w:eastAsia="SimSun"/>
                <w:bCs/>
                <w:szCs w:val="20"/>
                <w:lang w:eastAsia="zh-CN"/>
              </w:rPr>
              <w:t>The non-D NB-IoT subframes are not considered by the UE as “NB-IoT DL subframes” from the specifications</w:t>
            </w:r>
          </w:p>
          <w:p w14:paraId="7A69E7C6" w14:textId="77777777" w:rsidR="00B852EC" w:rsidRDefault="00B852EC" w:rsidP="005A7657">
            <w:pPr>
              <w:pStyle w:val="ListParagraph"/>
              <w:numPr>
                <w:ilvl w:val="0"/>
                <w:numId w:val="25"/>
              </w:numPr>
              <w:spacing w:after="0" w:line="240" w:lineRule="auto"/>
              <w:rPr>
                <w:rFonts w:eastAsia="Times New Roman"/>
                <w:bCs/>
                <w:szCs w:val="20"/>
                <w:lang w:eastAsia="zh-CN"/>
              </w:rPr>
            </w:pPr>
            <w:r>
              <w:rPr>
                <w:bCs/>
                <w:szCs w:val="20"/>
                <w:lang w:eastAsia="zh-CN"/>
              </w:rPr>
              <w:t>NPDCCH / NPDSCH (not containing SI) are mapped as per current specifications.</w:t>
            </w:r>
          </w:p>
          <w:p w14:paraId="4BED8560" w14:textId="77777777" w:rsidR="00B852EC" w:rsidRPr="00A15511" w:rsidRDefault="00B852EC" w:rsidP="005A7657">
            <w:pPr>
              <w:spacing w:after="0"/>
              <w:rPr>
                <w:bCs/>
              </w:rPr>
            </w:pPr>
          </w:p>
        </w:tc>
      </w:tr>
    </w:tbl>
    <w:p w14:paraId="31280839" w14:textId="77777777" w:rsidR="00B852EC" w:rsidRPr="00A15511" w:rsidRDefault="00B852EC" w:rsidP="00B852EC"/>
    <w:p w14:paraId="67D05323" w14:textId="562B5D3E" w:rsidR="00B852EC" w:rsidRDefault="00B852EC" w:rsidP="00B852EC">
      <w:r>
        <w:t xml:space="preserve">The SI messages are transmitted within periodically occurring time domain windows called SI-windows using scheduling information provided in SIB1. Each SI message is associated with a SI-window and the SI-windows of different SI messages do not overlap. </w:t>
      </w:r>
    </w:p>
    <w:p w14:paraId="3E125D27" w14:textId="77777777" w:rsidR="00B852EC" w:rsidRDefault="00B852EC" w:rsidP="00B852EC">
      <w:r>
        <w:t>Within the SI-window, the corresponding SI message can be transmitted several times over 2 or 8 consecutive NB-IoT downlink subframes depending on TBS. Any TBS higher than 120 bits uses 8 consecutive NB-IoT downlink subframes.</w:t>
      </w:r>
    </w:p>
    <w:p w14:paraId="618C692C" w14:textId="77777777" w:rsidR="00B852EC" w:rsidRDefault="00B852EC" w:rsidP="00B852EC">
      <w:r>
        <w:t xml:space="preserve">Every SI window starts at subframe#0 which gets postponed to subframe#1 as subframe#0 is reserved for NPBCH. </w:t>
      </w:r>
    </w:p>
    <w:p w14:paraId="62ABAC2D" w14:textId="77777777" w:rsidR="00B852EC" w:rsidRPr="00C81560" w:rsidRDefault="00B852EC" w:rsidP="00B852EC">
      <w:r>
        <w:t xml:space="preserve">With IoT-NTN TDD mode frame pattern, it is possible that the SI window start time falls in the inactive downlink time. This can be resolved by postponing the SI window to the next active downlink opportunity. </w:t>
      </w:r>
    </w:p>
    <w:p w14:paraId="6EF92977" w14:textId="77777777" w:rsidR="00B852EC" w:rsidRDefault="00B852EC" w:rsidP="00B852EC">
      <w:pPr>
        <w:jc w:val="both"/>
        <w:rPr>
          <w:b/>
        </w:rPr>
      </w:pPr>
      <w:r>
        <w:rPr>
          <w:b/>
        </w:rPr>
        <w:t xml:space="preserve">Observation 4: </w:t>
      </w:r>
      <w:r>
        <w:t>With the IoT-NTN TDD mode frame pattern, it is possible for the SI window start time to fall within the inactive downlink period.</w:t>
      </w:r>
    </w:p>
    <w:p w14:paraId="67B8A261" w14:textId="77777777" w:rsidR="00B852EC" w:rsidRDefault="00B852EC" w:rsidP="00B852EC">
      <w:pPr>
        <w:jc w:val="both"/>
      </w:pPr>
      <w:r>
        <w:rPr>
          <w:b/>
        </w:rPr>
        <w:t xml:space="preserve">Proposal 5: </w:t>
      </w:r>
      <w:r>
        <w:t>In IoT-NTN TDD mode, if start of the SI window falls within the downlink inactive time, it shall be postponed to the next downlink active time.</w:t>
      </w:r>
    </w:p>
    <w:p w14:paraId="313A4FA9" w14:textId="77777777" w:rsidR="00B852EC" w:rsidRDefault="00B852EC" w:rsidP="00B852EC">
      <w:pPr>
        <w:jc w:val="both"/>
        <w:rPr>
          <w:b/>
        </w:rPr>
      </w:pPr>
      <w:r>
        <w:rPr>
          <w:b/>
        </w:rPr>
        <w:lastRenderedPageBreak/>
        <w:t xml:space="preserve">Observation 5: </w:t>
      </w:r>
      <w:r>
        <w:t>With IoT-NTN TDD mode frame pattern, it is not possible to transmit all 8 subframes of SI transport blocks within a single downlink active time opportunity when SI TBS is greater than 120 bits.</w:t>
      </w:r>
    </w:p>
    <w:p w14:paraId="250ED9DE" w14:textId="77777777" w:rsidR="00B852EC" w:rsidRDefault="00B852EC" w:rsidP="00B852EC">
      <w:r>
        <w:rPr>
          <w:b/>
        </w:rPr>
        <w:t xml:space="preserve">Proposal 6: </w:t>
      </w:r>
      <w:r>
        <w:t>In IoT-NTN TDD mode, subframes from a single repetition of the SI transmission shall be allowed to be postponed to the next downlink active time opportunity.</w:t>
      </w:r>
    </w:p>
    <w:p w14:paraId="45C8DA76" w14:textId="77777777" w:rsidR="00B852EC" w:rsidRDefault="00B852EC" w:rsidP="00B852EC">
      <w:pPr>
        <w:pStyle w:val="Heading5"/>
      </w:pPr>
      <w:r>
        <w:t>Overlap Within SI Window</w:t>
      </w:r>
    </w:p>
    <w:p w14:paraId="4571BF47" w14:textId="7DE92D49" w:rsidR="00B852EC" w:rsidRDefault="00B852EC" w:rsidP="00B852EC">
      <w:pPr>
        <w:pStyle w:val="BodyText"/>
      </w:pPr>
      <w:r>
        <w:t xml:space="preserve">SI transmission postponement to the next active downlink opportunity could result in overlap with the next repetitions within the SI window. This can be resolved by truncating SI transport block transmission if it overlaps with the next SI repetition. As illustrated in </w:t>
      </w:r>
      <w:r>
        <w:fldChar w:fldCharType="begin"/>
      </w:r>
      <w:r>
        <w:instrText xml:space="preserve"> REF _Ref188950160 \h </w:instrText>
      </w:r>
      <w:r>
        <w:fldChar w:fldCharType="separate"/>
      </w:r>
      <w:r w:rsidR="00917AEC">
        <w:t xml:space="preserve">Figure </w:t>
      </w:r>
      <w:r w:rsidR="00917AEC">
        <w:rPr>
          <w:noProof/>
        </w:rPr>
        <w:t>2</w:t>
      </w:r>
      <w:r>
        <w:fldChar w:fldCharType="end"/>
      </w:r>
      <w:r>
        <w:t>, transmission of first repetition gets truncated at SFN 8 where start of second repetition is scheduled. Thus, next downlink active time carries subframes from the second repetition instead of carrying the postponed last three subframes of the first repetition.</w:t>
      </w:r>
    </w:p>
    <w:p w14:paraId="37C3DB8A" w14:textId="77777777" w:rsidR="00B852EC" w:rsidRDefault="00B852EC" w:rsidP="00B852EC">
      <w:pPr>
        <w:keepNext/>
        <w:jc w:val="center"/>
      </w:pPr>
      <w:r w:rsidRPr="00BE745F">
        <w:rPr>
          <w:noProof/>
        </w:rPr>
        <w:drawing>
          <wp:inline distT="0" distB="0" distL="0" distR="0" wp14:anchorId="77E8C459" wp14:editId="37C1807F">
            <wp:extent cx="6122035" cy="2781300"/>
            <wp:effectExtent l="0" t="0" r="0" b="0"/>
            <wp:docPr id="836909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09319" name=""/>
                    <pic:cNvPicPr/>
                  </pic:nvPicPr>
                  <pic:blipFill>
                    <a:blip r:embed="rId12"/>
                    <a:stretch>
                      <a:fillRect/>
                    </a:stretch>
                  </pic:blipFill>
                  <pic:spPr>
                    <a:xfrm>
                      <a:off x="0" y="0"/>
                      <a:ext cx="6122035" cy="2781300"/>
                    </a:xfrm>
                    <a:prstGeom prst="rect">
                      <a:avLst/>
                    </a:prstGeom>
                  </pic:spPr>
                </pic:pic>
              </a:graphicData>
            </a:graphic>
          </wp:inline>
        </w:drawing>
      </w:r>
    </w:p>
    <w:p w14:paraId="6FCA0151" w14:textId="3ABF7DEA" w:rsidR="00B852EC" w:rsidRDefault="00B852EC" w:rsidP="00B852EC">
      <w:pPr>
        <w:pStyle w:val="Caption"/>
      </w:pPr>
      <w:bookmarkStart w:id="17" w:name="_Ref188950160"/>
      <w:r>
        <w:t xml:space="preserve">Figure </w:t>
      </w:r>
      <w:fldSimple w:instr=" SEQ Figure \* ARABIC ">
        <w:r w:rsidR="00917AEC">
          <w:rPr>
            <w:noProof/>
          </w:rPr>
          <w:t>2</w:t>
        </w:r>
      </w:fldSimple>
      <w:bookmarkEnd w:id="17"/>
      <w:r>
        <w:t xml:space="preserve"> </w:t>
      </w:r>
      <w:r w:rsidRPr="00FE0DDE">
        <w:t>Truncation of SI repetition with repetition pattern every 8th radio frame</w:t>
      </w:r>
    </w:p>
    <w:p w14:paraId="33A16581" w14:textId="77777777" w:rsidR="00B852EC" w:rsidRPr="00A15511" w:rsidRDefault="00B852EC" w:rsidP="00B852EC">
      <w:r w:rsidRPr="00FC2145">
        <w:t>In case of overlap, truncating the overlapped part of the first transmission is preferred over allowing the first transmission and disabling the initial overlapped part of the second transmission. This approach simplifies UE implementation, as it can schedule receiving the next SI message from the current time without needing to check past SI transmissions that may have been postponed.</w:t>
      </w:r>
    </w:p>
    <w:p w14:paraId="51BFE10D" w14:textId="77777777" w:rsidR="00B852EC" w:rsidRDefault="00B852EC" w:rsidP="00B852EC">
      <w:pPr>
        <w:jc w:val="both"/>
      </w:pPr>
      <w:r>
        <w:rPr>
          <w:b/>
        </w:rPr>
        <w:t xml:space="preserve">Observation 6: </w:t>
      </w:r>
      <w:r>
        <w:t>With the IoT-NTN TDD mode frame pattern, postponement of the transmission of SI transport block to the next downlink active time can result in overlap with the transmission of the next SI repetition when N=9 and SI repetition pattern is configured as lower than every 16</w:t>
      </w:r>
      <w:r>
        <w:rPr>
          <w:vertAlign w:val="superscript"/>
        </w:rPr>
        <w:t>th</w:t>
      </w:r>
      <w:r>
        <w:t xml:space="preserve"> radio frame.</w:t>
      </w:r>
    </w:p>
    <w:p w14:paraId="49298BBC" w14:textId="77777777" w:rsidR="00B852EC" w:rsidRDefault="00B852EC" w:rsidP="00B852EC">
      <w:pPr>
        <w:jc w:val="both"/>
      </w:pPr>
      <w:r>
        <w:rPr>
          <w:b/>
        </w:rPr>
        <w:t xml:space="preserve">Observation 7: </w:t>
      </w:r>
      <w:r>
        <w:t>With the IoT-NTN TDD mode frame pattern, postponement of the transmission of SI transport block to the next downlink active time results in no overlap when N=9 and the SI repetition pattern is configured as every 16</w:t>
      </w:r>
      <w:r>
        <w:rPr>
          <w:vertAlign w:val="superscript"/>
        </w:rPr>
        <w:t>th</w:t>
      </w:r>
      <w:r>
        <w:t xml:space="preserve"> radio frame.</w:t>
      </w:r>
    </w:p>
    <w:p w14:paraId="59E2873C" w14:textId="77777777" w:rsidR="00B852EC" w:rsidRDefault="00B852EC" w:rsidP="00B852EC">
      <w:r>
        <w:rPr>
          <w:b/>
        </w:rPr>
        <w:lastRenderedPageBreak/>
        <w:t xml:space="preserve">Proposal 7: </w:t>
      </w:r>
      <w:r>
        <w:t>In IoT-NTN TDD mode, SI transmissions shall be truncated if, due to the proposed postponement, they overlap with the transmission of the next SI repetition within the SI window.</w:t>
      </w:r>
    </w:p>
    <w:p w14:paraId="626ADDC4" w14:textId="77777777" w:rsidR="00B852EC" w:rsidRDefault="00B852EC" w:rsidP="00B852EC">
      <w:pPr>
        <w:pStyle w:val="Heading5"/>
      </w:pPr>
      <w:r>
        <w:t>SI Window Overflow</w:t>
      </w:r>
    </w:p>
    <w:p w14:paraId="38CA814B" w14:textId="26E60BAC" w:rsidR="00B852EC" w:rsidRDefault="00B852EC" w:rsidP="00B852EC">
      <w:pPr>
        <w:pStyle w:val="BodyText"/>
      </w:pPr>
      <w:r>
        <w:t xml:space="preserve">The SI transmission postponement to the next downlink active time could also result in SI transmission in the subframes outside of the configured SI window. This could be resolved by proposing changes in </w:t>
      </w:r>
      <w:sdt>
        <w:sdtPr>
          <w:id w:val="1756246334"/>
          <w:citation/>
        </w:sdtPr>
        <w:sdtContent>
          <w:r>
            <w:fldChar w:fldCharType="begin"/>
          </w:r>
          <w:r>
            <w:instrText xml:space="preserve"> CITATION 363401 \l 2057 </w:instrText>
          </w:r>
          <w:r>
            <w:fldChar w:fldCharType="separate"/>
          </w:r>
          <w:r w:rsidR="00917AEC">
            <w:rPr>
              <w:noProof/>
            </w:rPr>
            <w:t>(36.331, 18.1.0)</w:t>
          </w:r>
          <w:r>
            <w:fldChar w:fldCharType="end"/>
          </w:r>
        </w:sdtContent>
      </w:sdt>
      <w:r>
        <w:t xml:space="preserve"> to truncate any SI transmissions outside of the SI transmission window as shown in </w:t>
      </w:r>
      <w:r>
        <w:fldChar w:fldCharType="begin"/>
      </w:r>
      <w:r>
        <w:instrText xml:space="preserve"> REF _Ref188950194 \h </w:instrText>
      </w:r>
      <w:r>
        <w:fldChar w:fldCharType="separate"/>
      </w:r>
      <w:r w:rsidR="00917AEC">
        <w:t xml:space="preserve">Figure </w:t>
      </w:r>
      <w:r w:rsidR="00917AEC">
        <w:rPr>
          <w:noProof/>
        </w:rPr>
        <w:t>3</w:t>
      </w:r>
      <w:r>
        <w:fldChar w:fldCharType="end"/>
      </w:r>
    </w:p>
    <w:p w14:paraId="4BCEF2F6" w14:textId="77777777" w:rsidR="00B852EC" w:rsidRDefault="00B852EC" w:rsidP="00B852EC">
      <w:pPr>
        <w:keepNext/>
        <w:jc w:val="center"/>
      </w:pPr>
      <w:r w:rsidRPr="00BE745F">
        <w:rPr>
          <w:noProof/>
        </w:rPr>
        <w:drawing>
          <wp:inline distT="0" distB="0" distL="0" distR="0" wp14:anchorId="156B4CD9" wp14:editId="506FE9F6">
            <wp:extent cx="5480957" cy="2905629"/>
            <wp:effectExtent l="0" t="0" r="0" b="0"/>
            <wp:docPr id="2264294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29402" name=""/>
                    <pic:cNvPicPr/>
                  </pic:nvPicPr>
                  <pic:blipFill>
                    <a:blip r:embed="rId13"/>
                    <a:stretch>
                      <a:fillRect/>
                    </a:stretch>
                  </pic:blipFill>
                  <pic:spPr>
                    <a:xfrm>
                      <a:off x="0" y="0"/>
                      <a:ext cx="5490294" cy="2910579"/>
                    </a:xfrm>
                    <a:prstGeom prst="rect">
                      <a:avLst/>
                    </a:prstGeom>
                  </pic:spPr>
                </pic:pic>
              </a:graphicData>
            </a:graphic>
          </wp:inline>
        </w:drawing>
      </w:r>
    </w:p>
    <w:p w14:paraId="5D4BA39A" w14:textId="2386FFA4" w:rsidR="00B852EC" w:rsidRDefault="00B852EC" w:rsidP="00B852EC">
      <w:pPr>
        <w:pStyle w:val="Caption"/>
      </w:pPr>
      <w:bookmarkStart w:id="18" w:name="_Ref188950194"/>
      <w:r>
        <w:t xml:space="preserve">Figure </w:t>
      </w:r>
      <w:fldSimple w:instr=" SEQ Figure \* ARABIC ">
        <w:r w:rsidR="00917AEC">
          <w:rPr>
            <w:noProof/>
          </w:rPr>
          <w:t>3</w:t>
        </w:r>
      </w:fldSimple>
      <w:bookmarkEnd w:id="18"/>
      <w:r>
        <w:t xml:space="preserve"> </w:t>
      </w:r>
      <w:r w:rsidRPr="007540C8">
        <w:t>SI window overflow shall not be allowed</w:t>
      </w:r>
    </w:p>
    <w:p w14:paraId="39D03BCA" w14:textId="77777777" w:rsidR="00B852EC" w:rsidRDefault="00B852EC" w:rsidP="00B852EC">
      <w:pPr>
        <w:jc w:val="both"/>
        <w:rPr>
          <w:b/>
        </w:rPr>
      </w:pPr>
      <w:r>
        <w:rPr>
          <w:b/>
        </w:rPr>
        <w:t xml:space="preserve">Observation 8: </w:t>
      </w:r>
      <w:r>
        <w:t>With IoT-NTN TDD mode frame pattern, the postponement of transmission of SI transport block to the next downlink active time can result in SI transmission in the subframes outside of the configured SI window.</w:t>
      </w:r>
    </w:p>
    <w:p w14:paraId="04927CFE" w14:textId="77777777" w:rsidR="00B852EC" w:rsidRDefault="00B852EC" w:rsidP="00B852EC">
      <w:pPr>
        <w:jc w:val="both"/>
      </w:pPr>
      <w:r>
        <w:rPr>
          <w:b/>
        </w:rPr>
        <w:t xml:space="preserve">Proposal 8: </w:t>
      </w:r>
      <w:r>
        <w:t>In IoT-NTN TDD mode, SI transmission shall be truncated if, due to the proposed SI transmission postponement, it overflows the configured SI window length.</w:t>
      </w:r>
    </w:p>
    <w:p w14:paraId="02D1D021" w14:textId="77777777" w:rsidR="00B852EC" w:rsidRDefault="00B852EC" w:rsidP="00B852EC">
      <w:pPr>
        <w:jc w:val="both"/>
      </w:pPr>
      <w:r>
        <w:rPr>
          <w:b/>
        </w:rPr>
        <w:t xml:space="preserve">Proposal 9: </w:t>
      </w:r>
      <w:r>
        <w:t xml:space="preserve">In IoT-NTN TDD mode, by making modifications to the SI scheduling mechanism, all SI messages can be delivered to the UE. This can be achieved by updating 36.331 </w:t>
      </w:r>
      <w:r>
        <w:rPr>
          <w:rStyle w:val="d9fyld"/>
          <w:lang w:val="en"/>
        </w:rPr>
        <w:t>§5.2.3a</w:t>
      </w:r>
      <w:r>
        <w:t xml:space="preserve"> as follows:</w:t>
      </w:r>
    </w:p>
    <w:p w14:paraId="462A29C6" w14:textId="77777777" w:rsidR="00B852EC" w:rsidRPr="002E6BCF" w:rsidRDefault="00B852EC" w:rsidP="00B852EC">
      <w:pPr>
        <w:pStyle w:val="BodyText"/>
        <w:rPr>
          <w:i/>
          <w:iCs/>
          <w:color w:val="000000" w:themeColor="text1"/>
        </w:rPr>
      </w:pPr>
      <w:r w:rsidRPr="002E6BCF">
        <w:rPr>
          <w:i/>
          <w:iCs/>
          <w:color w:val="000000" w:themeColor="text1"/>
        </w:rPr>
        <w:t xml:space="preserve">1&gt; if the UE is a NB-IoT UE: </w:t>
      </w:r>
    </w:p>
    <w:p w14:paraId="5A917C14" w14:textId="77777777" w:rsidR="00B852EC" w:rsidRDefault="00B852EC" w:rsidP="00B852EC">
      <w:pPr>
        <w:pStyle w:val="BodyText"/>
        <w:ind w:left="567" w:hanging="284"/>
        <w:rPr>
          <w:i/>
          <w:iCs/>
          <w:color w:val="000000" w:themeColor="text1"/>
        </w:rPr>
      </w:pPr>
      <w:r w:rsidRPr="002E6BCF">
        <w:rPr>
          <w:i/>
          <w:iCs/>
          <w:color w:val="000000" w:themeColor="text1"/>
        </w:rPr>
        <w:t>2&gt;</w:t>
      </w:r>
      <w:r w:rsidRPr="002E6BCF">
        <w:rPr>
          <w:i/>
          <w:iCs/>
          <w:color w:val="000000" w:themeColor="text1"/>
        </w:rPr>
        <w:tab/>
        <w:t xml:space="preserve">receive and accumulate SI message transmissions on DL-SCH from the start of the SI-window and continue until the end of the SI-window whose absolute length in time is given by </w:t>
      </w:r>
      <w:proofErr w:type="spellStart"/>
      <w:r w:rsidRPr="002E6BCF">
        <w:rPr>
          <w:i/>
          <w:iCs/>
          <w:color w:val="000000" w:themeColor="text1"/>
        </w:rPr>
        <w:t>si-WindowLength</w:t>
      </w:r>
      <w:proofErr w:type="spellEnd"/>
      <w:r w:rsidRPr="002E6BCF">
        <w:rPr>
          <w:i/>
          <w:iCs/>
          <w:color w:val="000000" w:themeColor="text1"/>
        </w:rPr>
        <w:t xml:space="preserve">, starting from the radio frames as provided in </w:t>
      </w:r>
      <w:proofErr w:type="spellStart"/>
      <w:r w:rsidRPr="002E6BCF">
        <w:rPr>
          <w:i/>
          <w:iCs/>
          <w:color w:val="000000" w:themeColor="text1"/>
        </w:rPr>
        <w:t>si-RepetitionPattern</w:t>
      </w:r>
      <w:proofErr w:type="spellEnd"/>
      <w:r w:rsidRPr="002E6BCF">
        <w:rPr>
          <w:i/>
          <w:iCs/>
          <w:color w:val="000000" w:themeColor="text1"/>
        </w:rPr>
        <w:t xml:space="preserve"> and in subframes as provided in </w:t>
      </w:r>
      <w:proofErr w:type="spellStart"/>
      <w:r w:rsidRPr="002E6BCF">
        <w:rPr>
          <w:i/>
          <w:iCs/>
          <w:color w:val="000000" w:themeColor="text1"/>
        </w:rPr>
        <w:t>downlinkBitmap</w:t>
      </w:r>
      <w:proofErr w:type="spellEnd"/>
      <w:r w:rsidRPr="002E6BCF">
        <w:rPr>
          <w:i/>
          <w:iCs/>
          <w:color w:val="000000" w:themeColor="text1"/>
        </w:rPr>
        <w:t xml:space="preserve">, or until successful decoding of the accumulated SI message transmissions excluding the subframes used for transmission of NPSS, NSSS, </w:t>
      </w:r>
      <w:proofErr w:type="spellStart"/>
      <w:r w:rsidRPr="002E6BCF">
        <w:rPr>
          <w:i/>
          <w:iCs/>
          <w:color w:val="000000" w:themeColor="text1"/>
        </w:rPr>
        <w:t>MasterInformationBlock</w:t>
      </w:r>
      <w:proofErr w:type="spellEnd"/>
      <w:r w:rsidRPr="002E6BCF">
        <w:rPr>
          <w:i/>
          <w:iCs/>
          <w:color w:val="000000" w:themeColor="text1"/>
        </w:rPr>
        <w:t xml:space="preserve">-NB/ </w:t>
      </w:r>
      <w:proofErr w:type="spellStart"/>
      <w:r w:rsidRPr="002E6BCF">
        <w:rPr>
          <w:i/>
          <w:iCs/>
          <w:color w:val="000000" w:themeColor="text1"/>
        </w:rPr>
        <w:t>MasterInformationBlock</w:t>
      </w:r>
      <w:proofErr w:type="spellEnd"/>
      <w:r w:rsidRPr="002E6BCF">
        <w:rPr>
          <w:i/>
          <w:iCs/>
          <w:color w:val="000000" w:themeColor="text1"/>
        </w:rPr>
        <w:t xml:space="preserve">-TDD-NB, </w:t>
      </w:r>
      <w:r w:rsidRPr="007342D8">
        <w:rPr>
          <w:i/>
          <w:iCs/>
          <w:strike/>
          <w:color w:val="5B9BD5" w:themeColor="accent1"/>
        </w:rPr>
        <w:t>and</w:t>
      </w:r>
      <w:r w:rsidRPr="002E6BCF">
        <w:rPr>
          <w:i/>
          <w:iCs/>
          <w:color w:val="000000" w:themeColor="text1"/>
        </w:rPr>
        <w:t xml:space="preserve"> SystemInformationBlockType1-NB, </w:t>
      </w:r>
      <w:r w:rsidRPr="007342D8">
        <w:rPr>
          <w:i/>
          <w:iCs/>
          <w:color w:val="5B9BD5" w:themeColor="accent1"/>
        </w:rPr>
        <w:t>and in the IoT-NTN TDD mode excluding subframes outside of active downlink time</w:t>
      </w:r>
      <w:r w:rsidRPr="002E6BCF">
        <w:rPr>
          <w:i/>
          <w:iCs/>
          <w:color w:val="000000" w:themeColor="text1"/>
        </w:rPr>
        <w:t xml:space="preserve">. If there are not enough subframes for one SI message </w:t>
      </w:r>
      <w:r w:rsidRPr="002E6BCF">
        <w:rPr>
          <w:i/>
          <w:iCs/>
          <w:color w:val="000000" w:themeColor="text1"/>
        </w:rPr>
        <w:lastRenderedPageBreak/>
        <w:t xml:space="preserve">transmission in the radio frames as provided in </w:t>
      </w:r>
      <w:proofErr w:type="spellStart"/>
      <w:r w:rsidRPr="002E6BCF">
        <w:rPr>
          <w:i/>
          <w:iCs/>
          <w:color w:val="000000" w:themeColor="text1"/>
        </w:rPr>
        <w:t>si-RepetitionPattern</w:t>
      </w:r>
      <w:proofErr w:type="spellEnd"/>
      <w:r w:rsidRPr="002E6BCF">
        <w:rPr>
          <w:i/>
          <w:iCs/>
          <w:color w:val="000000" w:themeColor="text1"/>
        </w:rPr>
        <w:t xml:space="preserve">, the UE shall continue to receive the SI message transmission in the radio frames following the radio frame indicated in </w:t>
      </w:r>
      <w:proofErr w:type="spellStart"/>
      <w:r w:rsidRPr="002E6BCF">
        <w:rPr>
          <w:i/>
          <w:iCs/>
          <w:color w:val="000000" w:themeColor="text1"/>
        </w:rPr>
        <w:t>si-</w:t>
      </w:r>
      <w:proofErr w:type="gramStart"/>
      <w:r w:rsidRPr="002E6BCF">
        <w:rPr>
          <w:i/>
          <w:iCs/>
          <w:color w:val="000000" w:themeColor="text1"/>
        </w:rPr>
        <w:t>RepetitionPattern</w:t>
      </w:r>
      <w:proofErr w:type="spellEnd"/>
      <w:r w:rsidRPr="002E6BCF">
        <w:rPr>
          <w:i/>
          <w:iCs/>
          <w:color w:val="000000" w:themeColor="text1"/>
        </w:rPr>
        <w:t>;</w:t>
      </w:r>
      <w:proofErr w:type="gramEnd"/>
    </w:p>
    <w:p w14:paraId="1A51F25F" w14:textId="77777777" w:rsidR="00B852EC" w:rsidRPr="007342D8" w:rsidRDefault="00B852EC" w:rsidP="00B852EC">
      <w:pPr>
        <w:pStyle w:val="BodyText"/>
        <w:ind w:left="567" w:hanging="284"/>
        <w:rPr>
          <w:i/>
          <w:iCs/>
          <w:color w:val="5B9BD5" w:themeColor="accent1"/>
        </w:rPr>
      </w:pPr>
      <w:r w:rsidRPr="006F66E1">
        <w:rPr>
          <w:b/>
          <w:bCs/>
          <w:i/>
          <w:iCs/>
          <w:color w:val="000000" w:themeColor="text1"/>
        </w:rPr>
        <w:t>   </w:t>
      </w:r>
      <w:r w:rsidRPr="007342D8">
        <w:rPr>
          <w:i/>
          <w:iCs/>
          <w:color w:val="5B9BD5" w:themeColor="accent1"/>
        </w:rPr>
        <w:t>  In the IoT-NTN TDD mode, if postponement of SI subframes due to downlink inactive time results in overlap with the subframes of the next SI repetition, or falls outside SI window, SI transmission should be truncated to the last non-overlapping subframe or last subframe within the SI window.</w:t>
      </w:r>
    </w:p>
    <w:p w14:paraId="54CBD797" w14:textId="77777777" w:rsidR="00B852EC" w:rsidRDefault="00B852EC" w:rsidP="00B852EC">
      <w:pPr>
        <w:pStyle w:val="Heading4"/>
      </w:pPr>
      <w:r>
        <w:t>NPDCCH Scheduling</w:t>
      </w:r>
    </w:p>
    <w:p w14:paraId="2B1A94B9" w14:textId="77777777" w:rsidR="00B852EC" w:rsidRDefault="00B852EC" w:rsidP="00B852EC">
      <w:r>
        <w:t>RAN-1 has not yet decided on whether a new NPDCCH configuration parameter is required for IoT-NTN TDD mode but in RAN1#120 it is agreed that NPDCCH and NPDSCH are scheduled only in active downlink subframes by means of postponement to next valid NB-IoT downlink subframe.</w:t>
      </w:r>
    </w:p>
    <w:p w14:paraId="35C84105" w14:textId="77777777" w:rsidR="00B852EC" w:rsidRDefault="00B852EC" w:rsidP="00B852EC"/>
    <w:tbl>
      <w:tblPr>
        <w:tblStyle w:val="TableGrid"/>
        <w:tblW w:w="0" w:type="auto"/>
        <w:tblLook w:val="04A0" w:firstRow="1" w:lastRow="0" w:firstColumn="1" w:lastColumn="0" w:noHBand="0" w:noVBand="1"/>
      </w:tblPr>
      <w:tblGrid>
        <w:gridCol w:w="9061"/>
      </w:tblGrid>
      <w:tr w:rsidR="00B852EC" w14:paraId="244226F7" w14:textId="77777777" w:rsidTr="005A7657">
        <w:tc>
          <w:tcPr>
            <w:tcW w:w="9061" w:type="dxa"/>
            <w:tcBorders>
              <w:top w:val="single" w:sz="4" w:space="0" w:color="auto"/>
              <w:left w:val="single" w:sz="4" w:space="0" w:color="auto"/>
              <w:bottom w:val="single" w:sz="4" w:space="0" w:color="auto"/>
              <w:right w:val="single" w:sz="4" w:space="0" w:color="auto"/>
            </w:tcBorders>
            <w:hideMark/>
          </w:tcPr>
          <w:p w14:paraId="5E731F0D" w14:textId="77777777" w:rsidR="00B852EC" w:rsidRDefault="00B852EC" w:rsidP="005A7657">
            <w:pPr>
              <w:spacing w:after="0"/>
              <w:rPr>
                <w:bCs/>
              </w:rPr>
            </w:pPr>
            <w:r>
              <w:rPr>
                <w:bCs/>
              </w:rPr>
              <w:t>As per RAN1#120:</w:t>
            </w:r>
          </w:p>
          <w:p w14:paraId="017B2572" w14:textId="77777777" w:rsidR="00B852EC" w:rsidRDefault="00B852EC" w:rsidP="005A7657">
            <w:pPr>
              <w:rPr>
                <w:rFonts w:ascii="Times New Roman" w:eastAsia="SimSun" w:hAnsi="Times New Roman" w:cs="Times New Roman"/>
                <w:kern w:val="0"/>
                <w:szCs w:val="20"/>
                <w:lang w:eastAsia="zh-CN"/>
              </w:rPr>
            </w:pPr>
            <w:r>
              <w:rPr>
                <w:rFonts w:eastAsia="SimSun"/>
                <w:bCs/>
                <w:szCs w:val="20"/>
                <w:highlight w:val="green"/>
                <w:lang w:eastAsia="zh-CN"/>
              </w:rPr>
              <w:t>Agreement</w:t>
            </w:r>
          </w:p>
          <w:p w14:paraId="6C583338" w14:textId="77777777" w:rsidR="00B852EC" w:rsidRDefault="00B852EC" w:rsidP="005A7657">
            <w:pPr>
              <w:rPr>
                <w:rFonts w:eastAsia="SimSun"/>
                <w:bCs/>
                <w:szCs w:val="20"/>
                <w:lang w:eastAsia="zh-CN"/>
              </w:rPr>
            </w:pPr>
            <w:r>
              <w:rPr>
                <w:rFonts w:eastAsia="SimSun"/>
                <w:bCs/>
                <w:szCs w:val="20"/>
                <w:lang w:eastAsia="zh-CN"/>
              </w:rPr>
              <w:t>The non-D NB-IoT subframes are not considered by the UE as “NB-IoT DL subframes” from the specifications</w:t>
            </w:r>
          </w:p>
          <w:p w14:paraId="0EB1DD04" w14:textId="77777777" w:rsidR="00B852EC" w:rsidRDefault="00B852EC" w:rsidP="005A7657">
            <w:pPr>
              <w:pStyle w:val="ListParagraph"/>
              <w:numPr>
                <w:ilvl w:val="0"/>
                <w:numId w:val="25"/>
              </w:numPr>
              <w:spacing w:after="0" w:line="240" w:lineRule="auto"/>
              <w:rPr>
                <w:rFonts w:eastAsia="Times New Roman"/>
                <w:bCs/>
                <w:szCs w:val="20"/>
                <w:lang w:eastAsia="zh-CN"/>
              </w:rPr>
            </w:pPr>
            <w:r>
              <w:rPr>
                <w:bCs/>
                <w:szCs w:val="20"/>
                <w:lang w:eastAsia="zh-CN"/>
              </w:rPr>
              <w:t>NPDCCH / NPDSCH (not containing SI) are mapped as per current specifications.</w:t>
            </w:r>
          </w:p>
          <w:p w14:paraId="5878903C" w14:textId="77777777" w:rsidR="00B852EC" w:rsidRPr="00A15511" w:rsidRDefault="00B852EC" w:rsidP="005A7657">
            <w:pPr>
              <w:spacing w:after="0"/>
              <w:rPr>
                <w:bCs/>
              </w:rPr>
            </w:pPr>
          </w:p>
        </w:tc>
      </w:tr>
    </w:tbl>
    <w:p w14:paraId="18DD8B0E" w14:textId="77777777" w:rsidR="00B852EC" w:rsidRDefault="00B852EC" w:rsidP="00B852EC"/>
    <w:p w14:paraId="062C49D8" w14:textId="77777777" w:rsidR="00B852EC" w:rsidRDefault="00B852EC" w:rsidP="00B852EC">
      <w:r>
        <w:t xml:space="preserve">In IoT-NTN TDD mode, with the existing set of configuration parameters, it is possible that NPDCCH search spaces can fall within the downlink inactive times. However, with the above RAN1#120 agreement, these search spaces shall be postponed to the next downlink active time. Based on our understanding, the existing set of NPDCCH configuration parameters can work for IoT-NTN TDD mode, but </w:t>
      </w:r>
      <w:r w:rsidRPr="00FC315C">
        <w:t xml:space="preserve">RAN1 has not yet </w:t>
      </w:r>
      <w:r>
        <w:t>decided</w:t>
      </w:r>
      <w:r w:rsidRPr="00FC315C">
        <w:t xml:space="preserve"> </w:t>
      </w:r>
      <w:r>
        <w:t xml:space="preserve">whether new </w:t>
      </w:r>
      <w:r w:rsidRPr="00FC315C">
        <w:t xml:space="preserve">NPDCCH </w:t>
      </w:r>
      <w:r>
        <w:t>configuration parameters need to be introduced which can have RRC ASN.1 impact</w:t>
      </w:r>
      <w:r w:rsidRPr="00FC315C">
        <w:t>.</w:t>
      </w:r>
    </w:p>
    <w:p w14:paraId="6C1987F5" w14:textId="77777777" w:rsidR="00B852EC" w:rsidRPr="00166258" w:rsidRDefault="00B852EC" w:rsidP="00B852EC">
      <w:pPr>
        <w:rPr>
          <w:b/>
        </w:rPr>
      </w:pPr>
      <w:r>
        <w:rPr>
          <w:b/>
        </w:rPr>
        <w:t xml:space="preserve">Observation 9: </w:t>
      </w:r>
      <w:r>
        <w:t>RAN2 should wait for RAN1 decision on NPDCCH scheduling configuration for IoT-NTN TDD mode.</w:t>
      </w:r>
    </w:p>
    <w:p w14:paraId="2A81AD74" w14:textId="77777777" w:rsidR="00B852EC" w:rsidRDefault="00B852EC" w:rsidP="00B852EC">
      <w:pPr>
        <w:pStyle w:val="Heading2"/>
      </w:pPr>
      <w:r>
        <w:t>UE Procedures</w:t>
      </w:r>
    </w:p>
    <w:p w14:paraId="4BE800E6" w14:textId="77777777" w:rsidR="00B852EC" w:rsidRDefault="00B852EC" w:rsidP="00B852EC">
      <w:pPr>
        <w:pStyle w:val="Heading4"/>
      </w:pPr>
      <w:r>
        <w:t>Paging</w:t>
      </w:r>
    </w:p>
    <w:p w14:paraId="1E775584" w14:textId="77777777" w:rsidR="00B852EC" w:rsidRDefault="00B852EC" w:rsidP="00B852EC">
      <w:r>
        <w:t>In RAN1#120 following agreements are made which impacts paging procedure:</w:t>
      </w:r>
    </w:p>
    <w:tbl>
      <w:tblPr>
        <w:tblStyle w:val="TableGrid"/>
        <w:tblW w:w="0" w:type="auto"/>
        <w:tblLook w:val="04A0" w:firstRow="1" w:lastRow="0" w:firstColumn="1" w:lastColumn="0" w:noHBand="0" w:noVBand="1"/>
      </w:tblPr>
      <w:tblGrid>
        <w:gridCol w:w="9061"/>
      </w:tblGrid>
      <w:tr w:rsidR="00B852EC" w14:paraId="1681FE67" w14:textId="77777777" w:rsidTr="005A7657">
        <w:tc>
          <w:tcPr>
            <w:tcW w:w="9061" w:type="dxa"/>
            <w:tcBorders>
              <w:top w:val="single" w:sz="4" w:space="0" w:color="auto"/>
              <w:left w:val="single" w:sz="4" w:space="0" w:color="auto"/>
              <w:bottom w:val="single" w:sz="4" w:space="0" w:color="auto"/>
              <w:right w:val="single" w:sz="4" w:space="0" w:color="auto"/>
            </w:tcBorders>
            <w:hideMark/>
          </w:tcPr>
          <w:p w14:paraId="63187A40" w14:textId="77777777" w:rsidR="00B852EC" w:rsidRDefault="00B852EC" w:rsidP="005A7657">
            <w:pPr>
              <w:spacing w:after="0"/>
              <w:rPr>
                <w:bCs/>
              </w:rPr>
            </w:pPr>
            <w:r>
              <w:rPr>
                <w:bCs/>
              </w:rPr>
              <w:t>As per RAN1#120:</w:t>
            </w:r>
          </w:p>
          <w:p w14:paraId="3D16C629" w14:textId="77777777" w:rsidR="00B852EC" w:rsidRDefault="00B852EC" w:rsidP="005A7657">
            <w:pPr>
              <w:spacing w:after="0"/>
              <w:rPr>
                <w:bCs/>
              </w:rPr>
            </w:pPr>
          </w:p>
          <w:p w14:paraId="2DBCF5BA" w14:textId="77777777" w:rsidR="00B852EC" w:rsidRDefault="00B852EC" w:rsidP="005A7657">
            <w:pPr>
              <w:rPr>
                <w:rFonts w:ascii="Times New Roman" w:eastAsia="SimSun" w:hAnsi="Times New Roman" w:cs="Times New Roman"/>
                <w:kern w:val="0"/>
                <w:szCs w:val="20"/>
                <w:lang w:eastAsia="zh-CN"/>
              </w:rPr>
            </w:pPr>
            <w:r>
              <w:rPr>
                <w:rFonts w:eastAsia="SimSun"/>
                <w:bCs/>
                <w:szCs w:val="20"/>
                <w:highlight w:val="green"/>
                <w:lang w:eastAsia="zh-CN"/>
              </w:rPr>
              <w:t>Agreement</w:t>
            </w:r>
          </w:p>
          <w:p w14:paraId="452BAA73" w14:textId="77777777" w:rsidR="00B852EC" w:rsidRDefault="00B852EC" w:rsidP="005A7657">
            <w:pPr>
              <w:rPr>
                <w:rFonts w:eastAsia="SimSun"/>
                <w:bCs/>
                <w:szCs w:val="20"/>
                <w:lang w:eastAsia="zh-CN"/>
              </w:rPr>
            </w:pPr>
            <w:r>
              <w:rPr>
                <w:rFonts w:eastAsia="SimSun"/>
                <w:bCs/>
                <w:szCs w:val="20"/>
                <w:lang w:eastAsia="zh-CN"/>
              </w:rPr>
              <w:t>The non-D NB-IoT subframes are not considered by the UE as “NB-IoT DL subframes” from the specifications</w:t>
            </w:r>
          </w:p>
          <w:p w14:paraId="3736DB5D" w14:textId="77777777" w:rsidR="00B852EC" w:rsidRPr="00C90A4B" w:rsidRDefault="00B852EC" w:rsidP="005A7657">
            <w:pPr>
              <w:pStyle w:val="ListParagraph"/>
              <w:numPr>
                <w:ilvl w:val="0"/>
                <w:numId w:val="28"/>
              </w:numPr>
              <w:spacing w:after="0" w:line="240" w:lineRule="auto"/>
              <w:rPr>
                <w:rFonts w:eastAsia="Times New Roman"/>
                <w:bCs/>
                <w:szCs w:val="20"/>
                <w:lang w:eastAsia="zh-CN"/>
              </w:rPr>
            </w:pPr>
            <w:r>
              <w:rPr>
                <w:bCs/>
                <w:szCs w:val="20"/>
                <w:lang w:eastAsia="zh-CN"/>
              </w:rPr>
              <w:lastRenderedPageBreak/>
              <w:t>NPDCCH / NPDSCH (not containing SI) are mapped as per current specifications.</w:t>
            </w:r>
          </w:p>
          <w:p w14:paraId="4E8A539A" w14:textId="77777777" w:rsidR="00B852EC" w:rsidRDefault="00B852EC" w:rsidP="005A7657">
            <w:pPr>
              <w:spacing w:after="0" w:line="240" w:lineRule="auto"/>
              <w:rPr>
                <w:rFonts w:eastAsia="Times New Roman"/>
                <w:bCs/>
                <w:szCs w:val="20"/>
                <w:lang w:eastAsia="zh-CN"/>
              </w:rPr>
            </w:pPr>
          </w:p>
          <w:p w14:paraId="2BB62C77" w14:textId="77777777" w:rsidR="00B852EC" w:rsidRDefault="00B852EC" w:rsidP="005A7657">
            <w:pPr>
              <w:rPr>
                <w:rFonts w:ascii="Times New Roman" w:eastAsia="SimSun" w:hAnsi="Times New Roman" w:cs="Times New Roman"/>
                <w:b/>
                <w:kern w:val="0"/>
                <w:szCs w:val="20"/>
                <w:lang w:eastAsia="zh-CN"/>
              </w:rPr>
            </w:pPr>
            <w:r>
              <w:rPr>
                <w:rFonts w:eastAsia="SimSun"/>
                <w:b/>
                <w:bCs/>
                <w:szCs w:val="20"/>
                <w:lang w:eastAsia="zh-CN"/>
              </w:rPr>
              <w:t>Conclusion</w:t>
            </w:r>
          </w:p>
          <w:p w14:paraId="06D48BD4" w14:textId="77777777" w:rsidR="00B852EC" w:rsidRDefault="00B852EC" w:rsidP="005A7657">
            <w:pPr>
              <w:rPr>
                <w:rFonts w:eastAsia="Times New Roman"/>
                <w:bCs/>
                <w:szCs w:val="20"/>
              </w:rPr>
            </w:pPr>
            <w:r>
              <w:rPr>
                <w:rFonts w:eastAsia="SimSun"/>
                <w:bCs/>
                <w:szCs w:val="20"/>
                <w:lang w:eastAsia="zh-CN"/>
              </w:rPr>
              <w:t xml:space="preserve">For determining </w:t>
            </w:r>
            <w:r>
              <w:rPr>
                <w:bCs/>
                <w:szCs w:val="20"/>
              </w:rPr>
              <w:t>the offset between the 90ms TDD structure and the 10240ms H-SFN: the UE may derive the 90ms TDD structure based on observations of downlink signals.</w:t>
            </w:r>
          </w:p>
          <w:p w14:paraId="2304F924" w14:textId="77777777" w:rsidR="00B852EC" w:rsidRPr="00C90A4B" w:rsidRDefault="00B852EC" w:rsidP="005A7657">
            <w:pPr>
              <w:rPr>
                <w:bCs/>
                <w:szCs w:val="20"/>
              </w:rPr>
            </w:pPr>
            <w:r>
              <w:rPr>
                <w:bCs/>
                <w:szCs w:val="20"/>
              </w:rPr>
              <w:t>No specification impact.</w:t>
            </w:r>
          </w:p>
          <w:p w14:paraId="10D6AB9A" w14:textId="77777777" w:rsidR="00B852EC" w:rsidRPr="00C90A4B" w:rsidRDefault="00B852EC" w:rsidP="005A7657">
            <w:pPr>
              <w:spacing w:after="0" w:line="240" w:lineRule="auto"/>
              <w:rPr>
                <w:bCs/>
              </w:rPr>
            </w:pPr>
          </w:p>
        </w:tc>
      </w:tr>
    </w:tbl>
    <w:p w14:paraId="478890AF" w14:textId="77777777" w:rsidR="00B852EC" w:rsidRDefault="00B852EC" w:rsidP="00B852EC"/>
    <w:p w14:paraId="5D235C98" w14:textId="5E88024B" w:rsidR="00B852EC" w:rsidRDefault="00B852EC" w:rsidP="00B852EC">
      <w:r>
        <w:t>In RAN1#120 it is agreed that there is no need to change SFN and H-SFN duration so RAN2 can analy</w:t>
      </w:r>
      <w:r w:rsidR="0099115F">
        <w:t>z</w:t>
      </w:r>
      <w:r>
        <w:t>e impact on the paging procedure in IoT-NTN TDD mode.</w:t>
      </w:r>
    </w:p>
    <w:p w14:paraId="30A416F3" w14:textId="77777777" w:rsidR="00B852EC" w:rsidRPr="0072324A" w:rsidRDefault="00B852EC" w:rsidP="00B852EC">
      <w:r w:rsidRPr="0072324A">
        <w:t>UE paging is possible only in certain frames and subframes. The frames where paging is allowed are called Paging Frames (PF), and the subframes within these paging frames are referred to as Paging Occasions (PO). The NPDCCH with DCI format N2 is carried in the PO. Each UE is assigned to one of these paging frames based on its IMSI value, so it only needs to monitor one paging occasion per DRX cycle. The subframes that can be used for paging occasions are restricted by the number of POs per frame, and the only allowed subframes are subframe #0, subframe #4, subframe #5, and subframe #9 (36.304 §7.2).</w:t>
      </w:r>
    </w:p>
    <w:p w14:paraId="2211390D" w14:textId="77777777" w:rsidR="00B852EC" w:rsidRDefault="00B852EC" w:rsidP="00B852EC">
      <w:pPr>
        <w:rPr>
          <w:rFonts w:eastAsiaTheme="minorEastAsia"/>
        </w:rPr>
      </w:pPr>
      <w:r>
        <w:t xml:space="preserve">PF is calculated as frames satisfying: </w:t>
      </w:r>
      <m:oMath>
        <m:r>
          <m:rPr>
            <m:sty m:val="p"/>
          </m:rPr>
          <w:rPr>
            <w:rFonts w:ascii="Cambria Math" w:hAnsi="Cambria Math"/>
          </w:rPr>
          <m:t>SFN mod T= (T div N)*(UE_ID mod N)</m:t>
        </m:r>
      </m:oMath>
      <w:r>
        <w:rPr>
          <w:rFonts w:eastAsiaTheme="minorEastAsia"/>
        </w:rPr>
        <w:t xml:space="preserve">, where:  </w:t>
      </w:r>
    </w:p>
    <w:p w14:paraId="09C67A39" w14:textId="77777777" w:rsidR="00B852EC" w:rsidRDefault="00B852EC" w:rsidP="00B852EC">
      <w:pPr>
        <w:rPr>
          <w:rFonts w:eastAsiaTheme="minorEastAsia"/>
        </w:rPr>
      </w:pPr>
      <w:r>
        <w:rPr>
          <w:rFonts w:eastAsiaTheme="minorEastAsia"/>
        </w:rPr>
        <w:t>T = DRX cycle of the UE</w:t>
      </w:r>
    </w:p>
    <w:p w14:paraId="1E4B8FA9" w14:textId="77777777" w:rsidR="00B852EC" w:rsidRPr="003B2DC2" w:rsidRDefault="00B852EC" w:rsidP="00B852EC">
      <w:pPr>
        <w:rPr>
          <w:rFonts w:eastAsiaTheme="minorEastAsia"/>
        </w:rPr>
      </w:pPr>
      <m:oMathPara>
        <m:oMathParaPr>
          <m:jc m:val="left"/>
        </m:oMathParaPr>
        <m:oMath>
          <m:r>
            <w:rPr>
              <w:rFonts w:ascii="Cambria Math" w:eastAsiaTheme="minorEastAsia" w:hAnsi="Cambria Math"/>
            </w:rPr>
            <m:t>UE_ID=IMSI mod 4096</m:t>
          </m:r>
        </m:oMath>
      </m:oMathPara>
    </w:p>
    <w:p w14:paraId="53D30DA7" w14:textId="77777777" w:rsidR="00B852EC" w:rsidRPr="003B2DC2" w:rsidRDefault="00B852EC" w:rsidP="00B852EC">
      <w:pPr>
        <w:rPr>
          <w:rFonts w:eastAsiaTheme="minorEastAsia"/>
        </w:rPr>
      </w:pPr>
      <m:oMathPara>
        <m:oMathParaPr>
          <m:jc m:val="left"/>
        </m:oMathParaPr>
        <m:oMath>
          <m:r>
            <w:rPr>
              <w:rFonts w:ascii="Cambria Math" w:eastAsiaTheme="minorEastAsia" w:hAnsi="Cambria Math"/>
            </w:rPr>
            <m:t>N=</m:t>
          </m:r>
          <m:func>
            <m:funcPr>
              <m:ctrlPr>
                <w:rPr>
                  <w:rFonts w:ascii="Cambria Math" w:eastAsiaTheme="minorEastAsia" w:hAnsi="Cambria Math"/>
                  <w:i/>
                </w:rPr>
              </m:ctrlPr>
            </m:funcPr>
            <m:fName>
              <m:r>
                <m:rPr>
                  <m:sty m:val="p"/>
                </m:rPr>
                <w:rPr>
                  <w:rFonts w:ascii="Cambria Math" w:eastAsiaTheme="minorEastAsia" w:hAnsi="Cambria Math"/>
                </w:rPr>
                <m:t>min</m:t>
              </m:r>
            </m:fName>
            <m:e>
              <m:r>
                <w:rPr>
                  <w:rFonts w:ascii="Cambria Math" w:eastAsiaTheme="minorEastAsia" w:hAnsi="Cambria Math"/>
                </w:rPr>
                <m:t>(T, nB)</m:t>
              </m:r>
            </m:e>
          </m:func>
        </m:oMath>
      </m:oMathPara>
    </w:p>
    <w:p w14:paraId="62BF8F8A" w14:textId="12D3F597" w:rsidR="00B852EC" w:rsidRDefault="00B852EC" w:rsidP="00B852EC">
      <w:r w:rsidRPr="0072324A">
        <w:t xml:space="preserve">In </w:t>
      </w:r>
      <w:r>
        <w:t>IoT-NTN TDD</w:t>
      </w:r>
      <w:r w:rsidRPr="0072324A">
        <w:t xml:space="preserve"> mode, the available paging capacity is reduced because only </w:t>
      </w:r>
      <w:r>
        <w:t>8</w:t>
      </w:r>
      <w:r w:rsidRPr="0072324A">
        <w:t xml:space="preserve"> subframes every </w:t>
      </w:r>
      <w:r>
        <w:t>90</w:t>
      </w:r>
      <w:r w:rsidRPr="0072324A">
        <w:t xml:space="preserve">ms are available to carry paging occasions and their corresponding paging messages. In this mode, the </w:t>
      </w:r>
      <w:r>
        <w:t>PF</w:t>
      </w:r>
      <w:r w:rsidRPr="0072324A">
        <w:t xml:space="preserve"> and associated </w:t>
      </w:r>
      <w:r>
        <w:t>PO</w:t>
      </w:r>
      <w:r w:rsidRPr="0072324A">
        <w:t xml:space="preserve"> calculated for a UE based on its IMSI can fall into a downlink inactive time. When a PO falls within a downlink inactive time, it is postponed to the next downlink active time, as illustrated in </w:t>
      </w:r>
      <w:r>
        <w:fldChar w:fldCharType="begin"/>
      </w:r>
      <w:r>
        <w:instrText xml:space="preserve"> REF _Ref189489047 \h </w:instrText>
      </w:r>
      <w:r>
        <w:fldChar w:fldCharType="separate"/>
      </w:r>
      <w:r w:rsidR="00917AEC">
        <w:t xml:space="preserve">Figure </w:t>
      </w:r>
      <w:r w:rsidR="00917AEC">
        <w:rPr>
          <w:noProof/>
        </w:rPr>
        <w:t>4</w:t>
      </w:r>
      <w:r>
        <w:fldChar w:fldCharType="end"/>
      </w:r>
      <w:r w:rsidRPr="0072324A">
        <w:t xml:space="preserve">. Consequently, all the paging opportunities within the </w:t>
      </w:r>
      <w:r>
        <w:t>90</w:t>
      </w:r>
      <w:r w:rsidRPr="0072324A">
        <w:t xml:space="preserve">ms period are compressed into the </w:t>
      </w:r>
      <w:r>
        <w:t>8</w:t>
      </w:r>
      <w:r w:rsidRPr="0072324A">
        <w:t>ms downlink active time.</w:t>
      </w:r>
    </w:p>
    <w:p w14:paraId="69F29319" w14:textId="77777777" w:rsidR="00B852EC" w:rsidRDefault="00B852EC" w:rsidP="00B852EC">
      <w:pPr>
        <w:keepNext/>
        <w:jc w:val="center"/>
      </w:pPr>
      <w:r w:rsidRPr="0053315E">
        <w:rPr>
          <w:noProof/>
        </w:rPr>
        <w:drawing>
          <wp:inline distT="0" distB="0" distL="0" distR="0" wp14:anchorId="706F66FE" wp14:editId="7CCF1C4D">
            <wp:extent cx="6122035" cy="2067560"/>
            <wp:effectExtent l="0" t="0" r="0" b="0"/>
            <wp:docPr id="684857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857397" name=""/>
                    <pic:cNvPicPr/>
                  </pic:nvPicPr>
                  <pic:blipFill>
                    <a:blip r:embed="rId14"/>
                    <a:stretch>
                      <a:fillRect/>
                    </a:stretch>
                  </pic:blipFill>
                  <pic:spPr>
                    <a:xfrm>
                      <a:off x="0" y="0"/>
                      <a:ext cx="6122035" cy="2067560"/>
                    </a:xfrm>
                    <a:prstGeom prst="rect">
                      <a:avLst/>
                    </a:prstGeom>
                  </pic:spPr>
                </pic:pic>
              </a:graphicData>
            </a:graphic>
          </wp:inline>
        </w:drawing>
      </w:r>
    </w:p>
    <w:p w14:paraId="1A020A7D" w14:textId="0BFA2F4B" w:rsidR="00B852EC" w:rsidRDefault="00B852EC" w:rsidP="00B852EC">
      <w:pPr>
        <w:pStyle w:val="Caption"/>
      </w:pPr>
      <w:bookmarkStart w:id="19" w:name="_Ref189489047"/>
      <w:r>
        <w:t xml:space="preserve">Figure </w:t>
      </w:r>
      <w:fldSimple w:instr=" SEQ Figure \* ARABIC ">
        <w:r w:rsidR="00917AEC">
          <w:rPr>
            <w:noProof/>
          </w:rPr>
          <w:t>4</w:t>
        </w:r>
      </w:fldSimple>
      <w:bookmarkEnd w:id="19"/>
      <w:r>
        <w:t xml:space="preserve"> Illustration of paging opportunities postponement</w:t>
      </w:r>
    </w:p>
    <w:p w14:paraId="5B59202C" w14:textId="77777777" w:rsidR="00B852EC" w:rsidRDefault="00B852EC" w:rsidP="00B852EC">
      <w:r w:rsidRPr="00E04D5A">
        <w:lastRenderedPageBreak/>
        <w:t xml:space="preserve">When paging opportunities for UEs fall within downlink inactive time and overlap with those in downlink active time, the network scheduler can decide which UEs to page. This is because all UEs will be listening to the paging during the same downlink active time based on the rule of postponement. This behavior is like the existing network behavior where the </w:t>
      </w:r>
      <w:r>
        <w:t>network</w:t>
      </w:r>
      <w:r w:rsidRPr="00E04D5A">
        <w:t xml:space="preserve"> prioritizes paging among multiple UEs mapped to the same paging opportunities.</w:t>
      </w:r>
    </w:p>
    <w:p w14:paraId="05340BC2" w14:textId="77777777" w:rsidR="00B852EC" w:rsidRDefault="00B852EC" w:rsidP="00B852EC">
      <w:r>
        <w:t>A paging message is transmitted in consecutive NB-IoT downlink subframes.  In RAN1#120 it is agreed how NPDCCH and NPDSCH scheduling can work in IoT-NTN TDD mode with minimal impact on existing specifications by expanding the definition of NB-IoT downlink subframes to exclude those falling into downlink inactive time. This agreement also results in postponement of any paging opportunities that fall into downlink inactive time to the next downlink active time.</w:t>
      </w:r>
    </w:p>
    <w:p w14:paraId="38B3C7CD" w14:textId="77777777" w:rsidR="00B852EC" w:rsidRDefault="00B852EC" w:rsidP="00B852EC">
      <w:r w:rsidRPr="006C7CA4">
        <w:t>In the case of paging, the network is unaware of the coverage class of a UE. Therefore, NPDCCH/NPDSCH is transmitted with many repetitions to ensure that UEs in poor coverage areas can receive the paging message.</w:t>
      </w:r>
      <w:r w:rsidRPr="006C7CA4">
        <w:rPr>
          <w:rFonts w:ascii="Roboto" w:hAnsi="Roboto"/>
          <w:color w:val="111111"/>
          <w:sz w:val="21"/>
          <w:szCs w:val="21"/>
          <w:shd w:val="clear" w:color="auto" w:fill="F3F3F3"/>
        </w:rPr>
        <w:t xml:space="preserve"> </w:t>
      </w:r>
      <w:r w:rsidRPr="006C7CA4">
        <w:t>According to the link-level simulation results submitted to RAN1</w:t>
      </w:r>
      <w:r>
        <w:t>#120</w:t>
      </w:r>
      <w:r w:rsidRPr="006C7CA4">
        <w:t xml:space="preserve"> for NPDCCH and NPDSCH, four repetitions should be sufficient to achieve a 99% success rate in receiver decoding for the LEO-600 and LEO-1200 reference scenarios.</w:t>
      </w:r>
    </w:p>
    <w:p w14:paraId="6404D165" w14:textId="381D5C73" w:rsidR="00B852EC" w:rsidRDefault="00B852EC" w:rsidP="00B852EC">
      <w:r w:rsidRPr="006C7CA4">
        <w:t xml:space="preserve">In </w:t>
      </w:r>
      <w:r>
        <w:t>IoT-NTN TDD</w:t>
      </w:r>
      <w:r w:rsidRPr="006C7CA4">
        <w:t xml:space="preserve"> mode, paging in </w:t>
      </w:r>
      <w:proofErr w:type="spellStart"/>
      <w:r w:rsidRPr="006C7CA4">
        <w:t>eDRX</w:t>
      </w:r>
      <w:proofErr w:type="spellEnd"/>
      <w:r w:rsidRPr="006C7CA4">
        <w:t xml:space="preserve"> </w:t>
      </w:r>
      <w:r>
        <w:t>can operate</w:t>
      </w:r>
      <w:r w:rsidRPr="006C7CA4">
        <w:t xml:space="preserve"> according to the existing NB-IoT specifications. A UE can calculate the Paging Hyper Frame (PH</w:t>
      </w:r>
      <w:proofErr w:type="gramStart"/>
      <w:r w:rsidRPr="006C7CA4">
        <w:t>)</w:t>
      </w:r>
      <w:proofErr w:type="gramEnd"/>
      <w:r w:rsidRPr="006C7CA4">
        <w:t xml:space="preserve"> and Paging Transmit Window (PTW) following the established rules. The PTW duration, specified in seconds, can accommodate multiple downlink active time opportunities. Any paging opportunity within a PTW that falls during downlink inactive time will be postponed to the next downlink active time.</w:t>
      </w:r>
    </w:p>
    <w:p w14:paraId="27E20C4D" w14:textId="77777777" w:rsidR="00B852EC" w:rsidRDefault="00B852EC" w:rsidP="00B852EC">
      <w:r>
        <w:rPr>
          <w:b/>
        </w:rPr>
        <w:t xml:space="preserve">Observation 10: </w:t>
      </w:r>
      <w:r>
        <w:t xml:space="preserve">After RAN1#120 agreement on expanding the definition of “NB-IoT DL subframes” to exclude all inactive downlink subframes, changes to the paging procedure for IoT-NTN TDD in 36.304 is not required. </w:t>
      </w:r>
    </w:p>
    <w:p w14:paraId="25FE9C13" w14:textId="597070FB" w:rsidR="00B852EC" w:rsidRDefault="00B852EC" w:rsidP="00B852EC">
      <w:r>
        <w:rPr>
          <w:b/>
        </w:rPr>
        <w:t xml:space="preserve">Observation 11: </w:t>
      </w:r>
      <w:r>
        <w:t xml:space="preserve">In IoT-NTN TDD mode, </w:t>
      </w:r>
      <w:proofErr w:type="spellStart"/>
      <w:r>
        <w:t>eDRX</w:t>
      </w:r>
      <w:proofErr w:type="spellEnd"/>
      <w:r>
        <w:t xml:space="preserve"> can work without any changes. Within PTW, when calculated paging opportunity of a UE falls in downlink inactive time, it shall get postponed to the next downlink active time.</w:t>
      </w:r>
    </w:p>
    <w:p w14:paraId="33B63DED" w14:textId="77777777" w:rsidR="00B852EC" w:rsidRDefault="00B852EC" w:rsidP="00B852EC">
      <w:pPr>
        <w:jc w:val="both"/>
      </w:pPr>
      <w:r>
        <w:rPr>
          <w:b/>
        </w:rPr>
        <w:t xml:space="preserve">Proposal 10: </w:t>
      </w:r>
      <w:r>
        <w:t>In IoT-NTN TDD mode, when calculated paging opportunity of a UE falls in downlink inactive time, it shall get postponed to the next downlink active time.</w:t>
      </w:r>
    </w:p>
    <w:p w14:paraId="71726956" w14:textId="77777777" w:rsidR="00B852EC" w:rsidRDefault="00B852EC" w:rsidP="00B852EC">
      <w:pPr>
        <w:pStyle w:val="Heading4"/>
      </w:pPr>
      <w:r>
        <w:t>Random Access Procedure</w:t>
      </w:r>
    </w:p>
    <w:p w14:paraId="4D4009F1" w14:textId="77777777" w:rsidR="00B852EC" w:rsidRDefault="00B852EC" w:rsidP="00B852EC">
      <w:r>
        <w:t>In RAN1#120 following agreements are made related to NPRACH scheduling:</w:t>
      </w:r>
    </w:p>
    <w:tbl>
      <w:tblPr>
        <w:tblStyle w:val="TableGrid"/>
        <w:tblW w:w="0" w:type="auto"/>
        <w:tblLook w:val="04A0" w:firstRow="1" w:lastRow="0" w:firstColumn="1" w:lastColumn="0" w:noHBand="0" w:noVBand="1"/>
      </w:tblPr>
      <w:tblGrid>
        <w:gridCol w:w="9061"/>
      </w:tblGrid>
      <w:tr w:rsidR="00B852EC" w14:paraId="461D2F3F" w14:textId="77777777" w:rsidTr="005A7657">
        <w:tc>
          <w:tcPr>
            <w:tcW w:w="9061" w:type="dxa"/>
            <w:tcBorders>
              <w:top w:val="single" w:sz="4" w:space="0" w:color="auto"/>
              <w:left w:val="single" w:sz="4" w:space="0" w:color="auto"/>
              <w:bottom w:val="single" w:sz="4" w:space="0" w:color="auto"/>
              <w:right w:val="single" w:sz="4" w:space="0" w:color="auto"/>
            </w:tcBorders>
            <w:hideMark/>
          </w:tcPr>
          <w:p w14:paraId="2CCA4C93" w14:textId="77777777" w:rsidR="00B852EC" w:rsidRDefault="00B852EC" w:rsidP="005A7657">
            <w:pPr>
              <w:spacing w:after="0"/>
              <w:rPr>
                <w:bCs/>
              </w:rPr>
            </w:pPr>
            <w:r>
              <w:rPr>
                <w:bCs/>
              </w:rPr>
              <w:t>As per RAN1#120:</w:t>
            </w:r>
          </w:p>
          <w:p w14:paraId="67E87E10" w14:textId="77777777" w:rsidR="00B852EC" w:rsidRDefault="00B852EC" w:rsidP="005A7657">
            <w:pPr>
              <w:rPr>
                <w:rFonts w:ascii="Times New Roman" w:eastAsia="SimSun" w:hAnsi="Times New Roman" w:cs="Times New Roman"/>
                <w:kern w:val="0"/>
                <w:lang w:eastAsia="zh-CN"/>
              </w:rPr>
            </w:pPr>
            <w:r>
              <w:rPr>
                <w:rFonts w:eastAsia="SimSun"/>
                <w:bCs/>
                <w:highlight w:val="green"/>
                <w:lang w:eastAsia="zh-CN"/>
              </w:rPr>
              <w:t>Agreement</w:t>
            </w:r>
          </w:p>
          <w:p w14:paraId="5D3923C5" w14:textId="77777777" w:rsidR="00B852EC" w:rsidRDefault="00B852EC" w:rsidP="005A7657">
            <w:pPr>
              <w:rPr>
                <w:rFonts w:eastAsia="SimSun"/>
                <w:bCs/>
                <w:lang w:eastAsia="zh-CN"/>
              </w:rPr>
            </w:pPr>
            <w:r>
              <w:rPr>
                <w:rFonts w:eastAsia="SimSun"/>
                <w:bCs/>
                <w:lang w:eastAsia="zh-CN"/>
              </w:rPr>
              <w:t>For NPRACH, further consider the two options until RAN1#120bis:</w:t>
            </w:r>
          </w:p>
          <w:p w14:paraId="741E3559" w14:textId="77777777" w:rsidR="00B852EC" w:rsidRDefault="00B852EC" w:rsidP="005A7657">
            <w:pPr>
              <w:pStyle w:val="ListParagraph"/>
              <w:numPr>
                <w:ilvl w:val="0"/>
                <w:numId w:val="26"/>
              </w:numPr>
              <w:spacing w:after="0" w:line="240" w:lineRule="auto"/>
              <w:rPr>
                <w:rFonts w:eastAsia="Times New Roman"/>
                <w:bCs/>
                <w:lang w:eastAsia="zh-CN"/>
              </w:rPr>
            </w:pPr>
            <w:r>
              <w:rPr>
                <w:bCs/>
                <w:lang w:eastAsia="zh-CN"/>
              </w:rPr>
              <w:t>Option 1: New NPRACH periodicities (multiple of 90ms) are introduced for NB-IoT NTN TDD.</w:t>
            </w:r>
          </w:p>
          <w:p w14:paraId="45F1900B" w14:textId="77777777" w:rsidR="00B852EC" w:rsidRDefault="00B852EC" w:rsidP="005A7657">
            <w:pPr>
              <w:pStyle w:val="ListParagraph"/>
              <w:numPr>
                <w:ilvl w:val="0"/>
                <w:numId w:val="26"/>
              </w:numPr>
              <w:spacing w:after="0" w:line="240" w:lineRule="auto"/>
              <w:rPr>
                <w:bCs/>
                <w:lang w:eastAsia="zh-CN"/>
              </w:rPr>
            </w:pPr>
            <w:r>
              <w:rPr>
                <w:bCs/>
                <w:lang w:eastAsia="zh-CN"/>
              </w:rPr>
              <w:lastRenderedPageBreak/>
              <w:t>Option 2: NPRACH transmissions are postponed in non-U NB-IoT subframes until the next U NB-IoT subframe(s)</w:t>
            </w:r>
          </w:p>
          <w:p w14:paraId="5F2FC173" w14:textId="77777777" w:rsidR="00B852EC" w:rsidRPr="003B2DC2" w:rsidRDefault="00B852EC" w:rsidP="005A7657">
            <w:pPr>
              <w:pStyle w:val="ListParagraph"/>
              <w:numPr>
                <w:ilvl w:val="1"/>
                <w:numId w:val="26"/>
              </w:numPr>
              <w:spacing w:after="0" w:line="240" w:lineRule="auto"/>
              <w:rPr>
                <w:bCs/>
                <w:lang w:eastAsia="zh-CN"/>
              </w:rPr>
            </w:pPr>
            <w:r>
              <w:rPr>
                <w:bCs/>
                <w:lang w:eastAsia="zh-CN"/>
              </w:rPr>
              <w:t xml:space="preserve">FFS: The unit of postponement (e.g. </w:t>
            </w:r>
            <w:r>
              <w:rPr>
                <w:bCs/>
                <w:iCs/>
                <w:lang w:eastAsia="zh-CN"/>
              </w:rPr>
              <w:t>PRU)</w:t>
            </w:r>
          </w:p>
        </w:tc>
      </w:tr>
    </w:tbl>
    <w:p w14:paraId="68AA4EE3" w14:textId="77777777" w:rsidR="00B852EC" w:rsidRPr="00307FFE" w:rsidRDefault="00B852EC" w:rsidP="00B852EC"/>
    <w:p w14:paraId="68A153D9" w14:textId="77777777" w:rsidR="00B852EC" w:rsidRDefault="00B852EC" w:rsidP="00B852EC">
      <w:r w:rsidRPr="00541E48">
        <w:t xml:space="preserve">In FDD mode, NPRACH opportunities can be configured with periodicities of 40ms, 80ms, 160ms, 240ms, 320ms, 640ms, 1280ms, and 2560ms, none of which are multiples of 90ms. The current NPRACH configuration parameters do not allow for full alignment with </w:t>
      </w:r>
      <w:r>
        <w:t xml:space="preserve">IoT-NTN TDD </w:t>
      </w:r>
      <w:r w:rsidRPr="00541E48">
        <w:t xml:space="preserve">mode uplink active time occurrences. RAN1 has yet to finalize the NPRACH scheduling mechanism for </w:t>
      </w:r>
      <w:r>
        <w:t>IoT-NTN TDD</w:t>
      </w:r>
      <w:r w:rsidRPr="00541E48">
        <w:t xml:space="preserve"> mode. Depending on the outcome, it may be necessary to update the NPRACH configuration parameters in ASN.1.</w:t>
      </w:r>
    </w:p>
    <w:p w14:paraId="101A8F91" w14:textId="77777777" w:rsidR="00B852EC" w:rsidRDefault="00B852EC" w:rsidP="00B852EC">
      <w:r>
        <w:rPr>
          <w:b/>
        </w:rPr>
        <w:t xml:space="preserve">Observation 12: </w:t>
      </w:r>
      <w:r w:rsidRPr="00166258">
        <w:t>Depending on the RAN1 decision regarding the NPRACH scheduling mechanism for IoT-NTN TDD mode, it may be necessary to update the RRC ASN.1 parameters.</w:t>
      </w:r>
    </w:p>
    <w:p w14:paraId="66025815" w14:textId="77777777" w:rsidR="00B852EC" w:rsidRDefault="00B852EC" w:rsidP="00B852EC">
      <w:pPr>
        <w:pStyle w:val="Heading5"/>
      </w:pPr>
      <w:r>
        <w:t>RA-RNTI Calculation</w:t>
      </w:r>
    </w:p>
    <w:p w14:paraId="02FA167E" w14:textId="77777777" w:rsidR="00B852EC" w:rsidRDefault="00B852EC" w:rsidP="00B852EC">
      <w:r>
        <w:t xml:space="preserve">During the RACH procedure, after transmission of the Random-Access Preamble, the UE starts monitoring NPDCCH common search space to check for the RAR scrambled with the RA-RNTI. </w:t>
      </w:r>
      <w:r w:rsidRPr="00F01F5D">
        <w:t>For NB-IoT UEs, the RA-RNTI associated with the PRACH in which the Random-Access Preamble is transmitted, is</w:t>
      </w:r>
      <w:r>
        <w:t xml:space="preserve"> </w:t>
      </w:r>
      <w:r w:rsidRPr="00F01F5D">
        <w:t>computed as:</w:t>
      </w:r>
    </w:p>
    <w:p w14:paraId="4F3D92B9" w14:textId="77777777" w:rsidR="00B852EC" w:rsidRPr="00F01F5D" w:rsidRDefault="00B852EC" w:rsidP="00B852EC">
      <m:oMathPara>
        <m:oMath>
          <m:r>
            <w:rPr>
              <w:rFonts w:ascii="Cambria Math" w:hAnsi="Cambria Math"/>
            </w:rPr>
            <m:t xml:space="preserve">RA-RNTI=1+floor </m:t>
          </m:r>
          <m:d>
            <m:dPr>
              <m:ctrlPr>
                <w:rPr>
                  <w:rFonts w:ascii="Cambria Math" w:hAnsi="Cambria Math"/>
                  <w:i/>
                </w:rPr>
              </m:ctrlPr>
            </m:dPr>
            <m:e>
              <m:f>
                <m:fPr>
                  <m:ctrlPr>
                    <w:rPr>
                      <w:rFonts w:ascii="Cambria Math" w:hAnsi="Cambria Math"/>
                      <w:i/>
                    </w:rPr>
                  </m:ctrlPr>
                </m:fPr>
                <m:num>
                  <m:r>
                    <w:rPr>
                      <w:rFonts w:ascii="Cambria Math" w:hAnsi="Cambria Math"/>
                    </w:rPr>
                    <m:t>SF</m:t>
                  </m:r>
                  <m:sSub>
                    <m:sSubPr>
                      <m:ctrlPr>
                        <w:rPr>
                          <w:rFonts w:ascii="Cambria Math" w:hAnsi="Cambria Math"/>
                          <w:i/>
                        </w:rPr>
                      </m:ctrlPr>
                    </m:sSubPr>
                    <m:e>
                      <m:r>
                        <w:rPr>
                          <w:rFonts w:ascii="Cambria Math" w:hAnsi="Cambria Math"/>
                        </w:rPr>
                        <m:t>N</m:t>
                      </m:r>
                    </m:e>
                    <m:sub>
                      <m:r>
                        <w:rPr>
                          <w:rFonts w:ascii="Cambria Math" w:hAnsi="Cambria Math"/>
                        </w:rPr>
                        <m:t>id</m:t>
                      </m:r>
                    </m:sub>
                  </m:sSub>
                </m:num>
                <m:den>
                  <m:r>
                    <w:rPr>
                      <w:rFonts w:ascii="Cambria Math" w:hAnsi="Cambria Math"/>
                    </w:rPr>
                    <m:t>4</m:t>
                  </m:r>
                </m:den>
              </m:f>
            </m:e>
          </m:d>
          <m:r>
            <w:rPr>
              <w:rFonts w:ascii="Cambria Math" w:hAnsi="Cambria Math"/>
            </w:rPr>
            <m:t>+256*carrier_id</m:t>
          </m:r>
        </m:oMath>
      </m:oMathPara>
    </w:p>
    <w:p w14:paraId="0832B0D5" w14:textId="77777777" w:rsidR="00B852EC" w:rsidRPr="00F01F5D" w:rsidRDefault="00B852EC" w:rsidP="00B852EC">
      <w:r w:rsidRPr="00F01F5D">
        <w:t xml:space="preserve">where </w:t>
      </w:r>
      <m:oMath>
        <m:r>
          <w:rPr>
            <w:rFonts w:ascii="Cambria Math" w:hAnsi="Cambria Math"/>
          </w:rPr>
          <m:t>SFN_id</m:t>
        </m:r>
      </m:oMath>
      <w:r w:rsidRPr="00F01F5D">
        <w:t xml:space="preserve"> is the index of the first radio frame of the specified PRACH and </w:t>
      </w:r>
      <m:oMath>
        <m:r>
          <w:rPr>
            <w:rFonts w:ascii="Cambria Math" w:hAnsi="Cambria Math"/>
          </w:rPr>
          <m:t>carrier_id</m:t>
        </m:r>
      </m:oMath>
      <w:r w:rsidRPr="00F01F5D">
        <w:t xml:space="preserve"> is the index of the UL carrier</w:t>
      </w:r>
      <w:r>
        <w:t>.</w:t>
      </w:r>
    </w:p>
    <w:p w14:paraId="1BB69BE5" w14:textId="27525039" w:rsidR="00B852EC" w:rsidRDefault="00B852EC" w:rsidP="00B852EC">
      <w:r w:rsidRPr="00CB7398">
        <w:t xml:space="preserve">In IoT-NTN TDD mode, subject to agreement in RAN1, if NPRACH opportunities </w:t>
      </w:r>
      <w:r w:rsidR="00ED334F">
        <w:t xml:space="preserve">that </w:t>
      </w:r>
      <w:r w:rsidRPr="00CB7398">
        <w:t xml:space="preserve">fall within inactive uplink times (non-U subframes) are postponed to the next active uplink times (U subframes), the calculation of RA-RNTI becomes ambiguous. The </w:t>
      </w:r>
      <w:proofErr w:type="spellStart"/>
      <w:r w:rsidRPr="00CB7398">
        <w:t>eNodeB</w:t>
      </w:r>
      <w:proofErr w:type="spellEnd"/>
      <w:r w:rsidRPr="00CB7398">
        <w:t xml:space="preserve"> calculates RA-RNTI based on the SFN of the first radio frame in which the Random-Access Preamble is received. Therefore, the UE should calculate RA-RNTI based on the SFN of the first radio frame in which the Random-Access Preamble is transmitted after the postponement, not the actual occurrence of the NPRACH opportunity.</w:t>
      </w:r>
    </w:p>
    <w:p w14:paraId="478762BA" w14:textId="77777777" w:rsidR="00B852EC" w:rsidRDefault="00B852EC" w:rsidP="00B852EC">
      <w:r>
        <w:rPr>
          <w:b/>
        </w:rPr>
        <w:t xml:space="preserve">Proposal 11: </w:t>
      </w:r>
      <w:r>
        <w:t xml:space="preserve">In IoT-NTN TDD mode, The RA-RNTI should be calculated </w:t>
      </w:r>
      <w:r w:rsidRPr="00CB7398">
        <w:t>based on the SFN of the first radio frame in which the Random-Access Preamble is transmitted after the postponement, not the actual occurrence of the NPRACH opportunity.</w:t>
      </w:r>
    </w:p>
    <w:p w14:paraId="2FE35ECD" w14:textId="77777777" w:rsidR="00B852EC" w:rsidRDefault="00B852EC" w:rsidP="00B852EC">
      <w:pPr>
        <w:pStyle w:val="Heading5"/>
      </w:pPr>
      <w:r>
        <w:t>RAR Window</w:t>
      </w:r>
    </w:p>
    <w:p w14:paraId="40B8A129" w14:textId="2F0FA088" w:rsidR="00B852EC" w:rsidRDefault="00B852EC" w:rsidP="00B852EC">
      <w:r w:rsidRPr="00C55C1C">
        <w:t>The RAR window size and Contention Resolution timer are specified in terms of NPDCCH periods, with maximum values of 10 and 64 NPDCCH periods, respectively.</w:t>
      </w:r>
      <w:r>
        <w:t xml:space="preserve"> The maximum value of RAR window size and Contention Resolution timer is capped at 10.24s.  In NTN, start of the RAR window is delayed considering </w:t>
      </w:r>
      <w:proofErr w:type="spellStart"/>
      <w:r>
        <w:t>Kmac</w:t>
      </w:r>
      <w:proofErr w:type="spellEnd"/>
      <w:r>
        <w:t xml:space="preserve"> value as illustrated in </w:t>
      </w:r>
      <w:r>
        <w:fldChar w:fldCharType="begin"/>
      </w:r>
      <w:r>
        <w:instrText xml:space="preserve"> REF _Ref189568110 \h </w:instrText>
      </w:r>
      <w:r>
        <w:fldChar w:fldCharType="separate"/>
      </w:r>
      <w:r w:rsidR="00917AEC">
        <w:t xml:space="preserve">Figure </w:t>
      </w:r>
      <w:r w:rsidR="00917AEC">
        <w:rPr>
          <w:noProof/>
        </w:rPr>
        <w:t>5</w:t>
      </w:r>
      <w:r>
        <w:fldChar w:fldCharType="end"/>
      </w:r>
      <w:r>
        <w:t xml:space="preserve">. </w:t>
      </w:r>
      <w:r w:rsidRPr="00C55C1C">
        <w:t xml:space="preserve">The RACH procedure can operate with the existing values of these parameters. </w:t>
      </w:r>
      <w:r>
        <w:t>However, a</w:t>
      </w:r>
      <w:r w:rsidRPr="00F56A7A">
        <w:t xml:space="preserve"> smaller NPDCCH period value will </w:t>
      </w:r>
      <w:r w:rsidRPr="00F56A7A">
        <w:lastRenderedPageBreak/>
        <w:t>result in either no downlink active opportunities or very few within the maximum allowed RAR window size of 10 NPDCCH periods. For instance, with the minimum NPDCCH period value of 4ms, the maximum RAR window size is only 40ms.</w:t>
      </w:r>
    </w:p>
    <w:p w14:paraId="060B6EB3" w14:textId="77777777" w:rsidR="00B852EC" w:rsidRDefault="00B852EC" w:rsidP="00B852EC">
      <w:pPr>
        <w:keepNext/>
        <w:jc w:val="center"/>
      </w:pPr>
      <w:r w:rsidRPr="007130CB">
        <w:rPr>
          <w:noProof/>
        </w:rPr>
        <w:drawing>
          <wp:inline distT="0" distB="0" distL="0" distR="0" wp14:anchorId="307DA3E5" wp14:editId="5F054DA6">
            <wp:extent cx="5731510" cy="1256030"/>
            <wp:effectExtent l="0" t="0" r="2540" b="1270"/>
            <wp:docPr id="259" name="Picture 259" descr="A close-up of a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box&#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731510" cy="1256030"/>
                    </a:xfrm>
                    <a:prstGeom prst="rect">
                      <a:avLst/>
                    </a:prstGeom>
                  </pic:spPr>
                </pic:pic>
              </a:graphicData>
            </a:graphic>
          </wp:inline>
        </w:drawing>
      </w:r>
    </w:p>
    <w:p w14:paraId="7FA28378" w14:textId="1369B5F9" w:rsidR="00B852EC" w:rsidRDefault="00B852EC" w:rsidP="00B852EC">
      <w:pPr>
        <w:pStyle w:val="Caption"/>
      </w:pPr>
      <w:bookmarkStart w:id="20" w:name="_Ref189568110"/>
      <w:r>
        <w:t xml:space="preserve">Figure </w:t>
      </w:r>
      <w:fldSimple w:instr=" SEQ Figure \* ARABIC ">
        <w:r w:rsidR="00917AEC">
          <w:rPr>
            <w:noProof/>
          </w:rPr>
          <w:t>5</w:t>
        </w:r>
      </w:fldSimple>
      <w:bookmarkEnd w:id="20"/>
      <w:r>
        <w:t xml:space="preserve"> RAR window start time and size</w:t>
      </w:r>
    </w:p>
    <w:p w14:paraId="189A8683" w14:textId="3179B7E7" w:rsidR="00B852EC" w:rsidRPr="00F56A7A" w:rsidRDefault="00B852EC" w:rsidP="00B852EC">
      <w:r>
        <w:t xml:space="preserve">In IoT-NTN TDD mode, with D=8 and N=9, an NPDCCH period less than 64ms is not practical, as most of the search spaces become unusable due to NPDCCH postponements around NB-IoT downlink subframes. Network operators are expected to configure practical values for the NPDCCH period, using a value </w:t>
      </w:r>
      <w:r w:rsidR="00C67B01">
        <w:t xml:space="preserve">of </w:t>
      </w:r>
      <w:r>
        <w:t>64ms or higher. In the ongoing RAN1#120bis meeting, we have proposed either providing network configuration guidance or make it explicit in the specification that, for the IoT-NTN TDD mode, the minimum allowed value of the NPDCCH period is 64ms instead of the current minimum allowed value of 4ms.</w:t>
      </w:r>
    </w:p>
    <w:p w14:paraId="7B270310" w14:textId="77777777" w:rsidR="00B852EC" w:rsidRDefault="00B852EC" w:rsidP="00B852EC">
      <w:r>
        <w:rPr>
          <w:b/>
        </w:rPr>
        <w:t xml:space="preserve">Observation 13: </w:t>
      </w:r>
      <w:r>
        <w:t>In IoT-NTN TDD mode, when the minimum NPDCCH period is configured as 64, the existing set of RAR window configuration parameters is sufficient.</w:t>
      </w:r>
    </w:p>
    <w:p w14:paraId="22AD74DA" w14:textId="77777777" w:rsidR="00B852EC" w:rsidRDefault="00B852EC" w:rsidP="00B852EC">
      <w:pPr>
        <w:pStyle w:val="Heading4"/>
      </w:pPr>
      <w:r>
        <w:t xml:space="preserve">MAC Timers </w:t>
      </w:r>
    </w:p>
    <w:p w14:paraId="7368825E" w14:textId="77777777" w:rsidR="00B852EC" w:rsidRDefault="00B852EC" w:rsidP="00B852EC">
      <w:r>
        <w:t>There are various protocol timers in the MAC which are specified in multiples of NPDCCH period (pp). These timers are copied here for ease of reference:</w:t>
      </w:r>
    </w:p>
    <w:p w14:paraId="0B5E52AD" w14:textId="77777777" w:rsidR="00B852EC" w:rsidRPr="00F81B70" w:rsidRDefault="00B852EC" w:rsidP="00B852EC">
      <w:pPr>
        <w:rPr>
          <w:rFonts w:ascii="Cambria Math" w:hAnsi="Cambria Math"/>
          <w:i/>
        </w:rPr>
      </w:pPr>
      <w:r w:rsidRPr="00F81B70">
        <w:rPr>
          <w:rFonts w:ascii="Cambria Math" w:hAnsi="Cambria Math"/>
          <w:i/>
        </w:rPr>
        <w:t>logicalChannelSR-ProhibitTimer-r13</w:t>
      </w:r>
      <w:r>
        <w:rPr>
          <w:rFonts w:ascii="Cambria Math" w:hAnsi="Cambria Math"/>
          <w:i/>
        </w:rPr>
        <w:t xml:space="preserve"> =</w:t>
      </w:r>
      <w:r w:rsidRPr="00F81B70">
        <w:rPr>
          <w:rFonts w:ascii="Cambria Math" w:hAnsi="Cambria Math"/>
          <w:i/>
        </w:rPr>
        <w:t xml:space="preserve"> ENUMERATED {pp2, pp8, pp32, pp128, pp512,</w:t>
      </w:r>
      <w:r>
        <w:rPr>
          <w:rFonts w:ascii="Cambria Math" w:hAnsi="Cambria Math"/>
          <w:i/>
        </w:rPr>
        <w:t xml:space="preserve"> </w:t>
      </w:r>
      <w:r w:rsidRPr="00F81B70">
        <w:rPr>
          <w:rFonts w:ascii="Cambria Math" w:hAnsi="Cambria Math"/>
          <w:i/>
        </w:rPr>
        <w:t>pp1024, pp2048</w:t>
      </w:r>
      <w:r>
        <w:rPr>
          <w:rFonts w:ascii="Cambria Math" w:hAnsi="Cambria Math"/>
          <w:i/>
        </w:rPr>
        <w:t>, spare</w:t>
      </w:r>
      <w:r w:rsidRPr="00F81B70">
        <w:rPr>
          <w:rFonts w:ascii="Cambria Math" w:hAnsi="Cambria Math"/>
          <w:i/>
        </w:rPr>
        <w:t>}</w:t>
      </w:r>
    </w:p>
    <w:p w14:paraId="3C967A82" w14:textId="77777777" w:rsidR="00B852EC" w:rsidRDefault="00B852EC" w:rsidP="00B852EC">
      <w:pPr>
        <w:rPr>
          <w:rFonts w:ascii="Cambria Math" w:hAnsi="Cambria Math"/>
          <w:i/>
        </w:rPr>
      </w:pPr>
      <w:r w:rsidRPr="00F81B70">
        <w:rPr>
          <w:rFonts w:ascii="Cambria Math" w:hAnsi="Cambria Math"/>
          <w:i/>
        </w:rPr>
        <w:t xml:space="preserve">PeriodicBSR-Timer-NB-r13 </w:t>
      </w:r>
      <w:r>
        <w:rPr>
          <w:rFonts w:ascii="Cambria Math" w:hAnsi="Cambria Math"/>
          <w:i/>
        </w:rPr>
        <w:t xml:space="preserve">= </w:t>
      </w:r>
      <w:r w:rsidRPr="00F81B70">
        <w:rPr>
          <w:rFonts w:ascii="Cambria Math" w:hAnsi="Cambria Math"/>
          <w:i/>
        </w:rPr>
        <w:t>ENUMERATED {pp2, pp4, pp8, pp16, pp64, pp128, infinity, spare}</w:t>
      </w:r>
    </w:p>
    <w:p w14:paraId="73E6A7E3" w14:textId="77777777" w:rsidR="00B852EC" w:rsidRDefault="00B852EC" w:rsidP="00B852EC">
      <w:pPr>
        <w:rPr>
          <w:rFonts w:ascii="Cambria Math" w:hAnsi="Cambria Math"/>
          <w:i/>
        </w:rPr>
      </w:pPr>
      <w:r w:rsidRPr="00F81B70">
        <w:rPr>
          <w:rFonts w:ascii="Cambria Math" w:hAnsi="Cambria Math"/>
          <w:i/>
        </w:rPr>
        <w:t>RetxBSR-Timer-NB-r13 =ENUMERATED {pp4, pp16, pp64, pp128, pp256, pp512, infinity, spare}</w:t>
      </w:r>
    </w:p>
    <w:p w14:paraId="72C3A76C" w14:textId="77777777" w:rsidR="00B852EC" w:rsidRPr="0048771D" w:rsidRDefault="00B852EC" w:rsidP="00B852EC">
      <w:pPr>
        <w:rPr>
          <w:rFonts w:ascii="Cambria Math" w:eastAsiaTheme="minorEastAsia" w:hAnsi="Cambria Math"/>
          <w:i/>
        </w:rPr>
      </w:pPr>
      <m:oMathPara>
        <m:oMathParaPr>
          <m:jc m:val="left"/>
        </m:oMathParaPr>
        <m:oMath>
          <m:r>
            <w:rPr>
              <w:rFonts w:ascii="Cambria Math" w:hAnsi="Cambria Math"/>
            </w:rPr>
            <m:t>pur-ResponseWindowTimer-r16 ENUMERATED {pp1, pp2, pp3, pp4, pp8, pp16, pp32, pp64}</m:t>
          </m:r>
        </m:oMath>
      </m:oMathPara>
    </w:p>
    <w:p w14:paraId="56FAD318" w14:textId="77777777" w:rsidR="00B852EC" w:rsidRPr="0048771D" w:rsidRDefault="00B852EC" w:rsidP="00B852EC">
      <w:pPr>
        <w:rPr>
          <w:rFonts w:ascii="Cambria Math" w:hAnsi="Cambria Math"/>
          <w:i/>
        </w:rPr>
      </w:pPr>
      <w:r w:rsidRPr="0048771D">
        <w:rPr>
          <w:rFonts w:ascii="Cambria Math" w:hAnsi="Cambria Math"/>
          <w:i/>
        </w:rPr>
        <w:t>mac-ContentionResolutionTimer-r13 ENUMERATED {pp1, pp2, pp3, pp4, pp8, pp16, pp32, pp64}</w:t>
      </w:r>
    </w:p>
    <w:p w14:paraId="6F81191B" w14:textId="77777777" w:rsidR="00B852EC" w:rsidRDefault="00B852EC" w:rsidP="00B852EC">
      <w:r>
        <w:t>C-DRX related timers:</w:t>
      </w:r>
    </w:p>
    <w:p w14:paraId="46AD1566" w14:textId="77777777" w:rsidR="00B852EC" w:rsidRDefault="00B852EC" w:rsidP="00B852EC">
      <w:pPr>
        <w:rPr>
          <w:rFonts w:ascii="Cambria Math" w:hAnsi="Cambria Math"/>
          <w:i/>
        </w:rPr>
      </w:pPr>
      <w:r w:rsidRPr="00F81B70">
        <w:rPr>
          <w:rFonts w:ascii="Cambria Math" w:hAnsi="Cambria Math"/>
          <w:i/>
        </w:rPr>
        <w:t>onDurationTimer-r13 ENUMERATED {pp1, pp2, pp3, pp4, pp8, pp16, pp32, spare}</w:t>
      </w:r>
    </w:p>
    <w:p w14:paraId="791AB5CE" w14:textId="77777777" w:rsidR="00B852EC" w:rsidRDefault="00B852EC" w:rsidP="00B852EC">
      <w:pPr>
        <w:rPr>
          <w:rFonts w:ascii="Cambria Math" w:hAnsi="Cambria Math"/>
          <w:i/>
        </w:rPr>
      </w:pPr>
      <w:r w:rsidRPr="00F81B70">
        <w:rPr>
          <w:rFonts w:ascii="Cambria Math" w:hAnsi="Cambria Math"/>
          <w:i/>
        </w:rPr>
        <w:t>drx-InactivityTimer-r13 ENUMERATED {pp0, pp1, pp2, pp3, pp4, pp8, pp16, pp32}</w:t>
      </w:r>
    </w:p>
    <w:p w14:paraId="10BD922E" w14:textId="77777777" w:rsidR="00B852EC" w:rsidRPr="00F81B70" w:rsidRDefault="00B852EC" w:rsidP="00B852EC">
      <w:pPr>
        <w:rPr>
          <w:rFonts w:ascii="Cambria Math" w:hAnsi="Cambria Math"/>
          <w:i/>
        </w:rPr>
      </w:pPr>
      <w:r w:rsidRPr="008A663A">
        <w:rPr>
          <w:rFonts w:ascii="Cambria Math" w:hAnsi="Cambria Math"/>
          <w:i/>
        </w:rPr>
        <w:lastRenderedPageBreak/>
        <w:t>drx-RetransmissionTimer-r13 ENUMERATED {pp0, pp1, pp2, pp4, pp6, pp8, pp16, pp24,</w:t>
      </w:r>
      <w:r>
        <w:rPr>
          <w:rFonts w:ascii="Cambria Math" w:hAnsi="Cambria Math"/>
          <w:i/>
        </w:rPr>
        <w:t xml:space="preserve"> </w:t>
      </w:r>
      <w:r w:rsidRPr="008A663A">
        <w:rPr>
          <w:rFonts w:ascii="Cambria Math" w:hAnsi="Cambria Math"/>
          <w:i/>
        </w:rPr>
        <w:t>pp33,}</w:t>
      </w:r>
    </w:p>
    <w:p w14:paraId="539DA961" w14:textId="77777777" w:rsidR="00B852EC" w:rsidRPr="00981531" w:rsidRDefault="00B852EC" w:rsidP="00B852EC">
      <w:pPr>
        <w:rPr>
          <w:rFonts w:ascii="Cambria Math" w:hAnsi="Cambria Math"/>
          <w:i/>
        </w:rPr>
      </w:pPr>
      <w:r w:rsidRPr="008A663A">
        <w:rPr>
          <w:rFonts w:ascii="Cambria Math" w:hAnsi="Cambria Math"/>
          <w:i/>
        </w:rPr>
        <w:t>drx-ULRetransmissionTimer-r13 ENUMERATED {</w:t>
      </w:r>
      <w:r>
        <w:rPr>
          <w:rFonts w:ascii="Cambria Math" w:hAnsi="Cambria Math"/>
          <w:i/>
        </w:rPr>
        <w:t>pp</w:t>
      </w:r>
      <w:r w:rsidRPr="008A663A">
        <w:rPr>
          <w:rFonts w:ascii="Cambria Math" w:hAnsi="Cambria Math"/>
          <w:i/>
        </w:rPr>
        <w:t>0, pp1, pp2, pp4, pp6, pp8, pp16, pp24,</w:t>
      </w:r>
      <w:r>
        <w:rPr>
          <w:rFonts w:ascii="Cambria Math" w:hAnsi="Cambria Math"/>
          <w:i/>
        </w:rPr>
        <w:t xml:space="preserve"> </w:t>
      </w:r>
      <w:r w:rsidRPr="008A663A">
        <w:rPr>
          <w:rFonts w:ascii="Cambria Math" w:hAnsi="Cambria Math"/>
          <w:i/>
        </w:rPr>
        <w:t>pp33, pp40, pp64, pp80, pp96,</w:t>
      </w:r>
      <w:r>
        <w:rPr>
          <w:rFonts w:ascii="Cambria Math" w:hAnsi="Cambria Math"/>
          <w:i/>
        </w:rPr>
        <w:t xml:space="preserve"> </w:t>
      </w:r>
      <w:r w:rsidRPr="008A663A">
        <w:rPr>
          <w:rFonts w:ascii="Cambria Math" w:hAnsi="Cambria Math"/>
          <w:i/>
        </w:rPr>
        <w:t>pp112, pp128, pp160, pp320}</w:t>
      </w:r>
    </w:p>
    <w:p w14:paraId="6277D0B1" w14:textId="77777777" w:rsidR="00B852EC" w:rsidRDefault="00B852EC" w:rsidP="00B852EC">
      <w:r>
        <w:rPr>
          <w:rFonts w:eastAsiaTheme="minorEastAsia" w:cstheme="minorHAnsi"/>
          <w:iCs/>
        </w:rPr>
        <w:t xml:space="preserve">These timers are not counted in terms of postponed NPDCCH search spaces around NB-IoT downlink subframes. </w:t>
      </w:r>
      <w:r w:rsidRPr="0048771D">
        <w:rPr>
          <w:rFonts w:eastAsiaTheme="minorEastAsia" w:cstheme="minorHAnsi"/>
          <w:iCs/>
        </w:rPr>
        <w:t xml:space="preserve">If </w:t>
      </w:r>
      <w:r>
        <w:rPr>
          <w:rFonts w:eastAsiaTheme="minorEastAsia" w:cstheme="minorHAnsi"/>
          <w:iCs/>
        </w:rPr>
        <w:t xml:space="preserve">the </w:t>
      </w:r>
      <w:r w:rsidRPr="0048771D">
        <w:rPr>
          <w:rFonts w:eastAsiaTheme="minorEastAsia" w:cstheme="minorHAnsi"/>
          <w:iCs/>
        </w:rPr>
        <w:t>NPDCCH</w:t>
      </w:r>
      <w:r>
        <w:rPr>
          <w:rFonts w:eastAsiaTheme="minorEastAsia" w:cstheme="minorHAnsi"/>
          <w:iCs/>
        </w:rPr>
        <w:t xml:space="preserve"> period is lower than 64, not all the allowed values for these timers are practical and can have a negative impact on the protocol performance.  </w:t>
      </w:r>
      <w:r w:rsidRPr="00F56A7A">
        <w:t xml:space="preserve">For instance, with the minimum NPDCCH period value of 4ms, </w:t>
      </w:r>
      <w:r>
        <w:t>timer values lower than pp16 are not functional in IoT-NTN TDD mode</w:t>
      </w:r>
      <w:r w:rsidRPr="00F56A7A">
        <w:t>.</w:t>
      </w:r>
    </w:p>
    <w:p w14:paraId="298E0A11" w14:textId="74E15FE3" w:rsidR="00B852EC" w:rsidRDefault="00B852EC" w:rsidP="00B852EC">
      <w:r>
        <w:t>Network operators are expected to configure practical values for the NPDCCH period, using a value</w:t>
      </w:r>
      <w:r w:rsidR="00B50667">
        <w:t xml:space="preserve"> of</w:t>
      </w:r>
      <w:r>
        <w:t xml:space="preserve"> 64ms or higher. </w:t>
      </w:r>
      <w:r w:rsidR="00BE20A0">
        <w:t>For the upcoming</w:t>
      </w:r>
      <w:r>
        <w:t xml:space="preserve"> RAN1#120</w:t>
      </w:r>
      <w:r w:rsidR="00BE20A0">
        <w:t>-</w:t>
      </w:r>
      <w:r>
        <w:t xml:space="preserve">bis meeting, we have proposed either </w:t>
      </w:r>
      <w:r w:rsidR="00B1300E">
        <w:t>to provide</w:t>
      </w:r>
      <w:r>
        <w:t xml:space="preserve"> network configuration guidance or</w:t>
      </w:r>
      <w:r w:rsidR="004D7E7D">
        <w:t xml:space="preserve"> to</w:t>
      </w:r>
      <w:r>
        <w:t xml:space="preserve"> make it explicit in the specification that, for the IoT-NTN TDD mode, the minimum allowed value of the NPDCCH period is 64ms instead of the current minimum allowed value of 4ms.</w:t>
      </w:r>
    </w:p>
    <w:p w14:paraId="4924FA01" w14:textId="77777777" w:rsidR="00B852EC" w:rsidRDefault="00B852EC" w:rsidP="00B852EC">
      <w:pPr>
        <w:jc w:val="both"/>
      </w:pPr>
      <w:r>
        <w:rPr>
          <w:b/>
        </w:rPr>
        <w:t xml:space="preserve">Proposal 12: </w:t>
      </w:r>
      <w:r>
        <w:t>RAN2 should send LS to RAN1 to ensure that in IoT-NTN TDD mode, the minimum allowed value of the NPDCCH period is 64ms instead of the current minimum allowed value of 4ms when D=8 and N=9.</w:t>
      </w:r>
    </w:p>
    <w:p w14:paraId="2A97CB4F" w14:textId="77777777" w:rsidR="00B852EC" w:rsidRDefault="00B852EC" w:rsidP="00B852EC">
      <w:pPr>
        <w:pStyle w:val="Heading4"/>
      </w:pPr>
      <w:r>
        <w:t>Cell Access and Barring</w:t>
      </w:r>
    </w:p>
    <w:p w14:paraId="1C5F7277" w14:textId="6200C231" w:rsidR="00B852EC" w:rsidRDefault="00B852EC" w:rsidP="00B852EC">
      <w:r w:rsidRPr="00D70C1D">
        <w:t>A U</w:t>
      </w:r>
      <w:r>
        <w:t xml:space="preserve">E </w:t>
      </w:r>
      <w:r w:rsidRPr="00D70C1D">
        <w:t xml:space="preserve">must acquire SIB1 to determine if a cell is barred for access in either a terrestrial or non-terrestrial network, based on the </w:t>
      </w:r>
      <w:r>
        <w:t>IE</w:t>
      </w:r>
      <w:r w:rsidRPr="00D70C1D">
        <w:t> cellBarred-r13 and cellBarred-NTN-r17, respectively. The IoT-NTN TDD mode and the associated EUTRA RF band will be introduced in Release 19, meaning any pre-Release 19 UE will not be able to detect the IoT-NTN TDD cell. There is no overlap in the downlink between the new IoT-NTN TDD band (1616 – 1626.5 MHz) and the existing EUTRA bands.</w:t>
      </w:r>
    </w:p>
    <w:p w14:paraId="14B6EDC4" w14:textId="5226B621" w:rsidR="00B852EC" w:rsidRDefault="00B852EC" w:rsidP="00B852EC">
      <w:r>
        <w:t>For Rel-19 and later UEs, if a UE does not support IoT-NTN TDD mode, it shall not be able to detect the NPSS or read the MIB and SIB1 of the IoT-NTN TDD cell.</w:t>
      </w:r>
    </w:p>
    <w:p w14:paraId="48CC23F6" w14:textId="3225F225" w:rsidR="00B852EC" w:rsidRDefault="00B852EC" w:rsidP="00B852EC">
      <w:r>
        <w:t>For Rel-19 and later UEs supporting IoT-NTN TDD mode, they shall be able to detect an IoT-NTN TDD cell. The existing SIB1 fields, cellBarred-r13 and cellBarred-NTN-r17, should be sufficient to control access to the IoT-NTN TDD cell.</w:t>
      </w:r>
    </w:p>
    <w:p w14:paraId="5A8C7134" w14:textId="74C74D54" w:rsidR="00B852EC" w:rsidRPr="00806360" w:rsidRDefault="00B852EC" w:rsidP="00B852EC">
      <w:pPr>
        <w:pStyle w:val="paragraph"/>
        <w:spacing w:before="0" w:beforeAutospacing="0" w:after="0" w:afterAutospacing="0"/>
        <w:textAlignment w:val="baseline"/>
        <w:rPr>
          <w:rFonts w:asciiTheme="minorHAnsi" w:hAnsiTheme="minorHAnsi" w:cstheme="minorHAnsi"/>
          <w:sz w:val="18"/>
          <w:szCs w:val="18"/>
        </w:rPr>
      </w:pPr>
      <w:r>
        <w:rPr>
          <w:rStyle w:val="normaltextrun"/>
          <w:rFonts w:asciiTheme="minorHAnsi" w:hAnsiTheme="minorHAnsi" w:cstheme="minorHAnsi"/>
          <w:b/>
          <w:bCs/>
        </w:rPr>
        <w:t>Proposal 13</w:t>
      </w:r>
      <w:r w:rsidRPr="00806360">
        <w:rPr>
          <w:rStyle w:val="normaltextrun"/>
          <w:rFonts w:asciiTheme="minorHAnsi" w:hAnsiTheme="minorHAnsi" w:cstheme="minorHAnsi"/>
          <w:b/>
          <w:bCs/>
        </w:rPr>
        <w:t xml:space="preserve">: </w:t>
      </w:r>
      <w:r w:rsidRPr="00806360">
        <w:rPr>
          <w:rStyle w:val="normaltextrun"/>
          <w:rFonts w:asciiTheme="minorHAnsi" w:hAnsiTheme="minorHAnsi" w:cstheme="minorHAnsi"/>
        </w:rPr>
        <w:t xml:space="preserve">In IoT-NTN TDD mode, existing cell barring mechanism using the IE </w:t>
      </w:r>
      <w:r w:rsidRPr="00806360">
        <w:rPr>
          <w:rFonts w:asciiTheme="minorHAnsi" w:eastAsia="MS Mincho" w:hAnsiTheme="minorHAnsi" w:cstheme="minorHAnsi"/>
        </w:rPr>
        <w:t>cellBarred-</w:t>
      </w:r>
      <w:r w:rsidRPr="00806360">
        <w:rPr>
          <w:rFonts w:asciiTheme="minorHAnsi" w:hAnsiTheme="minorHAnsi" w:cstheme="minorHAnsi"/>
        </w:rPr>
        <w:t xml:space="preserve">r13 and </w:t>
      </w:r>
      <w:r w:rsidRPr="00806360">
        <w:rPr>
          <w:rFonts w:asciiTheme="minorHAnsi" w:eastAsia="MS Mincho" w:hAnsiTheme="minorHAnsi" w:cstheme="minorHAnsi"/>
        </w:rPr>
        <w:t>cellBarred-NTN-r17</w:t>
      </w:r>
      <w:r>
        <w:rPr>
          <w:rFonts w:asciiTheme="minorHAnsi" w:eastAsia="MS Mincho" w:hAnsiTheme="minorHAnsi" w:cstheme="minorHAnsi"/>
        </w:rPr>
        <w:t xml:space="preserve"> in SIB1</w:t>
      </w:r>
      <w:r w:rsidRPr="00806360">
        <w:rPr>
          <w:rFonts w:asciiTheme="minorHAnsi" w:eastAsia="MS Mincho" w:hAnsiTheme="minorHAnsi" w:cstheme="minorHAnsi"/>
        </w:rPr>
        <w:t xml:space="preserve"> is sufficient to control access to the IoT-NTN TDD cell.</w:t>
      </w:r>
    </w:p>
    <w:p w14:paraId="58DFB3C0" w14:textId="77777777" w:rsidR="00B852EC" w:rsidRDefault="00B852EC" w:rsidP="00B852EC"/>
    <w:p w14:paraId="18FFC11E" w14:textId="77777777" w:rsidR="00B852EC" w:rsidRDefault="00B852EC" w:rsidP="00B852EC">
      <w:pPr>
        <w:pStyle w:val="Heading2"/>
      </w:pPr>
      <w:r>
        <w:lastRenderedPageBreak/>
        <w:t>Round Trip Delay</w:t>
      </w:r>
    </w:p>
    <w:p w14:paraId="26A052BF" w14:textId="352C6509" w:rsidR="00B852EC" w:rsidRDefault="00B852EC" w:rsidP="00B852EC">
      <w:pPr>
        <w:pStyle w:val="paragraph"/>
        <w:spacing w:before="0" w:beforeAutospacing="0" w:after="0" w:afterAutospacing="0"/>
        <w:ind w:left="360"/>
        <w:textAlignment w:val="baseline"/>
        <w:rPr>
          <w:rStyle w:val="normaltextrun"/>
          <w:rFonts w:ascii="Calibri" w:hAnsi="Calibri" w:cs="Calibri"/>
        </w:rPr>
      </w:pPr>
      <w:r>
        <w:rPr>
          <w:rStyle w:val="wacimagecontainer"/>
          <w:rFonts w:ascii="Segoe UI" w:hAnsi="Segoe UI" w:cs="Segoe UI"/>
          <w:noProof/>
          <w:color w:val="000000"/>
          <w:sz w:val="18"/>
          <w:szCs w:val="18"/>
          <w:shd w:val="clear" w:color="auto" w:fill="FFFFFF"/>
        </w:rPr>
        <w:drawing>
          <wp:inline distT="0" distB="0" distL="0" distR="0" wp14:anchorId="42CB2C20" wp14:editId="5A777E12">
            <wp:extent cx="2019935" cy="1544320"/>
            <wp:effectExtent l="0" t="0" r="0" b="0"/>
            <wp:docPr id="2117269196" name="Picture 2" descr="Diagram&#10;&#10;&#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19935" cy="1544320"/>
                    </a:xfrm>
                    <a:prstGeom prst="rect">
                      <a:avLst/>
                    </a:prstGeom>
                    <a:noFill/>
                    <a:ln>
                      <a:noFill/>
                    </a:ln>
                  </pic:spPr>
                </pic:pic>
              </a:graphicData>
            </a:graphic>
          </wp:inline>
        </w:drawing>
      </w:r>
      <w:r w:rsidRPr="003D3F5F">
        <w:rPr>
          <w:rFonts w:ascii="Segoe UI" w:hAnsi="Segoe UI" w:cs="Segoe UI"/>
          <w:color w:val="000000"/>
          <w:sz w:val="18"/>
          <w:szCs w:val="18"/>
          <w:shd w:val="clear" w:color="auto" w:fill="FFFFFF"/>
        </w:rPr>
        <w:t xml:space="preserve"> </w:t>
      </w:r>
      <w:r>
        <w:rPr>
          <w:rFonts w:ascii="Segoe UI" w:hAnsi="Segoe UI" w:cs="Segoe UI"/>
          <w:color w:val="000000"/>
          <w:sz w:val="18"/>
          <w:szCs w:val="18"/>
          <w:shd w:val="clear" w:color="auto" w:fill="FFFFFF"/>
        </w:rPr>
        <w:t xml:space="preserve">  </w:t>
      </w:r>
      <w:r>
        <w:rPr>
          <w:rStyle w:val="wacimagecontainer"/>
          <w:rFonts w:ascii="Segoe UI" w:hAnsi="Segoe UI" w:cs="Segoe UI"/>
          <w:noProof/>
          <w:color w:val="000000"/>
          <w:sz w:val="18"/>
          <w:szCs w:val="18"/>
          <w:shd w:val="clear" w:color="auto" w:fill="FFFFFF"/>
        </w:rPr>
        <w:drawing>
          <wp:inline distT="0" distB="0" distL="0" distR="0" wp14:anchorId="0768AA62" wp14:editId="038ACA85">
            <wp:extent cx="2606040" cy="1433830"/>
            <wp:effectExtent l="0" t="0" r="0" b="0"/>
            <wp:docPr id="1364434783" name="Picture 1" descr="Diagram&#10;&#10;&#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agram&#10;&#10;&#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6040" cy="1433830"/>
                    </a:xfrm>
                    <a:prstGeom prst="rect">
                      <a:avLst/>
                    </a:prstGeom>
                    <a:noFill/>
                    <a:ln>
                      <a:noFill/>
                    </a:ln>
                  </pic:spPr>
                </pic:pic>
              </a:graphicData>
            </a:graphic>
          </wp:inline>
        </w:drawing>
      </w:r>
      <w:r>
        <w:rPr>
          <w:rFonts w:ascii="Calibri" w:hAnsi="Calibri" w:cs="Calibri"/>
          <w:color w:val="000000"/>
          <w:shd w:val="clear" w:color="auto" w:fill="FFFFFF"/>
        </w:rPr>
        <w:br/>
      </w:r>
      <w:r>
        <w:rPr>
          <w:rFonts w:ascii="Segoe UI" w:hAnsi="Segoe UI" w:cs="Segoe UI"/>
          <w:color w:val="000000"/>
          <w:sz w:val="18"/>
          <w:szCs w:val="18"/>
          <w:shd w:val="clear" w:color="auto" w:fill="FFFFFF"/>
        </w:rPr>
        <w:br/>
      </w:r>
      <w:r>
        <w:rPr>
          <w:rStyle w:val="normaltextrun"/>
          <w:rFonts w:ascii="Calibri" w:hAnsi="Calibri" w:cs="Calibri"/>
          <w:b/>
          <w:bCs/>
          <w:color w:val="000000"/>
          <w:sz w:val="18"/>
          <w:szCs w:val="18"/>
          <w:shd w:val="clear" w:color="auto" w:fill="FFFFFF"/>
        </w:rPr>
        <w:t>Figure 7 Illustration of timing relationship [10]</w:t>
      </w:r>
      <w:r>
        <w:rPr>
          <w:rStyle w:val="tabchar"/>
          <w:rFonts w:ascii="Calibri" w:hAnsi="Calibri" w:cs="Calibri"/>
          <w:color w:val="000000"/>
          <w:sz w:val="18"/>
          <w:szCs w:val="18"/>
          <w:shd w:val="clear" w:color="auto" w:fill="FFFFFF"/>
        </w:rPr>
        <w:tab/>
      </w:r>
      <w:r>
        <w:rPr>
          <w:rStyle w:val="normaltextrun"/>
          <w:rFonts w:ascii="Calibri" w:hAnsi="Calibri" w:cs="Calibri"/>
          <w:b/>
          <w:bCs/>
          <w:color w:val="000000"/>
          <w:sz w:val="18"/>
          <w:szCs w:val="18"/>
          <w:shd w:val="clear" w:color="auto" w:fill="FFFFFF"/>
        </w:rPr>
        <w:t>Figure 8 Round trip path in cross-linked satellite network</w:t>
      </w:r>
      <w:r>
        <w:rPr>
          <w:rStyle w:val="eop"/>
          <w:rFonts w:ascii="Calibri" w:hAnsi="Calibri" w:cs="Calibri"/>
          <w:color w:val="000000"/>
          <w:sz w:val="18"/>
          <w:szCs w:val="18"/>
          <w:shd w:val="clear" w:color="auto" w:fill="FFFFFF"/>
        </w:rPr>
        <w:t> </w:t>
      </w:r>
    </w:p>
    <w:p w14:paraId="6F9341B9" w14:textId="77777777" w:rsidR="00B852EC" w:rsidRDefault="00B852EC" w:rsidP="00B852EC">
      <w:pPr>
        <w:pStyle w:val="paragraph"/>
        <w:spacing w:before="0" w:beforeAutospacing="0" w:after="0" w:afterAutospacing="0"/>
        <w:ind w:left="360"/>
        <w:textAlignment w:val="baseline"/>
        <w:rPr>
          <w:rStyle w:val="normaltextrun"/>
          <w:rFonts w:ascii="Calibri" w:hAnsi="Calibri" w:cs="Calibri"/>
        </w:rPr>
      </w:pPr>
    </w:p>
    <w:p w14:paraId="7F4D5C53" w14:textId="77777777" w:rsidR="00B852EC" w:rsidRDefault="00B852EC" w:rsidP="00B852E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the Figure 7:</w:t>
      </w:r>
      <w:r>
        <w:rPr>
          <w:rStyle w:val="eop"/>
          <w:rFonts w:ascii="Calibri" w:hAnsi="Calibri" w:cs="Calibri"/>
        </w:rPr>
        <w:t> </w:t>
      </w:r>
    </w:p>
    <w:p w14:paraId="55DBE1C0" w14:textId="77777777" w:rsidR="00B852EC" w:rsidRDefault="00B852EC" w:rsidP="00B852EC">
      <w:pPr>
        <w:pStyle w:val="paragraph"/>
        <w:numPr>
          <w:ilvl w:val="0"/>
          <w:numId w:val="21"/>
        </w:numPr>
        <w:spacing w:before="0" w:beforeAutospacing="0" w:after="0" w:afterAutospacing="0"/>
        <w:ind w:firstLine="0"/>
        <w:textAlignment w:val="baseline"/>
        <w:rPr>
          <w:rFonts w:ascii="Calibri" w:hAnsi="Calibri" w:cs="Calibri"/>
        </w:rPr>
      </w:pPr>
      <m:oMath>
        <m:r>
          <w:rPr>
            <w:rStyle w:val="normaltextrun"/>
            <w:rFonts w:ascii="Cambria Math" w:hAnsi="Cambria Math" w:cs="Calibri"/>
          </w:rPr>
          <m:t>Kmac</m:t>
        </m:r>
      </m:oMath>
      <w:r>
        <w:rPr>
          <w:rStyle w:val="normaltextrun"/>
          <w:rFonts w:ascii="Calibri" w:hAnsi="Calibri" w:cs="Calibri"/>
        </w:rPr>
        <w:t xml:space="preserve"> = Offset or delay configured to equal the roundtrip time between RP (Reference Point) and eNB. The value is defined as a 9-bit integer representing 1-512ms of delay.</w:t>
      </w:r>
      <w:r>
        <w:rPr>
          <w:rStyle w:val="eop"/>
          <w:rFonts w:ascii="Calibri" w:hAnsi="Calibri" w:cs="Calibri"/>
        </w:rPr>
        <w:t> </w:t>
      </w:r>
    </w:p>
    <w:p w14:paraId="6F70577E" w14:textId="77777777" w:rsidR="00B852EC" w:rsidRDefault="00B852EC" w:rsidP="00B852EC">
      <w:pPr>
        <w:pStyle w:val="paragraph"/>
        <w:numPr>
          <w:ilvl w:val="0"/>
          <w:numId w:val="22"/>
        </w:numPr>
        <w:spacing w:before="0" w:beforeAutospacing="0" w:after="0" w:afterAutospacing="0"/>
        <w:ind w:firstLine="0"/>
        <w:textAlignment w:val="baseline"/>
        <w:rPr>
          <w:rFonts w:ascii="Calibri" w:hAnsi="Calibri" w:cs="Calibri"/>
        </w:rPr>
      </w:pPr>
      <w:r>
        <w:rPr>
          <w:rStyle w:val="normaltextrun"/>
          <w:rFonts w:ascii="Calibri" w:hAnsi="Calibri" w:cs="Calibri"/>
        </w:rPr>
        <w:t>Reference Point (RP) is the uplink time synchronization point where DL and UL frames are aligned</w:t>
      </w:r>
      <w:r>
        <w:rPr>
          <w:rStyle w:val="eop"/>
          <w:rFonts w:ascii="Calibri" w:hAnsi="Calibri" w:cs="Calibri"/>
        </w:rPr>
        <w:t> </w:t>
      </w:r>
    </w:p>
    <w:p w14:paraId="43D96752" w14:textId="77777777" w:rsidR="00B852EC" w:rsidRDefault="00B852EC" w:rsidP="00B852E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Figure 8 depicts a round-trip communication path between a gateway and a UE in a cross-linked satellite network.</w:t>
      </w:r>
      <w:r>
        <w:rPr>
          <w:rStyle w:val="eop"/>
          <w:rFonts w:ascii="Calibri" w:hAnsi="Calibri" w:cs="Calibri"/>
        </w:rPr>
        <w:t> </w:t>
      </w:r>
    </w:p>
    <w:p w14:paraId="065D9A05" w14:textId="77777777" w:rsidR="00B852EC" w:rsidRDefault="00B852EC" w:rsidP="00B852E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Most of Iridium network traffic is transmitted using 4 or fewer satellites before it is terminated at a gateway. This traffic is easily transmitted with the 512ms of allowable latency permitted by the 3GPP NTN standard. A small percentage of Iridium’s network traffic is transmitted over larger number of satellites before it is terminated at a gateway. While the Iridium network is designed to allow these long-range, inter-satellite routes, the latency inherent in such routing pushes our limits above the 512ms of latency permitted by the maximum value of </w:t>
      </w:r>
      <m:oMath>
        <m:r>
          <w:rPr>
            <w:rStyle w:val="normaltextrun"/>
            <w:rFonts w:ascii="Cambria Math" w:hAnsi="Cambria Math" w:cs="Calibri"/>
          </w:rPr>
          <m:t>Kmac</m:t>
        </m:r>
      </m:oMath>
      <w:r>
        <w:rPr>
          <w:rStyle w:val="normaltextrun"/>
          <w:rFonts w:ascii="Calibri" w:hAnsi="Calibri" w:cs="Calibri"/>
        </w:rPr>
        <w:t>.  Another case where this latency might need an increase (in a satellite network in general) would be for gateway diversity/redundancy of the routes to ensure reliable packet delivery; this means sometimes packets need to traverse a non-optimal route. </w:t>
      </w:r>
      <w:r>
        <w:rPr>
          <w:rStyle w:val="eop"/>
          <w:rFonts w:ascii="Calibri" w:hAnsi="Calibri" w:cs="Calibri"/>
        </w:rPr>
        <w:t> </w:t>
      </w:r>
    </w:p>
    <w:p w14:paraId="4FEA7480" w14:textId="77777777" w:rsidR="00B852EC" w:rsidRDefault="00B852EC" w:rsidP="00B852E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We believe that other satellite service providers whose constellation supports cross-linking could come across the same issue. Cross-linking is beneficial not only for reliability but also to alleviate congestion, or to save costs. For these reasons Iridium suggests that the </w:t>
      </w:r>
      <m:oMath>
        <m:r>
          <w:rPr>
            <w:rStyle w:val="normaltextrun"/>
            <w:rFonts w:ascii="Cambria Math" w:hAnsi="Cambria Math" w:cs="Calibri"/>
          </w:rPr>
          <m:t>Kmac</m:t>
        </m:r>
      </m:oMath>
      <w:r>
        <w:rPr>
          <w:rStyle w:val="normaltextrun"/>
          <w:rFonts w:ascii="Calibri" w:hAnsi="Calibri" w:cs="Calibri"/>
        </w:rPr>
        <w:t xml:space="preserve"> be updated to permit latency of up to 1024ms. </w:t>
      </w:r>
      <w:r>
        <w:rPr>
          <w:rStyle w:val="eop"/>
          <w:rFonts w:ascii="Calibri" w:hAnsi="Calibri" w:cs="Calibri"/>
        </w:rPr>
        <w:t> </w:t>
      </w:r>
    </w:p>
    <w:p w14:paraId="708445AA" w14:textId="77777777" w:rsidR="00B852EC" w:rsidRDefault="00B852EC" w:rsidP="00B852EC">
      <w:pPr>
        <w:pStyle w:val="paragraph"/>
        <w:spacing w:before="0" w:beforeAutospacing="0" w:after="0" w:afterAutospacing="0"/>
        <w:textAlignment w:val="baseline"/>
        <w:rPr>
          <w:rStyle w:val="eop"/>
          <w:rFonts w:ascii="Calibri" w:hAnsi="Calibri" w:cs="Calibri"/>
        </w:rPr>
      </w:pPr>
      <w:r>
        <w:rPr>
          <w:rStyle w:val="normaltextrun"/>
          <w:rFonts w:ascii="Calibri" w:hAnsi="Calibri" w:cs="Calibri"/>
        </w:rPr>
        <w:t xml:space="preserve">We can see two ways of allowing for larger </w:t>
      </w:r>
      <m:oMath>
        <m:r>
          <w:rPr>
            <w:rStyle w:val="normaltextrun"/>
            <w:rFonts w:ascii="Cambria Math" w:hAnsi="Cambria Math" w:cs="Calibri"/>
          </w:rPr>
          <m:t>Kmac</m:t>
        </m:r>
      </m:oMath>
      <w:r>
        <w:rPr>
          <w:rStyle w:val="normaltextrun"/>
          <w:rFonts w:ascii="Calibri" w:hAnsi="Calibri" w:cs="Calibri"/>
        </w:rPr>
        <w:t xml:space="preserve">; One would be extending the </w:t>
      </w:r>
      <m:oMath>
        <m:r>
          <w:rPr>
            <w:rStyle w:val="normaltextrun"/>
            <w:rFonts w:ascii="Cambria Math" w:hAnsi="Cambria Math" w:cs="Calibri"/>
          </w:rPr>
          <m:t>Kmac</m:t>
        </m:r>
      </m:oMath>
      <w:r>
        <w:rPr>
          <w:rStyle w:val="normaltextrun"/>
          <w:rFonts w:ascii="Calibri" w:hAnsi="Calibri" w:cs="Calibri"/>
        </w:rPr>
        <w:t xml:space="preserve"> range by 1 bit, from 512 to 1024 ms. Another way would be creating a new optional parameter </w:t>
      </w:r>
      <m:oMath>
        <m:r>
          <w:rPr>
            <w:rStyle w:val="normaltextrun"/>
            <w:rFonts w:ascii="Cambria Math" w:hAnsi="Cambria Math" w:cs="Calibri"/>
          </w:rPr>
          <m:t>Kmac_extension</m:t>
        </m:r>
      </m:oMath>
      <w:r>
        <w:rPr>
          <w:rStyle w:val="normaltextrun"/>
          <w:rFonts w:ascii="Calibri" w:hAnsi="Calibri" w:cs="Calibri"/>
        </w:rPr>
        <w:t>, that would be additional to the existing Kmac and the two together would allow for larger delay.</w:t>
      </w:r>
      <w:r>
        <w:rPr>
          <w:rStyle w:val="eop"/>
          <w:rFonts w:ascii="Calibri" w:hAnsi="Calibri" w:cs="Calibri"/>
        </w:rPr>
        <w:t> </w:t>
      </w:r>
    </w:p>
    <w:p w14:paraId="1D716B91" w14:textId="77777777" w:rsidR="00B852EC" w:rsidRDefault="00B852EC" w:rsidP="00B852EC">
      <w:pPr>
        <w:pStyle w:val="paragraph"/>
        <w:spacing w:before="0" w:beforeAutospacing="0" w:after="0" w:afterAutospacing="0"/>
        <w:textAlignment w:val="baseline"/>
        <w:rPr>
          <w:rFonts w:ascii="Segoe UI" w:hAnsi="Segoe UI" w:cs="Segoe UI"/>
          <w:sz w:val="18"/>
          <w:szCs w:val="18"/>
        </w:rPr>
      </w:pPr>
    </w:p>
    <w:p w14:paraId="2338673B" w14:textId="77777777" w:rsidR="00B852EC" w:rsidRDefault="00B852EC" w:rsidP="00B852EC">
      <w:pPr>
        <w:pStyle w:val="paragraph"/>
        <w:spacing w:before="0" w:beforeAutospacing="0" w:after="0" w:afterAutospacing="0"/>
        <w:textAlignment w:val="baseline"/>
        <w:rPr>
          <w:rStyle w:val="eop"/>
          <w:rFonts w:ascii="Calibri" w:hAnsi="Calibri" w:cs="Calibri"/>
        </w:rPr>
      </w:pPr>
      <w:r>
        <w:rPr>
          <w:rStyle w:val="normaltextrun"/>
          <w:rFonts w:ascii="Calibri" w:hAnsi="Calibri" w:cs="Calibri"/>
          <w:b/>
          <w:bCs/>
        </w:rPr>
        <w:t xml:space="preserve">Observation 14: </w:t>
      </w:r>
      <w:r>
        <w:rPr>
          <w:rStyle w:val="normaltextrun"/>
          <w:rFonts w:ascii="Calibri" w:hAnsi="Calibri" w:cs="Calibri"/>
        </w:rPr>
        <w:t xml:space="preserve">For the cross-linked satellite networks, there may be a need to increase </w:t>
      </w:r>
      <m:oMath>
        <m:r>
          <w:rPr>
            <w:rStyle w:val="normaltextrun"/>
            <w:rFonts w:ascii="Cambria Math" w:hAnsi="Cambria Math" w:cs="Calibri"/>
          </w:rPr>
          <m:t>Kmac</m:t>
        </m:r>
      </m:oMath>
      <w:r>
        <w:rPr>
          <w:rStyle w:val="normaltextrun"/>
          <w:rFonts w:ascii="Calibri" w:hAnsi="Calibri" w:cs="Calibri"/>
        </w:rPr>
        <w:t xml:space="preserve"> to allow for longer round-trip delay.</w:t>
      </w:r>
      <w:r>
        <w:rPr>
          <w:rStyle w:val="eop"/>
          <w:rFonts w:ascii="Calibri" w:hAnsi="Calibri" w:cs="Calibri"/>
        </w:rPr>
        <w:t> </w:t>
      </w:r>
    </w:p>
    <w:p w14:paraId="45DCF5D6" w14:textId="77777777" w:rsidR="00B852EC" w:rsidRDefault="00B852EC" w:rsidP="00B852EC">
      <w:pPr>
        <w:pStyle w:val="paragraph"/>
        <w:spacing w:before="0" w:beforeAutospacing="0" w:after="0" w:afterAutospacing="0"/>
        <w:textAlignment w:val="baseline"/>
        <w:rPr>
          <w:rFonts w:ascii="Segoe UI" w:hAnsi="Segoe UI" w:cs="Segoe UI"/>
          <w:sz w:val="18"/>
          <w:szCs w:val="18"/>
        </w:rPr>
      </w:pPr>
    </w:p>
    <w:p w14:paraId="48CFDD72" w14:textId="77777777" w:rsidR="00B852EC" w:rsidRDefault="00B852EC" w:rsidP="00B852EC">
      <w:pPr>
        <w:pStyle w:val="paragraph"/>
        <w:spacing w:before="0" w:beforeAutospacing="0" w:after="0" w:afterAutospacing="0"/>
        <w:textAlignment w:val="baseline"/>
        <w:rPr>
          <w:rStyle w:val="normaltextrun"/>
          <w:rFonts w:ascii="Calibri" w:hAnsi="Calibri" w:cs="Calibri"/>
        </w:rPr>
      </w:pPr>
      <w:r>
        <w:rPr>
          <w:rStyle w:val="normaltextrun"/>
          <w:rFonts w:ascii="Calibri" w:hAnsi="Calibri" w:cs="Calibri"/>
          <w:b/>
          <w:bCs/>
        </w:rPr>
        <w:t xml:space="preserve">Proposal 14: </w:t>
      </w:r>
      <w:r>
        <w:rPr>
          <w:rStyle w:val="normaltextrun"/>
          <w:rFonts w:ascii="Calibri" w:hAnsi="Calibri" w:cs="Calibri"/>
        </w:rPr>
        <w:t xml:space="preserve">Increase </w:t>
      </w:r>
      <m:oMath>
        <m:r>
          <w:rPr>
            <w:rStyle w:val="normaltextrun"/>
            <w:rFonts w:ascii="Cambria Math" w:hAnsi="Cambria Math" w:cs="Calibri"/>
          </w:rPr>
          <m:t>Kmac</m:t>
        </m:r>
      </m:oMath>
      <w:r>
        <w:rPr>
          <w:rStyle w:val="normaltextrun"/>
          <w:rFonts w:ascii="Calibri" w:hAnsi="Calibri" w:cs="Calibri"/>
        </w:rPr>
        <w:t xml:space="preserve">, effectively either by increasing defined value from 9 to 10 bits, or by defining another optional parameter </w:t>
      </w:r>
      <m:oMath>
        <m:r>
          <w:rPr>
            <w:rStyle w:val="normaltextrun"/>
            <w:rFonts w:ascii="Cambria Math" w:hAnsi="Cambria Math" w:cs="Calibri"/>
          </w:rPr>
          <m:t>Kmac_extension</m:t>
        </m:r>
      </m:oMath>
      <w:r>
        <w:rPr>
          <w:rStyle w:val="normaltextrun"/>
          <w:rFonts w:ascii="Calibri" w:hAnsi="Calibri" w:cs="Calibri"/>
        </w:rPr>
        <w:t>, and the two together would allow for larger delay.</w:t>
      </w:r>
      <w:r>
        <w:rPr>
          <w:rStyle w:val="eop"/>
          <w:rFonts w:ascii="Calibri" w:hAnsi="Calibri" w:cs="Calibri"/>
        </w:rPr>
        <w:t> </w:t>
      </w:r>
    </w:p>
    <w:p w14:paraId="696F3BEC" w14:textId="77777777" w:rsidR="00B852EC" w:rsidRPr="00E5710A" w:rsidRDefault="00B852EC" w:rsidP="00B852EC">
      <w:pPr>
        <w:pStyle w:val="paragraph"/>
        <w:spacing w:after="0"/>
        <w:textAlignment w:val="baseline"/>
        <w:rPr>
          <w:rFonts w:ascii="Calibri" w:hAnsi="Calibri" w:cs="Calibri"/>
        </w:rPr>
      </w:pPr>
      <w:r w:rsidRPr="00E5710A">
        <w:rPr>
          <w:rFonts w:ascii="Calibri" w:hAnsi="Calibri" w:cs="Calibri"/>
        </w:rPr>
        <w:t xml:space="preserve">In NB-IoT NTN specifications, the use of </w:t>
      </w:r>
      <m:oMath>
        <m:r>
          <w:rPr>
            <w:rStyle w:val="normaltextrun"/>
            <w:rFonts w:ascii="Cambria Math" w:hAnsi="Cambria Math" w:cs="Calibri"/>
          </w:rPr>
          <m:t>Kmac</m:t>
        </m:r>
      </m:oMath>
      <w:r w:rsidRPr="00E5710A">
        <w:rPr>
          <w:rFonts w:ascii="Calibri" w:hAnsi="Calibri" w:cs="Calibri"/>
        </w:rPr>
        <w:t xml:space="preserve"> is specified for scenarios where the UE to eNodeB round trip time makes it impractical for a UE to receive downlink responses to uplink transmissions. </w:t>
      </w:r>
      <m:oMath>
        <m:r>
          <w:rPr>
            <w:rStyle w:val="normaltextrun"/>
            <w:rFonts w:ascii="Cambria Math" w:hAnsi="Cambria Math" w:cs="Calibri"/>
          </w:rPr>
          <m:t>Kmac</m:t>
        </m:r>
      </m:oMath>
      <w:r w:rsidRPr="00E5710A">
        <w:rPr>
          <w:rFonts w:ascii="Calibri" w:hAnsi="Calibri" w:cs="Calibri"/>
        </w:rPr>
        <w:t xml:space="preserve"> is used in the following cases:</w:t>
      </w:r>
    </w:p>
    <w:p w14:paraId="6B5AC0F2" w14:textId="77777777" w:rsidR="00B852EC" w:rsidRPr="00E5710A" w:rsidRDefault="00B852EC" w:rsidP="00B852EC">
      <w:pPr>
        <w:pStyle w:val="paragraph"/>
        <w:numPr>
          <w:ilvl w:val="0"/>
          <w:numId w:val="27"/>
        </w:numPr>
        <w:spacing w:before="0" w:beforeAutospacing="0" w:after="0" w:afterAutospacing="0"/>
        <w:textAlignment w:val="baseline"/>
        <w:rPr>
          <w:rFonts w:ascii="Calibri" w:hAnsi="Calibri" w:cs="Calibri"/>
        </w:rPr>
      </w:pPr>
      <w:r w:rsidRPr="00E5710A">
        <w:rPr>
          <w:rFonts w:ascii="Calibri" w:hAnsi="Calibri" w:cs="Calibri"/>
        </w:rPr>
        <w:lastRenderedPageBreak/>
        <w:t>During the RACH procedure, to delay the start of the RAR timer window after preamble transmission.</w:t>
      </w:r>
    </w:p>
    <w:p w14:paraId="13A8F98E" w14:textId="77777777" w:rsidR="00B852EC" w:rsidRPr="00E5710A" w:rsidRDefault="00B852EC" w:rsidP="00B852EC">
      <w:pPr>
        <w:pStyle w:val="paragraph"/>
        <w:numPr>
          <w:ilvl w:val="0"/>
          <w:numId w:val="27"/>
        </w:numPr>
        <w:spacing w:before="0" w:beforeAutospacing="0" w:after="0" w:afterAutospacing="0"/>
        <w:textAlignment w:val="baseline"/>
        <w:rPr>
          <w:rFonts w:ascii="Calibri" w:hAnsi="Calibri" w:cs="Calibri"/>
        </w:rPr>
      </w:pPr>
      <w:r w:rsidRPr="00E5710A">
        <w:rPr>
          <w:rFonts w:ascii="Calibri" w:hAnsi="Calibri" w:cs="Calibri"/>
        </w:rPr>
        <w:t>During the RACH procedure, to delay the start of the contention resolution window.</w:t>
      </w:r>
    </w:p>
    <w:p w14:paraId="547A76F4" w14:textId="77777777" w:rsidR="00B852EC" w:rsidRPr="00E5710A" w:rsidRDefault="00B852EC" w:rsidP="00B852EC">
      <w:pPr>
        <w:pStyle w:val="paragraph"/>
        <w:numPr>
          <w:ilvl w:val="0"/>
          <w:numId w:val="27"/>
        </w:numPr>
        <w:spacing w:before="0" w:beforeAutospacing="0" w:after="0" w:afterAutospacing="0"/>
        <w:textAlignment w:val="baseline"/>
        <w:rPr>
          <w:rFonts w:ascii="Calibri" w:hAnsi="Calibri" w:cs="Calibri"/>
        </w:rPr>
      </w:pPr>
      <w:r w:rsidRPr="00E5710A">
        <w:rPr>
          <w:rFonts w:ascii="Calibri" w:hAnsi="Calibri" w:cs="Calibri"/>
        </w:rPr>
        <w:t>To increase the HARQ round trip time</w:t>
      </w:r>
      <w:r>
        <w:rPr>
          <w:rFonts w:ascii="Calibri" w:hAnsi="Calibri" w:cs="Calibri"/>
        </w:rPr>
        <w:t>r value</w:t>
      </w:r>
      <w:r w:rsidRPr="00E5710A">
        <w:rPr>
          <w:rFonts w:ascii="Calibri" w:hAnsi="Calibri" w:cs="Calibri"/>
        </w:rPr>
        <w:t>.</w:t>
      </w:r>
    </w:p>
    <w:p w14:paraId="79325B95" w14:textId="77777777" w:rsidR="00B852EC" w:rsidRPr="00E5710A" w:rsidRDefault="00B852EC" w:rsidP="00B852EC">
      <w:pPr>
        <w:pStyle w:val="paragraph"/>
        <w:numPr>
          <w:ilvl w:val="0"/>
          <w:numId w:val="27"/>
        </w:numPr>
        <w:spacing w:before="0" w:beforeAutospacing="0" w:after="0" w:afterAutospacing="0"/>
        <w:textAlignment w:val="baseline"/>
        <w:rPr>
          <w:rFonts w:ascii="Calibri" w:hAnsi="Calibri" w:cs="Calibri"/>
        </w:rPr>
      </w:pPr>
      <w:r w:rsidRPr="00E5710A">
        <w:rPr>
          <w:rFonts w:ascii="Calibri" w:hAnsi="Calibri" w:cs="Calibri"/>
        </w:rPr>
        <w:t>During the PUR procedure, to delay the start of the PUR response window after uplink transmission using PUR.</w:t>
      </w:r>
    </w:p>
    <w:p w14:paraId="1BF06761" w14:textId="77777777" w:rsidR="00B852EC" w:rsidRPr="00E5710A" w:rsidRDefault="00B852EC" w:rsidP="00B852EC">
      <w:pPr>
        <w:pStyle w:val="paragraph"/>
        <w:numPr>
          <w:ilvl w:val="0"/>
          <w:numId w:val="27"/>
        </w:numPr>
        <w:spacing w:before="0" w:beforeAutospacing="0" w:after="0" w:afterAutospacing="0"/>
        <w:textAlignment w:val="baseline"/>
        <w:rPr>
          <w:rFonts w:ascii="Calibri" w:hAnsi="Calibri" w:cs="Calibri"/>
        </w:rPr>
      </w:pPr>
      <w:r w:rsidRPr="00E5710A">
        <w:rPr>
          <w:rFonts w:ascii="Calibri" w:hAnsi="Calibri" w:cs="Calibri"/>
        </w:rPr>
        <w:t>During the PUR procedure, to delay the time at which the UE should start monitoring the NPDCCH.</w:t>
      </w:r>
    </w:p>
    <w:p w14:paraId="70BABEA4" w14:textId="77777777" w:rsidR="00B852EC" w:rsidRDefault="00B852EC" w:rsidP="00B852EC">
      <w:pPr>
        <w:pStyle w:val="paragraph"/>
        <w:numPr>
          <w:ilvl w:val="0"/>
          <w:numId w:val="27"/>
        </w:numPr>
        <w:spacing w:before="0" w:beforeAutospacing="0" w:after="0" w:afterAutospacing="0"/>
        <w:textAlignment w:val="baseline"/>
        <w:rPr>
          <w:rFonts w:ascii="Calibri" w:hAnsi="Calibri" w:cs="Calibri"/>
        </w:rPr>
      </w:pPr>
      <w:r w:rsidRPr="00E5710A">
        <w:rPr>
          <w:rFonts w:ascii="Calibri" w:hAnsi="Calibri" w:cs="Calibri"/>
        </w:rPr>
        <w:t>During SR without HARQ transmission, to delay the monitoring of the NPDCCH search space.</w:t>
      </w:r>
    </w:p>
    <w:p w14:paraId="47308194" w14:textId="77777777" w:rsidR="00B852EC" w:rsidRDefault="00B852EC" w:rsidP="00B852EC">
      <w:pPr>
        <w:pStyle w:val="paragraph"/>
        <w:spacing w:before="0" w:beforeAutospacing="0" w:after="0" w:afterAutospacing="0"/>
        <w:ind w:left="360"/>
        <w:textAlignment w:val="baseline"/>
        <w:rPr>
          <w:rFonts w:ascii="Calibri" w:hAnsi="Calibri" w:cs="Calibri"/>
        </w:rPr>
      </w:pPr>
    </w:p>
    <w:p w14:paraId="2AE7E91A" w14:textId="77777777" w:rsidR="00B852EC" w:rsidRDefault="00B852EC" w:rsidP="00B852EC">
      <w:pPr>
        <w:pStyle w:val="paragraph"/>
        <w:spacing w:before="0" w:beforeAutospacing="0" w:after="0" w:afterAutospacing="0"/>
        <w:ind w:left="360"/>
        <w:textAlignment w:val="baseline"/>
        <w:rPr>
          <w:rFonts w:ascii="Calibri" w:hAnsi="Calibri" w:cs="Calibri"/>
        </w:rPr>
      </w:pPr>
      <w:r w:rsidRPr="00A351C9">
        <w:rPr>
          <w:rFonts w:ascii="Calibri" w:hAnsi="Calibri" w:cs="Calibri"/>
        </w:rPr>
        <w:t xml:space="preserve">Therefore, increasing the </w:t>
      </w:r>
      <m:oMath>
        <m:r>
          <w:rPr>
            <w:rStyle w:val="normaltextrun"/>
            <w:rFonts w:ascii="Cambria Math" w:hAnsi="Cambria Math" w:cs="Calibri"/>
          </w:rPr>
          <m:t>Kmac</m:t>
        </m:r>
      </m:oMath>
      <w:r w:rsidRPr="00A351C9">
        <w:rPr>
          <w:rFonts w:ascii="Calibri" w:hAnsi="Calibri" w:cs="Calibri"/>
        </w:rPr>
        <w:t xml:space="preserve"> value should only affect procedures that depend on the UE-eNB round trip delay. A higher </w:t>
      </w:r>
      <m:oMath>
        <m:r>
          <w:rPr>
            <w:rStyle w:val="normaltextrun"/>
            <w:rFonts w:ascii="Cambria Math" w:hAnsi="Cambria Math" w:cs="Calibri"/>
          </w:rPr>
          <m:t>Kmac</m:t>
        </m:r>
      </m:oMath>
      <w:r w:rsidRPr="00A351C9">
        <w:rPr>
          <w:rFonts w:ascii="Calibri" w:hAnsi="Calibri" w:cs="Calibri"/>
        </w:rPr>
        <w:t xml:space="preserve"> value can </w:t>
      </w:r>
      <w:r>
        <w:rPr>
          <w:rFonts w:ascii="Calibri" w:hAnsi="Calibri" w:cs="Calibri"/>
        </w:rPr>
        <w:t xml:space="preserve">help in </w:t>
      </w:r>
      <w:r w:rsidRPr="00A351C9">
        <w:rPr>
          <w:rFonts w:ascii="Calibri" w:hAnsi="Calibri" w:cs="Calibri"/>
        </w:rPr>
        <w:t>UE power saving by allowing the UE to avoid monitoring downlink channels.</w:t>
      </w:r>
    </w:p>
    <w:p w14:paraId="1DE65839" w14:textId="77777777" w:rsidR="00B852EC" w:rsidRPr="00E5710A" w:rsidRDefault="00B852EC" w:rsidP="00B852EC">
      <w:pPr>
        <w:pStyle w:val="paragraph"/>
        <w:spacing w:before="0" w:beforeAutospacing="0" w:after="0" w:afterAutospacing="0"/>
        <w:ind w:left="360"/>
        <w:textAlignment w:val="baseline"/>
        <w:rPr>
          <w:rFonts w:ascii="Calibri" w:hAnsi="Calibri" w:cs="Calibri"/>
        </w:rPr>
      </w:pPr>
    </w:p>
    <w:p w14:paraId="28D34B04" w14:textId="77777777" w:rsidR="00B852EC" w:rsidRPr="00CB5098" w:rsidRDefault="00B852EC" w:rsidP="00B852EC">
      <w:pPr>
        <w:pStyle w:val="paragraph"/>
        <w:spacing w:before="0" w:beforeAutospacing="0" w:after="0" w:afterAutospacing="0"/>
        <w:textAlignment w:val="baseline"/>
        <w:rPr>
          <w:rStyle w:val="eop"/>
          <w:rFonts w:ascii="Segoe UI" w:hAnsi="Segoe UI" w:cs="Segoe UI"/>
          <w:sz w:val="18"/>
          <w:szCs w:val="18"/>
        </w:rPr>
      </w:pPr>
      <w:r>
        <w:rPr>
          <w:rStyle w:val="normaltextrun"/>
          <w:rFonts w:ascii="Calibri" w:hAnsi="Calibri" w:cs="Calibri"/>
          <w:b/>
          <w:bCs/>
        </w:rPr>
        <w:t xml:space="preserve">Proposal 15: </w:t>
      </w:r>
      <w:r>
        <w:rPr>
          <w:rFonts w:ascii="Calibri" w:hAnsi="Calibri" w:cs="Calibri"/>
        </w:rPr>
        <w:t xml:space="preserve">Increasing the </w:t>
      </w:r>
      <m:oMath>
        <m:r>
          <w:rPr>
            <w:rStyle w:val="normaltextrun"/>
            <w:rFonts w:ascii="Cambria Math" w:hAnsi="Cambria Math" w:cs="Calibri"/>
          </w:rPr>
          <m:t>Kmac</m:t>
        </m:r>
      </m:oMath>
      <w:r>
        <w:rPr>
          <w:rStyle w:val="normaltextrun"/>
          <w:rFonts w:ascii="Calibri" w:hAnsi="Calibri" w:cs="Calibri"/>
        </w:rPr>
        <w:t xml:space="preserve"> value from 512 to 1024ms should not have an impact on any other NB-IoT procedures.</w:t>
      </w:r>
    </w:p>
    <w:p w14:paraId="4CF196CB" w14:textId="77777777" w:rsidR="00B852EC" w:rsidRDefault="00B852EC" w:rsidP="00B852EC">
      <w:pPr>
        <w:pStyle w:val="Heading1"/>
        <w:pageBreakBefore w:val="0"/>
        <w:ind w:left="431" w:hanging="431"/>
      </w:pPr>
      <w:r>
        <w:rPr>
          <w:b w:val="0"/>
          <w:bCs w:val="0"/>
        </w:rPr>
        <w:t>Conclusion</w:t>
      </w:r>
    </w:p>
    <w:p w14:paraId="6B32C861" w14:textId="77777777" w:rsidR="00B852EC" w:rsidRDefault="00B852EC" w:rsidP="00B852EC">
      <w:r w:rsidRPr="00442D08">
        <w:t>In this contribution, we discussed the impact of IoT-NTN TDD mode on associated RAN2 procedures. Since some of the scheduling aspects are still under discussion in RAN1, it is premature to assess the impact on RAN2, including any required ASN.1 changes. However, after the RAN1#120 agreements, RAN2 can decide on SI scheduling and paging. Our observations and proposals are listed below:</w:t>
      </w:r>
    </w:p>
    <w:p w14:paraId="163E1AE4" w14:textId="1CEE9231" w:rsidR="00B852EC" w:rsidRPr="00576E70" w:rsidRDefault="00B852EC" w:rsidP="00B852EC">
      <w:pPr>
        <w:jc w:val="both"/>
      </w:pPr>
      <w:r>
        <w:rPr>
          <w:b/>
        </w:rPr>
        <w:t xml:space="preserve">Observation 1: </w:t>
      </w:r>
      <w:r>
        <w:t>When operating in IoT-NTN TDD mode, the SIB1 repetition of 16 radio frames works even with the maximum allowed transport block size of 680 bits with adequate link budget margin of 3.91 dB and 4.51 dB for LEO-600 and LEO-1200 respectively.</w:t>
      </w:r>
    </w:p>
    <w:p w14:paraId="679A54CC" w14:textId="489C20E3" w:rsidR="00B852EC" w:rsidRDefault="00B852EC" w:rsidP="00B852EC">
      <w:pPr>
        <w:jc w:val="both"/>
      </w:pPr>
      <w:r>
        <w:rPr>
          <w:b/>
        </w:rPr>
        <w:t xml:space="preserve">Observation 2: </w:t>
      </w:r>
      <w:r>
        <w:t>When operating in IoT-NTN TDD mode, SIB1 repetition pattern should be configured as 16 radio frames to allow every alternate active downlink opportunity to carry SIB1 subframes for optimal SIB1 decoding performance and acquisition time.</w:t>
      </w:r>
    </w:p>
    <w:p w14:paraId="26B40A40" w14:textId="1400C244" w:rsidR="00B852EC" w:rsidRDefault="00B852EC" w:rsidP="00B852EC">
      <w:pPr>
        <w:jc w:val="both"/>
      </w:pPr>
      <w:r>
        <w:rPr>
          <w:b/>
        </w:rPr>
        <w:t xml:space="preserve">Observation 3: </w:t>
      </w:r>
      <w:r>
        <w:t xml:space="preserve">When operating in IoT-NTN TDD mode, with SIB1 repetition pattern of every 16 RFs, maximum delay in receiving SIB1 is 2520ms. </w:t>
      </w:r>
    </w:p>
    <w:p w14:paraId="63FA018E" w14:textId="77777777" w:rsidR="00B852EC" w:rsidRDefault="00B852EC" w:rsidP="00B852EC">
      <w:pPr>
        <w:jc w:val="both"/>
        <w:rPr>
          <w:b/>
        </w:rPr>
      </w:pPr>
      <w:r>
        <w:rPr>
          <w:b/>
        </w:rPr>
        <w:t xml:space="preserve">Observation 4: </w:t>
      </w:r>
      <w:r>
        <w:t>With the IoT-NTN TDD mode frame pattern, it is possible for the SI window start time to fall within the inactive downlink period.</w:t>
      </w:r>
    </w:p>
    <w:p w14:paraId="091A894B" w14:textId="77777777" w:rsidR="00B852EC" w:rsidRDefault="00B852EC" w:rsidP="00B852EC">
      <w:pPr>
        <w:jc w:val="both"/>
      </w:pPr>
      <w:r>
        <w:rPr>
          <w:b/>
        </w:rPr>
        <w:t xml:space="preserve">Observation 5: </w:t>
      </w:r>
      <w:r>
        <w:t>With IoT-NTN TDD mode frame pattern, it is not possible to transmit all 8 subframes of SI transport blocks within a single downlink active time opportunity when SI TBS is greater than 120 bits.</w:t>
      </w:r>
    </w:p>
    <w:p w14:paraId="5A11BA84" w14:textId="77777777" w:rsidR="00B852EC" w:rsidRDefault="00B852EC" w:rsidP="00B852EC">
      <w:pPr>
        <w:jc w:val="both"/>
      </w:pPr>
      <w:r>
        <w:rPr>
          <w:b/>
        </w:rPr>
        <w:t xml:space="preserve">Observation 6: </w:t>
      </w:r>
      <w:r>
        <w:t xml:space="preserve">With the IoT-NTN TDD mode frame pattern, postponement of the transmission of SI transport block to the next downlink active time can result in overlap with the transmission of the </w:t>
      </w:r>
      <w:r>
        <w:lastRenderedPageBreak/>
        <w:t>next SI repetition when N=9 and SI repetition pattern is configured as lower than every 16</w:t>
      </w:r>
      <w:r>
        <w:rPr>
          <w:vertAlign w:val="superscript"/>
        </w:rPr>
        <w:t>th</w:t>
      </w:r>
      <w:r>
        <w:t xml:space="preserve"> radio frame.</w:t>
      </w:r>
    </w:p>
    <w:p w14:paraId="752D4399" w14:textId="77777777" w:rsidR="00B852EC" w:rsidRDefault="00B852EC" w:rsidP="00B852EC">
      <w:pPr>
        <w:jc w:val="both"/>
      </w:pPr>
      <w:r>
        <w:rPr>
          <w:b/>
        </w:rPr>
        <w:t xml:space="preserve">Observation 7: </w:t>
      </w:r>
      <w:r>
        <w:t>With the IoT-NTN TDD mode frame pattern, postponement of the transmission of SI transport block to the next downlink active time results in no overlap when N=9 and the SI repetition pattern is configured as every 16</w:t>
      </w:r>
      <w:r>
        <w:rPr>
          <w:vertAlign w:val="superscript"/>
        </w:rPr>
        <w:t>th</w:t>
      </w:r>
      <w:r>
        <w:t xml:space="preserve"> radio frame.</w:t>
      </w:r>
    </w:p>
    <w:p w14:paraId="64874921" w14:textId="77777777" w:rsidR="00B852EC" w:rsidRDefault="00B852EC" w:rsidP="00B852EC">
      <w:pPr>
        <w:jc w:val="both"/>
      </w:pPr>
      <w:r>
        <w:rPr>
          <w:b/>
        </w:rPr>
        <w:t xml:space="preserve">Observation 8: </w:t>
      </w:r>
      <w:r>
        <w:t>With IoT-NTN TDD mode frame pattern, the postponement of transmission of SI transport block to the next downlink active time can result in SI transmission in the subframes outside of the configured SI window.</w:t>
      </w:r>
    </w:p>
    <w:p w14:paraId="350D5D44" w14:textId="77777777" w:rsidR="00B852EC" w:rsidRDefault="00B852EC" w:rsidP="00B852EC">
      <w:r>
        <w:rPr>
          <w:b/>
        </w:rPr>
        <w:t xml:space="preserve">Observation 9: </w:t>
      </w:r>
      <w:r>
        <w:t>RAN2 should wait for RAN1 decision on NPDCCH scheduling configuration for IoT-NTN TDD mode.</w:t>
      </w:r>
    </w:p>
    <w:p w14:paraId="5CBFD138" w14:textId="77777777" w:rsidR="00B852EC" w:rsidRDefault="00B852EC" w:rsidP="00B852EC">
      <w:r>
        <w:rPr>
          <w:b/>
        </w:rPr>
        <w:t xml:space="preserve">Observation 10: </w:t>
      </w:r>
      <w:r>
        <w:t xml:space="preserve">After RAN1#120 agreement on expanding the definition of “NB-IoT DL subframes” to exclude all inactive downlink subframes, changes to the paging procedure for IoT-NTN TDD in 36.304 is not required. </w:t>
      </w:r>
    </w:p>
    <w:p w14:paraId="45CA312D" w14:textId="59B617E2" w:rsidR="00B852EC" w:rsidRDefault="00B852EC" w:rsidP="00B852EC">
      <w:r>
        <w:rPr>
          <w:b/>
        </w:rPr>
        <w:t xml:space="preserve">Observation 11: </w:t>
      </w:r>
      <w:r>
        <w:t xml:space="preserve">In IoT-NTN TDD mode, </w:t>
      </w:r>
      <w:proofErr w:type="spellStart"/>
      <w:r>
        <w:t>eDRX</w:t>
      </w:r>
      <w:proofErr w:type="spellEnd"/>
      <w:r>
        <w:t xml:space="preserve"> can work without any changes. Within PTW, when calculated paging opportunity of a UE falls in downlink inactive time, it shall get postponed to the next downlink active time.</w:t>
      </w:r>
    </w:p>
    <w:p w14:paraId="78CD7166" w14:textId="77777777" w:rsidR="00B852EC" w:rsidRDefault="00B852EC" w:rsidP="00B852EC">
      <w:r>
        <w:rPr>
          <w:b/>
        </w:rPr>
        <w:t xml:space="preserve">Observation 12: </w:t>
      </w:r>
      <w:r w:rsidRPr="00166258">
        <w:t>Depending on the RAN1 decision regarding the NPRACH scheduling mechanism for IoT-NTN TDD mode, it may be necessary to update the RRC ASN.1 parameters.</w:t>
      </w:r>
    </w:p>
    <w:p w14:paraId="7C843F07" w14:textId="77777777" w:rsidR="00B852EC" w:rsidRPr="003B4404" w:rsidRDefault="00B852EC" w:rsidP="00B852EC">
      <w:r>
        <w:rPr>
          <w:b/>
        </w:rPr>
        <w:t xml:space="preserve">Observation 13: </w:t>
      </w:r>
      <w:r>
        <w:t>In IoT-NTN TDD mode, when the minimum NPDCCH period is configured as 64, the existing set of RAR window configuration parameters is sufficient.</w:t>
      </w:r>
    </w:p>
    <w:p w14:paraId="7872DBD0" w14:textId="77777777" w:rsidR="00B852EC" w:rsidRDefault="00B852EC" w:rsidP="00B852EC">
      <w:pPr>
        <w:pStyle w:val="paragraph"/>
        <w:spacing w:before="0" w:beforeAutospacing="0" w:after="0" w:afterAutospacing="0"/>
        <w:textAlignment w:val="baseline"/>
        <w:rPr>
          <w:rStyle w:val="eop"/>
          <w:rFonts w:ascii="Calibri" w:hAnsi="Calibri" w:cs="Calibri"/>
        </w:rPr>
      </w:pPr>
      <w:r>
        <w:rPr>
          <w:rStyle w:val="normaltextrun"/>
          <w:rFonts w:ascii="Calibri" w:hAnsi="Calibri" w:cs="Calibri"/>
          <w:b/>
          <w:bCs/>
        </w:rPr>
        <w:t xml:space="preserve">Observation 14: </w:t>
      </w:r>
      <w:r>
        <w:rPr>
          <w:rStyle w:val="normaltextrun"/>
          <w:rFonts w:ascii="Calibri" w:hAnsi="Calibri" w:cs="Calibri"/>
        </w:rPr>
        <w:t xml:space="preserve">For the cross-linked satellite networks, there may be a need to increase </w:t>
      </w:r>
      <m:oMath>
        <m:r>
          <w:rPr>
            <w:rStyle w:val="normaltextrun"/>
            <w:rFonts w:ascii="Cambria Math" w:hAnsi="Cambria Math" w:cs="Calibri"/>
          </w:rPr>
          <m:t>Kmac</m:t>
        </m:r>
      </m:oMath>
      <w:r>
        <w:rPr>
          <w:rStyle w:val="normaltextrun"/>
          <w:rFonts w:ascii="Calibri" w:hAnsi="Calibri" w:cs="Calibri"/>
        </w:rPr>
        <w:t xml:space="preserve"> to allow for longer round-trip delay.</w:t>
      </w:r>
      <w:r>
        <w:rPr>
          <w:rStyle w:val="eop"/>
          <w:rFonts w:ascii="Calibri" w:hAnsi="Calibri" w:cs="Calibri"/>
        </w:rPr>
        <w:t> </w:t>
      </w:r>
    </w:p>
    <w:p w14:paraId="6967A688" w14:textId="77777777" w:rsidR="00B852EC" w:rsidRPr="00B5746C" w:rsidRDefault="00B852EC" w:rsidP="00B852EC"/>
    <w:p w14:paraId="486CA5DE" w14:textId="77777777" w:rsidR="00B852EC" w:rsidRDefault="00B852EC" w:rsidP="00B852EC">
      <w:pPr>
        <w:autoSpaceDE w:val="0"/>
        <w:autoSpaceDN w:val="0"/>
        <w:adjustRightInd w:val="0"/>
        <w:spacing w:after="0" w:line="240" w:lineRule="auto"/>
        <w:rPr>
          <w:rStyle w:val="d9fyld"/>
          <w:lang w:val="en"/>
        </w:rPr>
      </w:pPr>
      <w:r>
        <w:rPr>
          <w:b/>
        </w:rPr>
        <w:t xml:space="preserve">Proposal 1: </w:t>
      </w:r>
      <w:r>
        <w:rPr>
          <w:rFonts w:eastAsia="MS Mincho" w:cstheme="minorHAnsi"/>
          <w:kern w:val="0"/>
          <w:lang w:eastAsia="ja-JP"/>
        </w:rPr>
        <w:t xml:space="preserve">A description of IoT-NTN TDD mode shall be added in 36.300 </w:t>
      </w:r>
      <w:r>
        <w:rPr>
          <w:rStyle w:val="d9fyld"/>
          <w:lang w:val="en"/>
        </w:rPr>
        <w:t>[§5] as follows:</w:t>
      </w:r>
    </w:p>
    <w:p w14:paraId="0B241629" w14:textId="77777777" w:rsidR="00B852EC" w:rsidRPr="006B7C7C" w:rsidRDefault="00B852EC" w:rsidP="00B852EC">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Downlink and uplink transmissions are organized into radio frames with 10 </w:t>
      </w:r>
      <w:proofErr w:type="spellStart"/>
      <w:r w:rsidRPr="006B7C7C">
        <w:rPr>
          <w:rFonts w:eastAsia="MS Mincho" w:cstheme="minorHAnsi"/>
          <w:i/>
          <w:iCs/>
          <w:kern w:val="0"/>
          <w:lang w:eastAsia="ja-JP"/>
        </w:rPr>
        <w:t>ms</w:t>
      </w:r>
      <w:proofErr w:type="spellEnd"/>
      <w:r w:rsidRPr="006B7C7C">
        <w:rPr>
          <w:rFonts w:eastAsia="MS Mincho" w:cstheme="minorHAnsi"/>
          <w:i/>
          <w:iCs/>
          <w:kern w:val="0"/>
          <w:lang w:eastAsia="ja-JP"/>
        </w:rPr>
        <w:t xml:space="preserve"> duration. Three radio frame structures are supported:</w:t>
      </w:r>
    </w:p>
    <w:p w14:paraId="0272D493" w14:textId="77777777" w:rsidR="00B852EC" w:rsidRPr="006B7C7C" w:rsidRDefault="00B852EC" w:rsidP="00B852EC">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1, applicable to FDD </w:t>
      </w:r>
      <w:r w:rsidRPr="006B7C7C">
        <w:rPr>
          <w:rFonts w:eastAsia="MS Mincho" w:cstheme="minorHAnsi"/>
          <w:i/>
          <w:iCs/>
          <w:color w:val="5B9BD5" w:themeColor="accent1"/>
          <w:kern w:val="0"/>
          <w:lang w:eastAsia="ja-JP"/>
        </w:rPr>
        <w:t xml:space="preserve">and IoT-NTN </w:t>
      </w:r>
      <w:proofErr w:type="gramStart"/>
      <w:r w:rsidRPr="006B7C7C">
        <w:rPr>
          <w:rFonts w:eastAsia="MS Mincho" w:cstheme="minorHAnsi"/>
          <w:i/>
          <w:iCs/>
          <w:color w:val="5B9BD5" w:themeColor="accent1"/>
          <w:kern w:val="0"/>
          <w:lang w:eastAsia="ja-JP"/>
        </w:rPr>
        <w:t>TDD</w:t>
      </w:r>
      <w:r w:rsidRPr="006B7C7C">
        <w:rPr>
          <w:rFonts w:eastAsia="MS Mincho" w:cstheme="minorHAnsi"/>
          <w:i/>
          <w:iCs/>
          <w:kern w:val="0"/>
          <w:lang w:eastAsia="ja-JP"/>
        </w:rPr>
        <w:t>;</w:t>
      </w:r>
      <w:proofErr w:type="gramEnd"/>
    </w:p>
    <w:p w14:paraId="0A51CF4A" w14:textId="77777777" w:rsidR="00B852EC" w:rsidRDefault="00B852EC" w:rsidP="00B852EC">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2, applicable to </w:t>
      </w:r>
      <w:proofErr w:type="gramStart"/>
      <w:r w:rsidRPr="006B7C7C">
        <w:rPr>
          <w:rFonts w:eastAsia="MS Mincho" w:cstheme="minorHAnsi"/>
          <w:i/>
          <w:iCs/>
          <w:kern w:val="0"/>
          <w:lang w:eastAsia="ja-JP"/>
        </w:rPr>
        <w:t>TDD;</w:t>
      </w:r>
      <w:proofErr w:type="gramEnd"/>
    </w:p>
    <w:p w14:paraId="7F8A1316" w14:textId="77777777" w:rsidR="00B852EC" w:rsidRDefault="00B852EC" w:rsidP="00B852EC">
      <w:pPr>
        <w:autoSpaceDE w:val="0"/>
        <w:autoSpaceDN w:val="0"/>
        <w:adjustRightInd w:val="0"/>
        <w:spacing w:after="0" w:line="240" w:lineRule="auto"/>
        <w:rPr>
          <w:rFonts w:eastAsia="MS Mincho" w:cstheme="minorHAnsi"/>
          <w:i/>
          <w:iCs/>
          <w:kern w:val="0"/>
          <w:lang w:eastAsia="ja-JP"/>
        </w:rPr>
      </w:pPr>
      <w:r>
        <w:rPr>
          <w:rFonts w:eastAsia="MS Mincho" w:cstheme="minorHAnsi"/>
          <w:i/>
          <w:iCs/>
          <w:kern w:val="0"/>
          <w:lang w:eastAsia="ja-JP"/>
        </w:rPr>
        <w:t>…</w:t>
      </w:r>
    </w:p>
    <w:p w14:paraId="6F0B3595" w14:textId="74C52732" w:rsidR="00B852EC" w:rsidRPr="00B14602" w:rsidRDefault="00B852EC" w:rsidP="00B852EC">
      <w:pPr>
        <w:autoSpaceDE w:val="0"/>
        <w:autoSpaceDN w:val="0"/>
        <w:adjustRightInd w:val="0"/>
        <w:spacing w:after="0" w:line="240" w:lineRule="auto"/>
        <w:rPr>
          <w:rFonts w:eastAsia="MS Mincho"/>
          <w:i/>
          <w:color w:val="5B9BD5" w:themeColor="accent1"/>
          <w:kern w:val="0"/>
          <w:lang w:eastAsia="ja-JP"/>
        </w:rPr>
      </w:pPr>
      <w:r w:rsidRPr="14786BFD">
        <w:rPr>
          <w:rFonts w:eastAsia="MS Mincho"/>
          <w:i/>
          <w:color w:val="5B9BD5" w:themeColor="accent1"/>
          <w:kern w:val="0"/>
          <w:lang w:eastAsia="ja-JP"/>
        </w:rPr>
        <w:t xml:space="preserve">For IoT-NTN TDD mode, Frame Structure Type-1 is used where </w:t>
      </w:r>
      <w:r>
        <w:rPr>
          <w:rFonts w:eastAsia="MS Mincho"/>
          <w:i/>
          <w:color w:val="5B9BD5" w:themeColor="accent1"/>
          <w:kern w:val="0"/>
          <w:lang w:eastAsia="ja-JP"/>
        </w:rPr>
        <w:t>u</w:t>
      </w:r>
      <w:r w:rsidRPr="14786BFD">
        <w:rPr>
          <w:rFonts w:eastAsia="MS Mincho"/>
          <w:i/>
          <w:color w:val="5B9BD5" w:themeColor="accent1"/>
          <w:kern w:val="0"/>
          <w:lang w:eastAsia="ja-JP"/>
        </w:rPr>
        <w:t>plink and downlink transmissions are separated in the time domain and constitute of</w:t>
      </w:r>
      <w:r w:rsidRPr="00B14602">
        <w:rPr>
          <w:i/>
          <w:iCs/>
          <w:color w:val="5B9BD5" w:themeColor="accent1"/>
        </w:rPr>
        <w:t xml:space="preserve"> set of </w:t>
      </w:r>
      <w:r>
        <w:rPr>
          <w:i/>
          <w:iCs/>
          <w:color w:val="5B9BD5" w:themeColor="accent1"/>
        </w:rPr>
        <w:t>D</w:t>
      </w:r>
      <w:r w:rsidRPr="00B14602">
        <w:rPr>
          <w:i/>
          <w:iCs/>
          <w:color w:val="5B9BD5" w:themeColor="accent1"/>
        </w:rPr>
        <w:t xml:space="preserve"> non-overlapping usable contiguous </w:t>
      </w:r>
      <w:r>
        <w:rPr>
          <w:i/>
          <w:iCs/>
          <w:color w:val="5B9BD5" w:themeColor="accent1"/>
        </w:rPr>
        <w:t>D</w:t>
      </w:r>
      <w:r w:rsidRPr="00B14602">
        <w:rPr>
          <w:i/>
          <w:iCs/>
          <w:color w:val="5B9BD5" w:themeColor="accent1"/>
        </w:rPr>
        <w:t>L subframe</w:t>
      </w:r>
      <w:r>
        <w:rPr>
          <w:i/>
          <w:iCs/>
          <w:color w:val="5B9BD5" w:themeColor="accent1"/>
        </w:rPr>
        <w:t>s</w:t>
      </w:r>
      <w:r w:rsidRPr="00B14602">
        <w:rPr>
          <w:i/>
          <w:iCs/>
          <w:color w:val="5B9BD5" w:themeColor="accent1"/>
        </w:rPr>
        <w:t xml:space="preserve"> and set of </w:t>
      </w:r>
      <w:r>
        <w:rPr>
          <w:i/>
          <w:iCs/>
          <w:color w:val="5B9BD5" w:themeColor="accent1"/>
        </w:rPr>
        <w:t>U</w:t>
      </w:r>
      <w:r w:rsidRPr="00B14602">
        <w:rPr>
          <w:i/>
          <w:iCs/>
          <w:color w:val="5B9BD5" w:themeColor="accent1"/>
        </w:rPr>
        <w:t xml:space="preserve"> usable contiguous </w:t>
      </w:r>
      <w:r>
        <w:rPr>
          <w:i/>
          <w:iCs/>
          <w:color w:val="5B9BD5" w:themeColor="accent1"/>
        </w:rPr>
        <w:t>U</w:t>
      </w:r>
      <w:r w:rsidRPr="00B14602">
        <w:rPr>
          <w:i/>
          <w:iCs/>
          <w:color w:val="5B9BD5" w:themeColor="accent1"/>
        </w:rPr>
        <w:t>L subframe</w:t>
      </w:r>
      <w:r>
        <w:rPr>
          <w:i/>
          <w:iCs/>
          <w:color w:val="5B9BD5" w:themeColor="accent1"/>
        </w:rPr>
        <w:t>s</w:t>
      </w:r>
      <w:r w:rsidRPr="00B14602">
        <w:rPr>
          <w:i/>
          <w:iCs/>
          <w:color w:val="5B9BD5" w:themeColor="accent1"/>
        </w:rPr>
        <w:t xml:space="preserve"> separated by fixed guard period</w:t>
      </w:r>
      <w:r>
        <w:rPr>
          <w:i/>
          <w:iCs/>
          <w:color w:val="5B9BD5" w:themeColor="accent1"/>
        </w:rPr>
        <w:t xml:space="preserve"> (GP)</w:t>
      </w:r>
      <w:r w:rsidRPr="00B14602">
        <w:rPr>
          <w:i/>
          <w:iCs/>
          <w:color w:val="5B9BD5" w:themeColor="accent1"/>
        </w:rPr>
        <w:t xml:space="preserve"> as per</w:t>
      </w:r>
      <w:r>
        <w:rPr>
          <w:i/>
          <w:iCs/>
          <w:color w:val="5B9BD5" w:themeColor="accent1"/>
        </w:rPr>
        <w:t xml:space="preserve"> </w:t>
      </w:r>
      <w:r>
        <w:rPr>
          <w:i/>
          <w:iCs/>
          <w:color w:val="5B9BD5" w:themeColor="accent1"/>
        </w:rPr>
        <w:fldChar w:fldCharType="begin"/>
      </w:r>
      <w:r>
        <w:rPr>
          <w:i/>
          <w:iCs/>
          <w:color w:val="5B9BD5" w:themeColor="accent1"/>
        </w:rPr>
        <w:instrText xml:space="preserve"> REF _Ref189591810 \h </w:instrText>
      </w:r>
      <w:r>
        <w:rPr>
          <w:i/>
          <w:iCs/>
          <w:color w:val="5B9BD5" w:themeColor="accent1"/>
        </w:rPr>
      </w:r>
      <w:r>
        <w:rPr>
          <w:i/>
          <w:iCs/>
          <w:color w:val="5B9BD5" w:themeColor="accent1"/>
        </w:rPr>
        <w:fldChar w:fldCharType="separate"/>
      </w:r>
      <w:r w:rsidR="00917AEC">
        <w:t xml:space="preserve">Figure </w:t>
      </w:r>
      <w:r w:rsidR="00917AEC">
        <w:rPr>
          <w:noProof/>
        </w:rPr>
        <w:t>1</w:t>
      </w:r>
      <w:r>
        <w:rPr>
          <w:i/>
          <w:iCs/>
          <w:color w:val="5B9BD5" w:themeColor="accent1"/>
        </w:rPr>
        <w:fldChar w:fldCharType="end"/>
      </w:r>
      <w:r>
        <w:rPr>
          <w:i/>
          <w:iCs/>
          <w:color w:val="5B9BD5" w:themeColor="accent1"/>
        </w:rPr>
        <w:t>.</w:t>
      </w:r>
      <w:r w:rsidRPr="00B14602">
        <w:rPr>
          <w:i/>
          <w:iCs/>
          <w:color w:val="5B9BD5" w:themeColor="accent1"/>
        </w:rPr>
        <w:t xml:space="preserve"> This pattern is repeated every N radio frames.</w:t>
      </w:r>
      <w:r>
        <w:rPr>
          <w:i/>
          <w:iCs/>
          <w:color w:val="5B9BD5" w:themeColor="accent1"/>
        </w:rPr>
        <w:t xml:space="preserve"> The values of N, D, U, [TBD for GP and start subframe for D] are fixed per IoT-NTN TDD band specified in [TBD]</w:t>
      </w:r>
    </w:p>
    <w:p w14:paraId="1C1376C3" w14:textId="77777777" w:rsidR="00B852EC" w:rsidRDefault="00B852EC" w:rsidP="00B852EC">
      <w:pPr>
        <w:autoSpaceDE w:val="0"/>
        <w:autoSpaceDN w:val="0"/>
        <w:adjustRightInd w:val="0"/>
        <w:spacing w:after="0" w:line="240" w:lineRule="auto"/>
        <w:rPr>
          <w:rFonts w:eastAsia="MS Mincho" w:cstheme="minorHAnsi"/>
          <w:kern w:val="0"/>
          <w:lang w:eastAsia="ja-JP"/>
        </w:rPr>
      </w:pPr>
    </w:p>
    <w:p w14:paraId="31BFE464" w14:textId="77777777" w:rsidR="00B852EC" w:rsidRDefault="00B852EC" w:rsidP="00B852EC">
      <w:pPr>
        <w:rPr>
          <w:rStyle w:val="d9fyld"/>
          <w:lang w:val="en"/>
        </w:rPr>
      </w:pPr>
      <w:r>
        <w:rPr>
          <w:b/>
        </w:rPr>
        <w:t xml:space="preserve">Proposal 2: </w:t>
      </w:r>
      <w:r>
        <w:t xml:space="preserve">Anchor carrier definitions in 36.300 </w:t>
      </w:r>
      <w:r>
        <w:rPr>
          <w:rStyle w:val="d9fyld"/>
          <w:lang w:val="en"/>
        </w:rPr>
        <w:t>§3 needs updating:</w:t>
      </w:r>
    </w:p>
    <w:p w14:paraId="29A9AA18" w14:textId="77777777" w:rsidR="00B852EC" w:rsidRPr="00177827" w:rsidRDefault="00B852EC" w:rsidP="00B852EC">
      <w:pPr>
        <w:autoSpaceDE w:val="0"/>
        <w:autoSpaceDN w:val="0"/>
        <w:adjustRightInd w:val="0"/>
        <w:spacing w:after="0" w:line="240" w:lineRule="auto"/>
        <w:rPr>
          <w:rFonts w:eastAsia="MS Mincho" w:cstheme="minorHAnsi"/>
          <w:i/>
          <w:iCs/>
          <w:kern w:val="0"/>
          <w:lang w:eastAsia="ja-JP"/>
        </w:rPr>
      </w:pPr>
      <w:r w:rsidRPr="00177827">
        <w:rPr>
          <w:rFonts w:eastAsia="MS Mincho" w:cstheme="minorHAnsi"/>
          <w:b/>
          <w:bCs/>
          <w:i/>
          <w:iCs/>
          <w:kern w:val="0"/>
          <w:lang w:eastAsia="ja-JP"/>
        </w:rPr>
        <w:t>Anchor carrier</w:t>
      </w:r>
      <w:r w:rsidRPr="00177827">
        <w:rPr>
          <w:rFonts w:eastAsia="MS Mincho" w:cstheme="minorHAnsi"/>
          <w:i/>
          <w:iCs/>
          <w:kern w:val="0"/>
          <w:lang w:eastAsia="ja-JP"/>
        </w:rPr>
        <w:t xml:space="preserve">: in NB-IoT, a carrier where the UE assumes that NPSS/NSSS/NPBCH/SIB-NB for FDD </w:t>
      </w:r>
      <w:r w:rsidRPr="00177827">
        <w:rPr>
          <w:rFonts w:eastAsia="MS Mincho" w:cstheme="minorHAnsi"/>
          <w:i/>
          <w:iCs/>
          <w:color w:val="5B9BD5" w:themeColor="accent1"/>
          <w:kern w:val="0"/>
          <w:lang w:eastAsia="ja-JP"/>
        </w:rPr>
        <w:t>and IoT-NTN TDD</w:t>
      </w:r>
      <w:r w:rsidRPr="00177827">
        <w:rPr>
          <w:rFonts w:eastAsia="MS Mincho" w:cstheme="minorHAnsi"/>
          <w:i/>
          <w:iCs/>
          <w:kern w:val="0"/>
          <w:lang w:eastAsia="ja-JP"/>
        </w:rPr>
        <w:t xml:space="preserve"> or NPSS/NSSS/NPBCH for TDD are transmitted.</w:t>
      </w:r>
    </w:p>
    <w:p w14:paraId="6CEF256B" w14:textId="77777777" w:rsidR="00B852EC" w:rsidRDefault="00B852EC" w:rsidP="00B852EC">
      <w:pPr>
        <w:autoSpaceDE w:val="0"/>
        <w:autoSpaceDN w:val="0"/>
        <w:adjustRightInd w:val="0"/>
        <w:spacing w:after="0" w:line="240" w:lineRule="auto"/>
        <w:rPr>
          <w:rFonts w:eastAsia="MS Mincho" w:cstheme="minorHAnsi"/>
          <w:kern w:val="0"/>
          <w:lang w:eastAsia="ja-JP"/>
        </w:rPr>
      </w:pPr>
    </w:p>
    <w:p w14:paraId="2D7B7DBF" w14:textId="77777777" w:rsidR="00B852EC" w:rsidRDefault="00B852EC" w:rsidP="00B852EC">
      <w:pPr>
        <w:autoSpaceDE w:val="0"/>
        <w:autoSpaceDN w:val="0"/>
        <w:adjustRightInd w:val="0"/>
        <w:spacing w:after="0" w:line="240" w:lineRule="auto"/>
        <w:rPr>
          <w:rStyle w:val="d9fyld"/>
          <w:lang w:val="en"/>
        </w:rPr>
      </w:pPr>
      <w:r>
        <w:rPr>
          <w:b/>
        </w:rPr>
        <w:lastRenderedPageBreak/>
        <w:t xml:space="preserve">Proposal 3: </w:t>
      </w:r>
      <w:r>
        <w:t xml:space="preserve">In 36.300 </w:t>
      </w:r>
      <w:r>
        <w:rPr>
          <w:rStyle w:val="d9fyld"/>
          <w:lang w:val="en"/>
        </w:rPr>
        <w:t>§23.21 should be updated to reflect that NTN is applicable to both FDD and IoT-NTN TDD system:</w:t>
      </w:r>
    </w:p>
    <w:p w14:paraId="7593D63C" w14:textId="77777777" w:rsidR="00B852EC" w:rsidRDefault="00B852EC" w:rsidP="00B852EC">
      <w:pPr>
        <w:autoSpaceDE w:val="0"/>
        <w:autoSpaceDN w:val="0"/>
        <w:adjustRightInd w:val="0"/>
        <w:spacing w:after="0" w:line="240" w:lineRule="auto"/>
        <w:rPr>
          <w:rFonts w:eastAsia="MS Mincho" w:cstheme="minorHAnsi"/>
          <w:i/>
          <w:iCs/>
          <w:kern w:val="0"/>
          <w:lang w:eastAsia="ja-JP"/>
        </w:rPr>
      </w:pPr>
      <w:r w:rsidRPr="00D440C2">
        <w:rPr>
          <w:rFonts w:eastAsia="MS Mincho" w:cstheme="minorHAnsi"/>
          <w:i/>
          <w:iCs/>
          <w:kern w:val="0"/>
          <w:lang w:eastAsia="ja-JP"/>
        </w:rPr>
        <w:t xml:space="preserve">In this release of the specification, NTN is only applicable to FDD </w:t>
      </w:r>
      <w:r w:rsidRPr="00D440C2">
        <w:rPr>
          <w:rFonts w:eastAsia="MS Mincho" w:cstheme="minorHAnsi"/>
          <w:i/>
          <w:iCs/>
          <w:color w:val="5B9BD5" w:themeColor="accent1"/>
          <w:kern w:val="0"/>
          <w:lang w:eastAsia="ja-JP"/>
        </w:rPr>
        <w:t>and IoT-NTN TDD</w:t>
      </w:r>
      <w:r>
        <w:rPr>
          <w:rFonts w:eastAsia="MS Mincho" w:cstheme="minorHAnsi"/>
          <w:i/>
          <w:iCs/>
          <w:kern w:val="0"/>
          <w:lang w:eastAsia="ja-JP"/>
        </w:rPr>
        <w:t xml:space="preserve"> </w:t>
      </w:r>
      <w:r w:rsidRPr="00D440C2">
        <w:rPr>
          <w:rFonts w:eastAsia="MS Mincho" w:cstheme="minorHAnsi"/>
          <w:i/>
          <w:iCs/>
          <w:kern w:val="0"/>
          <w:lang w:eastAsia="ja-JP"/>
        </w:rPr>
        <w:t>sy</w:t>
      </w:r>
      <w:r>
        <w:rPr>
          <w:rFonts w:eastAsia="MS Mincho" w:cstheme="minorHAnsi"/>
          <w:i/>
          <w:iCs/>
          <w:kern w:val="0"/>
          <w:lang w:eastAsia="ja-JP"/>
        </w:rPr>
        <w:t>stem.</w:t>
      </w:r>
    </w:p>
    <w:p w14:paraId="438EB16F" w14:textId="77777777" w:rsidR="00B852EC" w:rsidRDefault="00B852EC" w:rsidP="00B852EC">
      <w:pPr>
        <w:autoSpaceDE w:val="0"/>
        <w:autoSpaceDN w:val="0"/>
        <w:adjustRightInd w:val="0"/>
        <w:spacing w:after="0" w:line="240" w:lineRule="auto"/>
        <w:rPr>
          <w:rFonts w:eastAsia="MS Mincho" w:cstheme="minorHAnsi"/>
          <w:i/>
          <w:iCs/>
          <w:kern w:val="0"/>
          <w:lang w:eastAsia="ja-JP"/>
        </w:rPr>
      </w:pPr>
    </w:p>
    <w:p w14:paraId="307FC0B1" w14:textId="22CAD6D9" w:rsidR="00671204" w:rsidRPr="001C7794" w:rsidRDefault="00671204" w:rsidP="00671204">
      <w:pPr>
        <w:rPr>
          <w:i/>
          <w:iCs/>
        </w:rPr>
      </w:pPr>
      <w:r w:rsidRPr="001C7794">
        <w:rPr>
          <w:i/>
          <w:iCs/>
        </w:rPr>
        <w:t xml:space="preserve">Note: As per RAN2 VC instructions after the </w:t>
      </w:r>
      <w:r w:rsidR="00F512A6">
        <w:rPr>
          <w:i/>
          <w:iCs/>
        </w:rPr>
        <w:t>RAN2 #129</w:t>
      </w:r>
      <w:r w:rsidR="00F512A6" w:rsidRPr="001C7794">
        <w:rPr>
          <w:i/>
          <w:iCs/>
        </w:rPr>
        <w:t xml:space="preserve"> </w:t>
      </w:r>
      <w:r w:rsidRPr="001C7794">
        <w:rPr>
          <w:i/>
          <w:iCs/>
        </w:rPr>
        <w:t>[5], the rapporteur</w:t>
      </w:r>
      <w:r>
        <w:rPr>
          <w:i/>
          <w:iCs/>
        </w:rPr>
        <w:t xml:space="preserve"> of IOT NTN TDD WI</w:t>
      </w:r>
      <w:r w:rsidRPr="001C7794">
        <w:rPr>
          <w:i/>
          <w:iCs/>
        </w:rPr>
        <w:t xml:space="preserve"> has submitted the above three proposals for consideration into </w:t>
      </w:r>
      <w:r>
        <w:rPr>
          <w:i/>
          <w:iCs/>
        </w:rPr>
        <w:t xml:space="preserve">the upcoming </w:t>
      </w:r>
      <w:r w:rsidRPr="001C7794">
        <w:rPr>
          <w:i/>
          <w:iCs/>
        </w:rPr>
        <w:t>RAN1 120-bis, and these proposals brought up here again are simply for completeness.</w:t>
      </w:r>
    </w:p>
    <w:p w14:paraId="7BCA6F17" w14:textId="55B58A19" w:rsidR="00671204" w:rsidRPr="00CB5098" w:rsidRDefault="00671204" w:rsidP="00B852EC">
      <w:pPr>
        <w:autoSpaceDE w:val="0"/>
        <w:autoSpaceDN w:val="0"/>
        <w:adjustRightInd w:val="0"/>
        <w:spacing w:after="0" w:line="240" w:lineRule="auto"/>
        <w:rPr>
          <w:rFonts w:eastAsia="MS Mincho" w:cstheme="minorHAnsi"/>
          <w:i/>
          <w:iCs/>
          <w:kern w:val="0"/>
          <w:lang w:eastAsia="ja-JP"/>
        </w:rPr>
      </w:pPr>
    </w:p>
    <w:p w14:paraId="5439D00E" w14:textId="7C29564F" w:rsidR="00B852EC" w:rsidRPr="00C6647A" w:rsidRDefault="00B852EC" w:rsidP="00B852EC">
      <w:r>
        <w:rPr>
          <w:b/>
        </w:rPr>
        <w:t xml:space="preserve">Proposal 4: </w:t>
      </w:r>
      <w:r>
        <w:t>When operating in IoT-NTN TDD mode, there is no need to update the SIB1 scheduling mechanism in the existing specifications, except for disabling transmissions during downlink inactive time.</w:t>
      </w:r>
    </w:p>
    <w:p w14:paraId="48EF9608" w14:textId="77777777" w:rsidR="00B852EC" w:rsidRPr="00CB5098" w:rsidRDefault="00B852EC" w:rsidP="00B852EC">
      <w:pPr>
        <w:jc w:val="both"/>
      </w:pPr>
      <w:r>
        <w:rPr>
          <w:b/>
        </w:rPr>
        <w:t xml:space="preserve">Proposal 5: </w:t>
      </w:r>
      <w:r>
        <w:t>In IoT-NTN TDD mode, if start of the SI window falls within the downlink inactive time, it shall be postponed to the next downlink active time.</w:t>
      </w:r>
    </w:p>
    <w:p w14:paraId="2A5B8ECB" w14:textId="77777777" w:rsidR="00B852EC" w:rsidRDefault="00B852EC" w:rsidP="00B852EC">
      <w:r>
        <w:rPr>
          <w:b/>
        </w:rPr>
        <w:t xml:space="preserve">Proposal 6: </w:t>
      </w:r>
      <w:r>
        <w:t>In IoT-NTN TDD mode, subframes from a single repetition of the SI transmission shall be allowed to be postponed to the next downlink active time opportunity.</w:t>
      </w:r>
    </w:p>
    <w:p w14:paraId="1581CC14" w14:textId="77777777" w:rsidR="00B852EC" w:rsidRDefault="00B852EC" w:rsidP="00B852EC">
      <w:r>
        <w:rPr>
          <w:b/>
        </w:rPr>
        <w:t xml:space="preserve">Proposal 7: </w:t>
      </w:r>
      <w:r>
        <w:t>In IoT-NTN TDD mode, SI transmissions shall be truncated if, due to the proposed postponement, they overlap with the transmission of the next SI repetition within the SI window.</w:t>
      </w:r>
    </w:p>
    <w:p w14:paraId="2F7ED5F0" w14:textId="77777777" w:rsidR="00B852EC" w:rsidRDefault="00B852EC" w:rsidP="00B852EC">
      <w:pPr>
        <w:jc w:val="both"/>
      </w:pPr>
      <w:r>
        <w:rPr>
          <w:b/>
        </w:rPr>
        <w:t xml:space="preserve">Proposal 8: </w:t>
      </w:r>
      <w:r>
        <w:t>In IoT-NTN TDD mode, SI transmission shall be truncated if, due to the proposed SI transmission postponement, it overflows the configured SI window length.</w:t>
      </w:r>
    </w:p>
    <w:p w14:paraId="2FE21448" w14:textId="77777777" w:rsidR="00B852EC" w:rsidRDefault="00B852EC" w:rsidP="00B852EC">
      <w:pPr>
        <w:jc w:val="both"/>
      </w:pPr>
      <w:r>
        <w:rPr>
          <w:b/>
        </w:rPr>
        <w:t xml:space="preserve">Proposal 9: </w:t>
      </w:r>
      <w:r>
        <w:t xml:space="preserve">In IoT-NTN TDD mode, by making modifications to the SI scheduling mechanism, all SI messages can be delivered to the UE. This can be achieved by updating 36.331 </w:t>
      </w:r>
      <w:r>
        <w:rPr>
          <w:rStyle w:val="d9fyld"/>
          <w:lang w:val="en"/>
        </w:rPr>
        <w:t>§5.2.3a</w:t>
      </w:r>
      <w:r>
        <w:t xml:space="preserve"> as follows:</w:t>
      </w:r>
    </w:p>
    <w:p w14:paraId="0F30DB8F" w14:textId="77777777" w:rsidR="00B852EC" w:rsidRPr="002E6BCF" w:rsidRDefault="00B852EC" w:rsidP="00B852EC">
      <w:pPr>
        <w:pStyle w:val="BodyText"/>
        <w:rPr>
          <w:i/>
          <w:iCs/>
          <w:color w:val="000000" w:themeColor="text1"/>
        </w:rPr>
      </w:pPr>
      <w:r w:rsidRPr="002E6BCF">
        <w:rPr>
          <w:i/>
          <w:iCs/>
          <w:color w:val="000000" w:themeColor="text1"/>
        </w:rPr>
        <w:t xml:space="preserve">1&gt; if the UE is a NB-IoT UE: </w:t>
      </w:r>
    </w:p>
    <w:p w14:paraId="6063C8C6" w14:textId="77777777" w:rsidR="00B852EC" w:rsidRDefault="00B852EC" w:rsidP="00B852EC">
      <w:pPr>
        <w:pStyle w:val="BodyText"/>
        <w:ind w:left="567" w:hanging="284"/>
        <w:rPr>
          <w:i/>
          <w:iCs/>
          <w:color w:val="000000" w:themeColor="text1"/>
        </w:rPr>
      </w:pPr>
      <w:r w:rsidRPr="002E6BCF">
        <w:rPr>
          <w:i/>
          <w:iCs/>
          <w:color w:val="000000" w:themeColor="text1"/>
        </w:rPr>
        <w:t>2&gt;</w:t>
      </w:r>
      <w:r w:rsidRPr="002E6BCF">
        <w:rPr>
          <w:i/>
          <w:iCs/>
          <w:color w:val="000000" w:themeColor="text1"/>
        </w:rPr>
        <w:tab/>
        <w:t xml:space="preserve">receive and accumulate SI message transmissions on DL-SCH from the start of the SI-window and continue until the end of the SI-window whose absolute length in time is given by </w:t>
      </w:r>
      <w:proofErr w:type="spellStart"/>
      <w:r w:rsidRPr="002E6BCF">
        <w:rPr>
          <w:i/>
          <w:iCs/>
          <w:color w:val="000000" w:themeColor="text1"/>
        </w:rPr>
        <w:t>si-WindowLength</w:t>
      </w:r>
      <w:proofErr w:type="spellEnd"/>
      <w:r w:rsidRPr="002E6BCF">
        <w:rPr>
          <w:i/>
          <w:iCs/>
          <w:color w:val="000000" w:themeColor="text1"/>
        </w:rPr>
        <w:t xml:space="preserve">, starting from the radio frames as provided in </w:t>
      </w:r>
      <w:proofErr w:type="spellStart"/>
      <w:r w:rsidRPr="002E6BCF">
        <w:rPr>
          <w:i/>
          <w:iCs/>
          <w:color w:val="000000" w:themeColor="text1"/>
        </w:rPr>
        <w:t>si-RepetitionPattern</w:t>
      </w:r>
      <w:proofErr w:type="spellEnd"/>
      <w:r w:rsidRPr="002E6BCF">
        <w:rPr>
          <w:i/>
          <w:iCs/>
          <w:color w:val="000000" w:themeColor="text1"/>
        </w:rPr>
        <w:t xml:space="preserve"> and in subframes as provided in </w:t>
      </w:r>
      <w:proofErr w:type="spellStart"/>
      <w:r w:rsidRPr="002E6BCF">
        <w:rPr>
          <w:i/>
          <w:iCs/>
          <w:color w:val="000000" w:themeColor="text1"/>
        </w:rPr>
        <w:t>downlinkBitmap</w:t>
      </w:r>
      <w:proofErr w:type="spellEnd"/>
      <w:r w:rsidRPr="002E6BCF">
        <w:rPr>
          <w:i/>
          <w:iCs/>
          <w:color w:val="000000" w:themeColor="text1"/>
        </w:rPr>
        <w:t xml:space="preserve">, or until successful decoding of the accumulated SI message transmissions excluding the subframes used for transmission of NPSS, NSSS, </w:t>
      </w:r>
      <w:proofErr w:type="spellStart"/>
      <w:r w:rsidRPr="002E6BCF">
        <w:rPr>
          <w:i/>
          <w:iCs/>
          <w:color w:val="000000" w:themeColor="text1"/>
        </w:rPr>
        <w:t>MasterInformationBlock</w:t>
      </w:r>
      <w:proofErr w:type="spellEnd"/>
      <w:r w:rsidRPr="002E6BCF">
        <w:rPr>
          <w:i/>
          <w:iCs/>
          <w:color w:val="000000" w:themeColor="text1"/>
        </w:rPr>
        <w:t xml:space="preserve">-NB/ </w:t>
      </w:r>
      <w:proofErr w:type="spellStart"/>
      <w:r w:rsidRPr="002E6BCF">
        <w:rPr>
          <w:i/>
          <w:iCs/>
          <w:color w:val="000000" w:themeColor="text1"/>
        </w:rPr>
        <w:t>MasterInformationBlock</w:t>
      </w:r>
      <w:proofErr w:type="spellEnd"/>
      <w:r w:rsidRPr="002E6BCF">
        <w:rPr>
          <w:i/>
          <w:iCs/>
          <w:color w:val="000000" w:themeColor="text1"/>
        </w:rPr>
        <w:t xml:space="preserve">-TDD-NB, </w:t>
      </w:r>
      <w:r w:rsidRPr="007342D8">
        <w:rPr>
          <w:i/>
          <w:iCs/>
          <w:strike/>
          <w:color w:val="5B9BD5" w:themeColor="accent1"/>
        </w:rPr>
        <w:t>and</w:t>
      </w:r>
      <w:r w:rsidRPr="002E6BCF">
        <w:rPr>
          <w:i/>
          <w:iCs/>
          <w:color w:val="000000" w:themeColor="text1"/>
        </w:rPr>
        <w:t xml:space="preserve"> SystemInformationBlockType1-NB, </w:t>
      </w:r>
      <w:r w:rsidRPr="007342D8">
        <w:rPr>
          <w:i/>
          <w:iCs/>
          <w:color w:val="5B9BD5" w:themeColor="accent1"/>
        </w:rPr>
        <w:t>and in the IoT-NTN TDD mode excluding subframes outside of active downlink time</w:t>
      </w:r>
      <w:r w:rsidRPr="002E6BCF">
        <w:rPr>
          <w:i/>
          <w:iCs/>
          <w:color w:val="000000" w:themeColor="text1"/>
        </w:rPr>
        <w:t xml:space="preserve">. If there are not enough subframes for one SI message transmission in the radio frames as provided in </w:t>
      </w:r>
      <w:proofErr w:type="spellStart"/>
      <w:r w:rsidRPr="002E6BCF">
        <w:rPr>
          <w:i/>
          <w:iCs/>
          <w:color w:val="000000" w:themeColor="text1"/>
        </w:rPr>
        <w:t>si-RepetitionPattern</w:t>
      </w:r>
      <w:proofErr w:type="spellEnd"/>
      <w:r w:rsidRPr="002E6BCF">
        <w:rPr>
          <w:i/>
          <w:iCs/>
          <w:color w:val="000000" w:themeColor="text1"/>
        </w:rPr>
        <w:t xml:space="preserve">, the UE shall continue to receive the SI message transmission in the radio frames following the radio frame indicated in </w:t>
      </w:r>
      <w:proofErr w:type="spellStart"/>
      <w:r w:rsidRPr="002E6BCF">
        <w:rPr>
          <w:i/>
          <w:iCs/>
          <w:color w:val="000000" w:themeColor="text1"/>
        </w:rPr>
        <w:t>si-</w:t>
      </w:r>
      <w:proofErr w:type="gramStart"/>
      <w:r w:rsidRPr="002E6BCF">
        <w:rPr>
          <w:i/>
          <w:iCs/>
          <w:color w:val="000000" w:themeColor="text1"/>
        </w:rPr>
        <w:t>RepetitionPattern</w:t>
      </w:r>
      <w:proofErr w:type="spellEnd"/>
      <w:r w:rsidRPr="002E6BCF">
        <w:rPr>
          <w:i/>
          <w:iCs/>
          <w:color w:val="000000" w:themeColor="text1"/>
        </w:rPr>
        <w:t>;</w:t>
      </w:r>
      <w:proofErr w:type="gramEnd"/>
    </w:p>
    <w:p w14:paraId="6F1A4D3C" w14:textId="77777777" w:rsidR="00B852EC" w:rsidRPr="007342D8" w:rsidRDefault="00B852EC" w:rsidP="00B852EC">
      <w:pPr>
        <w:pStyle w:val="BodyText"/>
        <w:ind w:left="567" w:hanging="284"/>
        <w:rPr>
          <w:i/>
          <w:iCs/>
          <w:color w:val="5B9BD5" w:themeColor="accent1"/>
        </w:rPr>
      </w:pPr>
      <w:r w:rsidRPr="006F66E1">
        <w:rPr>
          <w:b/>
          <w:bCs/>
          <w:i/>
          <w:iCs/>
          <w:color w:val="000000" w:themeColor="text1"/>
        </w:rPr>
        <w:t>   </w:t>
      </w:r>
      <w:r w:rsidRPr="007342D8">
        <w:rPr>
          <w:i/>
          <w:iCs/>
          <w:color w:val="5B9BD5" w:themeColor="accent1"/>
        </w:rPr>
        <w:t>  In the IoT-NTN TDD mode, if postponement of SI subframes due to downlink inactive time results in overlap with the subframes of the next SI repetition, or falls outside SI window, SI transmission should be truncated to the last non-overlapping subframe or last subframe within the SI window.</w:t>
      </w:r>
    </w:p>
    <w:p w14:paraId="5F11F9EB" w14:textId="77777777" w:rsidR="00B852EC" w:rsidRDefault="00B852EC" w:rsidP="00B852EC">
      <w:pPr>
        <w:jc w:val="both"/>
      </w:pPr>
      <w:r>
        <w:rPr>
          <w:b/>
        </w:rPr>
        <w:lastRenderedPageBreak/>
        <w:t xml:space="preserve">Proposal 10: </w:t>
      </w:r>
      <w:r>
        <w:t>In IoT-NTN TDD mode, when calculated paging opportunity of a UE falls in downlink inactive time, it shall get postponed to the next downlink active time.</w:t>
      </w:r>
    </w:p>
    <w:p w14:paraId="4FADA7C7" w14:textId="77777777" w:rsidR="00B852EC" w:rsidRDefault="00B852EC" w:rsidP="00B852EC">
      <w:r>
        <w:rPr>
          <w:b/>
        </w:rPr>
        <w:t xml:space="preserve">Proposal 11: </w:t>
      </w:r>
      <w:r>
        <w:t xml:space="preserve">In IoT-NTN TDD mode, The RA-RNTI should be calculated </w:t>
      </w:r>
      <w:r w:rsidRPr="00CB7398">
        <w:t>based on the SFN of the first radio frame in which the Random-Access Preamble is transmitted after the postponement, not the actual occurrence of the NPRACH opportunity.</w:t>
      </w:r>
    </w:p>
    <w:p w14:paraId="540A5D5A" w14:textId="77777777" w:rsidR="00B852EC" w:rsidRDefault="00B852EC" w:rsidP="00B852EC">
      <w:pPr>
        <w:jc w:val="both"/>
      </w:pPr>
      <w:r>
        <w:rPr>
          <w:b/>
        </w:rPr>
        <w:t xml:space="preserve">Proposal 12: </w:t>
      </w:r>
      <w:r>
        <w:t>RAN2 should send LS to RAN1 to ensure that in IoT-NTN TDD mode, the minimum allowed value of the NPDCCH period is 64ms instead of the current minimum allowed value of 4ms when D=8 and N=9.</w:t>
      </w:r>
    </w:p>
    <w:p w14:paraId="2CAC1A4A" w14:textId="58E109F6" w:rsidR="00B852EC" w:rsidRDefault="00B852EC" w:rsidP="00B852EC">
      <w:pPr>
        <w:pStyle w:val="paragraph"/>
        <w:spacing w:before="0" w:beforeAutospacing="0" w:after="0" w:afterAutospacing="0"/>
        <w:textAlignment w:val="baseline"/>
        <w:rPr>
          <w:rFonts w:asciiTheme="minorHAnsi" w:eastAsia="MS Mincho" w:hAnsiTheme="minorHAnsi" w:cstheme="minorHAnsi"/>
        </w:rPr>
      </w:pPr>
      <w:r>
        <w:rPr>
          <w:rStyle w:val="normaltextrun"/>
          <w:rFonts w:ascii="Calibri" w:hAnsi="Calibri" w:cs="Calibri"/>
          <w:b/>
          <w:bCs/>
        </w:rPr>
        <w:t>Proposal 13</w:t>
      </w:r>
      <w:r w:rsidRPr="00806360">
        <w:rPr>
          <w:rStyle w:val="normaltextrun"/>
          <w:rFonts w:asciiTheme="minorHAnsi" w:hAnsiTheme="minorHAnsi" w:cstheme="minorHAnsi"/>
          <w:b/>
          <w:bCs/>
        </w:rPr>
        <w:t xml:space="preserve">: </w:t>
      </w:r>
      <w:r w:rsidRPr="00806360">
        <w:rPr>
          <w:rStyle w:val="normaltextrun"/>
          <w:rFonts w:asciiTheme="minorHAnsi" w:hAnsiTheme="minorHAnsi" w:cstheme="minorHAnsi"/>
        </w:rPr>
        <w:t xml:space="preserve">In IoT-NTN TDD mode, existing cell barring mechanism using the IE </w:t>
      </w:r>
      <w:r w:rsidRPr="00806360">
        <w:rPr>
          <w:rFonts w:asciiTheme="minorHAnsi" w:eastAsia="MS Mincho" w:hAnsiTheme="minorHAnsi" w:cstheme="minorHAnsi"/>
        </w:rPr>
        <w:t>cellBarred-</w:t>
      </w:r>
      <w:r w:rsidRPr="00806360">
        <w:rPr>
          <w:rFonts w:asciiTheme="minorHAnsi" w:hAnsiTheme="minorHAnsi" w:cstheme="minorHAnsi"/>
        </w:rPr>
        <w:t xml:space="preserve">r13 and </w:t>
      </w:r>
      <w:r w:rsidRPr="00806360">
        <w:rPr>
          <w:rFonts w:asciiTheme="minorHAnsi" w:eastAsia="MS Mincho" w:hAnsiTheme="minorHAnsi" w:cstheme="minorHAnsi"/>
        </w:rPr>
        <w:t>cellBarred-NTN-r17</w:t>
      </w:r>
      <w:r>
        <w:rPr>
          <w:rFonts w:asciiTheme="minorHAnsi" w:eastAsia="MS Mincho" w:hAnsiTheme="minorHAnsi" w:cstheme="minorHAnsi"/>
        </w:rPr>
        <w:t xml:space="preserve"> in SIB1</w:t>
      </w:r>
      <w:r w:rsidRPr="00806360">
        <w:rPr>
          <w:rFonts w:asciiTheme="minorHAnsi" w:eastAsia="MS Mincho" w:hAnsiTheme="minorHAnsi" w:cstheme="minorHAnsi"/>
        </w:rPr>
        <w:t xml:space="preserve"> is sufficient to control access to the IoT-NTN TDD cell.</w:t>
      </w:r>
    </w:p>
    <w:p w14:paraId="6179657E" w14:textId="77777777" w:rsidR="00B852EC" w:rsidRPr="00852FF1" w:rsidRDefault="00B852EC" w:rsidP="00B852EC">
      <w:pPr>
        <w:pStyle w:val="paragraph"/>
        <w:spacing w:before="0" w:beforeAutospacing="0" w:after="0" w:afterAutospacing="0"/>
        <w:textAlignment w:val="baseline"/>
        <w:rPr>
          <w:rFonts w:asciiTheme="minorHAnsi" w:eastAsia="MS Mincho" w:hAnsiTheme="minorHAnsi" w:cstheme="minorHAnsi"/>
        </w:rPr>
      </w:pPr>
    </w:p>
    <w:p w14:paraId="09378019" w14:textId="77777777" w:rsidR="00B852EC" w:rsidRDefault="00B852EC" w:rsidP="00B852EC">
      <w:pPr>
        <w:pStyle w:val="paragraph"/>
        <w:spacing w:before="0" w:beforeAutospacing="0" w:after="0" w:afterAutospacing="0"/>
        <w:textAlignment w:val="baseline"/>
        <w:rPr>
          <w:rStyle w:val="eop"/>
          <w:rFonts w:ascii="Calibri" w:hAnsi="Calibri" w:cs="Calibri"/>
        </w:rPr>
      </w:pPr>
      <w:r>
        <w:rPr>
          <w:rStyle w:val="normaltextrun"/>
          <w:rFonts w:ascii="Calibri" w:hAnsi="Calibri" w:cs="Calibri"/>
          <w:b/>
          <w:bCs/>
        </w:rPr>
        <w:t xml:space="preserve">Proposal 14: </w:t>
      </w:r>
      <w:r>
        <w:rPr>
          <w:rStyle w:val="normaltextrun"/>
          <w:rFonts w:ascii="Calibri" w:hAnsi="Calibri" w:cs="Calibri"/>
        </w:rPr>
        <w:t xml:space="preserve">Increase </w:t>
      </w:r>
      <m:oMath>
        <m:r>
          <w:rPr>
            <w:rStyle w:val="normaltextrun"/>
            <w:rFonts w:ascii="Cambria Math" w:hAnsi="Cambria Math" w:cs="Calibri"/>
          </w:rPr>
          <m:t>Kmac</m:t>
        </m:r>
      </m:oMath>
      <w:r>
        <w:rPr>
          <w:rStyle w:val="normaltextrun"/>
          <w:rFonts w:ascii="Calibri" w:hAnsi="Calibri" w:cs="Calibri"/>
        </w:rPr>
        <w:t xml:space="preserve">, effectively either by increasing defined value from 9 to 10 bits, or by defining another optional parameter </w:t>
      </w:r>
      <m:oMath>
        <m:r>
          <w:rPr>
            <w:rStyle w:val="normaltextrun"/>
            <w:rFonts w:ascii="Cambria Math" w:hAnsi="Cambria Math" w:cs="Calibri"/>
          </w:rPr>
          <m:t>Kmac_extension</m:t>
        </m:r>
      </m:oMath>
      <w:r>
        <w:rPr>
          <w:rStyle w:val="normaltextrun"/>
          <w:rFonts w:ascii="Calibri" w:hAnsi="Calibri" w:cs="Calibri"/>
        </w:rPr>
        <w:t>, and the two together would allow for larger delay.</w:t>
      </w:r>
      <w:r>
        <w:rPr>
          <w:rStyle w:val="eop"/>
          <w:rFonts w:ascii="Calibri" w:hAnsi="Calibri" w:cs="Calibri"/>
        </w:rPr>
        <w:t> </w:t>
      </w:r>
    </w:p>
    <w:p w14:paraId="3139F315" w14:textId="77777777" w:rsidR="00B852EC" w:rsidRDefault="00B852EC" w:rsidP="00B852EC">
      <w:pPr>
        <w:pStyle w:val="paragraph"/>
        <w:spacing w:before="0" w:beforeAutospacing="0" w:after="0" w:afterAutospacing="0"/>
        <w:textAlignment w:val="baseline"/>
        <w:rPr>
          <w:rStyle w:val="eop"/>
          <w:rFonts w:ascii="Calibri" w:hAnsi="Calibri" w:cs="Calibri"/>
        </w:rPr>
      </w:pPr>
    </w:p>
    <w:p w14:paraId="172F48B8" w14:textId="77777777" w:rsidR="00B852EC" w:rsidRPr="00852FF1" w:rsidRDefault="00B852EC" w:rsidP="00B852EC">
      <w:pPr>
        <w:pStyle w:val="paragraph"/>
        <w:spacing w:before="0" w:beforeAutospacing="0" w:after="0" w:afterAutospacing="0"/>
        <w:textAlignment w:val="baseline"/>
        <w:rPr>
          <w:rStyle w:val="normaltextrun"/>
          <w:rFonts w:ascii="Segoe UI" w:hAnsi="Segoe UI" w:cs="Segoe UI"/>
          <w:sz w:val="18"/>
          <w:szCs w:val="18"/>
        </w:rPr>
      </w:pPr>
      <w:r>
        <w:rPr>
          <w:rStyle w:val="normaltextrun"/>
          <w:rFonts w:ascii="Calibri" w:hAnsi="Calibri" w:cs="Calibri"/>
          <w:b/>
          <w:bCs/>
        </w:rPr>
        <w:t xml:space="preserve">Proposal 15: </w:t>
      </w:r>
      <w:r>
        <w:rPr>
          <w:rFonts w:ascii="Calibri" w:hAnsi="Calibri" w:cs="Calibri"/>
        </w:rPr>
        <w:t xml:space="preserve">Increasing the </w:t>
      </w:r>
      <m:oMath>
        <m:r>
          <w:rPr>
            <w:rStyle w:val="normaltextrun"/>
            <w:rFonts w:ascii="Cambria Math" w:hAnsi="Cambria Math" w:cs="Calibri"/>
          </w:rPr>
          <m:t>Kmac</m:t>
        </m:r>
      </m:oMath>
      <w:r>
        <w:rPr>
          <w:rStyle w:val="normaltextrun"/>
          <w:rFonts w:ascii="Calibri" w:hAnsi="Calibri" w:cs="Calibri"/>
        </w:rPr>
        <w:t xml:space="preserve"> value from 512 to 1024ms should not have an impact on any other NB-IoT procedures.</w:t>
      </w:r>
    </w:p>
    <w:p w14:paraId="0C057764" w14:textId="77777777" w:rsidR="00B852EC" w:rsidRDefault="00B852EC" w:rsidP="00B852EC">
      <w:pPr>
        <w:pStyle w:val="Heading1"/>
        <w:pageBreakBefore w:val="0"/>
        <w:ind w:left="431" w:hanging="431"/>
      </w:pPr>
      <w:r>
        <w:rPr>
          <w:b w:val="0"/>
          <w:bCs w:val="0"/>
        </w:rPr>
        <w:t>References</w:t>
      </w:r>
    </w:p>
    <w:p w14:paraId="48C1E1D0" w14:textId="77777777" w:rsidR="00B852EC" w:rsidRDefault="00B852EC" w:rsidP="00B852EC">
      <w:pPr>
        <w:pStyle w:val="Reference"/>
        <w:keepLines w:val="0"/>
        <w:overflowPunct w:val="0"/>
        <w:autoSpaceDE w:val="0"/>
        <w:autoSpaceDN w:val="0"/>
        <w:adjustRightInd w:val="0"/>
        <w:spacing w:after="120" w:line="240" w:lineRule="auto"/>
        <w:jc w:val="both"/>
        <w:textAlignment w:val="baseline"/>
      </w:pPr>
      <w:bookmarkStart w:id="21" w:name="_Ref174151459"/>
      <w:bookmarkStart w:id="22" w:name="_Ref189809556"/>
      <w:r w:rsidRPr="00264B7E">
        <w:t>R</w:t>
      </w:r>
      <w:r>
        <w:t>P-243293</w:t>
      </w:r>
      <w:r w:rsidRPr="00264B7E">
        <w:t xml:space="preserve">, </w:t>
      </w:r>
      <w:r w:rsidRPr="002A79E7">
        <w:t>Revised WID on introduction of IoT-NTN TDD mode</w:t>
      </w:r>
      <w:r w:rsidRPr="00264B7E">
        <w:t xml:space="preserve">, </w:t>
      </w:r>
      <w:r>
        <w:t>RAN#106, 2024-12</w:t>
      </w:r>
      <w:r w:rsidRPr="00264B7E">
        <w:t xml:space="preserve">, </w:t>
      </w:r>
      <w:r>
        <w:t>Madrid, ES</w:t>
      </w:r>
      <w:r w:rsidRPr="00264B7E">
        <w:t>.</w:t>
      </w:r>
      <w:bookmarkEnd w:id="21"/>
      <w:bookmarkEnd w:id="22"/>
    </w:p>
    <w:p w14:paraId="5100C207" w14:textId="77777777" w:rsidR="00B852EC" w:rsidRDefault="00B852EC" w:rsidP="00B852EC">
      <w:pPr>
        <w:pStyle w:val="Reference"/>
        <w:keepLines w:val="0"/>
        <w:overflowPunct w:val="0"/>
        <w:autoSpaceDE w:val="0"/>
        <w:autoSpaceDN w:val="0"/>
        <w:adjustRightInd w:val="0"/>
        <w:spacing w:after="120" w:line="240" w:lineRule="auto"/>
        <w:jc w:val="both"/>
        <w:textAlignment w:val="baseline"/>
      </w:pPr>
      <w:r>
        <w:t xml:space="preserve">RP-242652, </w:t>
      </w:r>
      <w:r w:rsidRPr="00C75BA9">
        <w:t>Status Report - WID on introduction of IoT-NTN TDD mode</w:t>
      </w:r>
      <w:r>
        <w:t>, Iridium, RAN#106, 2024-12, Madrid, ES.</w:t>
      </w:r>
    </w:p>
    <w:p w14:paraId="25205BBD" w14:textId="77777777" w:rsidR="00B852EC" w:rsidRPr="00FC25B7" w:rsidRDefault="00B852EC" w:rsidP="00B852EC">
      <w:pPr>
        <w:pStyle w:val="Reference"/>
        <w:keepLines w:val="0"/>
        <w:overflowPunct w:val="0"/>
        <w:autoSpaceDE w:val="0"/>
        <w:autoSpaceDN w:val="0"/>
        <w:adjustRightInd w:val="0"/>
        <w:spacing w:after="120" w:line="240" w:lineRule="auto"/>
        <w:jc w:val="both"/>
        <w:textAlignment w:val="baseline"/>
        <w:rPr>
          <w:rStyle w:val="eop"/>
        </w:rPr>
      </w:pPr>
      <w:r>
        <w:rPr>
          <w:rStyle w:val="normaltextrun"/>
          <w:rFonts w:ascii="Calibri" w:hAnsi="Calibri" w:cs="Calibri"/>
          <w:color w:val="000000"/>
          <w:shd w:val="clear" w:color="auto" w:fill="FFFFFF"/>
        </w:rPr>
        <w:t>RP-242415, “New WID on introduction of IoT-NTN TDD mode”, RAN #105, Melbourne, Australia, 2024-09</w:t>
      </w:r>
    </w:p>
    <w:p w14:paraId="656C294A" w14:textId="77777777" w:rsidR="00B852EC" w:rsidRPr="00277A4C" w:rsidRDefault="00B852EC" w:rsidP="00B852EC">
      <w:pPr>
        <w:pStyle w:val="Reference"/>
      </w:pPr>
      <w:r>
        <w:t>RP-2501614, “Feature lead summary #3 on IoT-NTN TDD mode”, 3GPP TSG RAN WG1 Meeting #120, Athens, Greece, February 17-21, 2025.</w:t>
      </w:r>
    </w:p>
    <w:p w14:paraId="0178EE9A" w14:textId="77777777" w:rsidR="00B852EC" w:rsidRPr="00E744E4" w:rsidRDefault="00B852EC" w:rsidP="00B852EC">
      <w:pPr>
        <w:pStyle w:val="Reference"/>
      </w:pPr>
      <w:r>
        <w:t>R2-2501333 “</w:t>
      </w:r>
      <w:r w:rsidRPr="00277A4C">
        <w:t>Report from Break-out session on NR-NTN and IoT-NTN</w:t>
      </w:r>
      <w:r>
        <w:t>”, 3GPP TSG RAN WG2 Meeting #129, Athens, Greece, February 17-21, 2025.</w:t>
      </w:r>
    </w:p>
    <w:p w14:paraId="176640F2" w14:textId="77777777" w:rsidR="00B852EC" w:rsidRPr="0042086C" w:rsidRDefault="00B852EC" w:rsidP="00B852EC"/>
    <w:p w14:paraId="6B793678" w14:textId="30244335" w:rsidR="008B4565" w:rsidRPr="00B852EC" w:rsidRDefault="008B4565" w:rsidP="00B852EC"/>
    <w:sectPr w:rsidR="008B4565" w:rsidRPr="00B852EC">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85335" w14:textId="77777777" w:rsidR="002D27C7" w:rsidRDefault="002D27C7">
      <w:r>
        <w:separator/>
      </w:r>
    </w:p>
  </w:endnote>
  <w:endnote w:type="continuationSeparator" w:id="0">
    <w:p w14:paraId="57C0CC84" w14:textId="77777777" w:rsidR="002D27C7" w:rsidRDefault="002D27C7">
      <w:r>
        <w:continuationSeparator/>
      </w:r>
    </w:p>
  </w:endnote>
  <w:endnote w:type="continuationNotice" w:id="1">
    <w:p w14:paraId="4268BE12" w14:textId="77777777" w:rsidR="002D27C7" w:rsidRDefault="002D27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Roboto">
    <w:panose1 w:val="02000000000000000000"/>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491538"/>
      <w:docPartObj>
        <w:docPartGallery w:val="Page Numbers (Bottom of Page)"/>
        <w:docPartUnique/>
      </w:docPartObj>
    </w:sdtPr>
    <w:sdtContent>
      <w:p w14:paraId="12102655" w14:textId="76D945B9" w:rsidR="000B3B71" w:rsidRDefault="000B3B71">
        <w:pPr>
          <w:pStyle w:val="Footer"/>
          <w:jc w:val="right"/>
        </w:pPr>
        <w:r>
          <w:fldChar w:fldCharType="begin"/>
        </w:r>
        <w:r>
          <w:instrText>PAGE   \* MERGEFORMAT</w:instrText>
        </w:r>
        <w:r>
          <w:fldChar w:fldCharType="separate"/>
        </w:r>
        <w:r w:rsidR="007C2AE3" w:rsidRPr="007C2AE3">
          <w:rPr>
            <w:lang w:val="fr-FR"/>
          </w:rPr>
          <w:t>4</w:t>
        </w:r>
        <w:r>
          <w:fldChar w:fldCharType="end"/>
        </w:r>
      </w:p>
    </w:sdtContent>
  </w:sdt>
  <w:p w14:paraId="5B6F2C0F" w14:textId="77777777" w:rsidR="000B3B71" w:rsidRDefault="000B3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DC007" w14:textId="77777777" w:rsidR="002D27C7" w:rsidRDefault="002D27C7">
      <w:r>
        <w:separator/>
      </w:r>
    </w:p>
  </w:footnote>
  <w:footnote w:type="continuationSeparator" w:id="0">
    <w:p w14:paraId="2BF9E1E6" w14:textId="77777777" w:rsidR="002D27C7" w:rsidRDefault="002D27C7">
      <w:r>
        <w:continuationSeparator/>
      </w:r>
    </w:p>
  </w:footnote>
  <w:footnote w:type="continuationNotice" w:id="1">
    <w:p w14:paraId="5F81EE50" w14:textId="77777777" w:rsidR="002D27C7" w:rsidRDefault="002D27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6002FC"/>
    <w:multiLevelType w:val="multilevel"/>
    <w:tmpl w:val="7B30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F501257"/>
    <w:multiLevelType w:val="multilevel"/>
    <w:tmpl w:val="8A1243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33137"/>
    <w:multiLevelType w:val="multilevel"/>
    <w:tmpl w:val="8240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2E1458"/>
    <w:multiLevelType w:val="hybridMultilevel"/>
    <w:tmpl w:val="1BB2C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56D7B44"/>
    <w:multiLevelType w:val="hybridMultilevel"/>
    <w:tmpl w:val="6BAE8466"/>
    <w:lvl w:ilvl="0" w:tplc="BA18E3C8">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84C49FF"/>
    <w:multiLevelType w:val="multilevel"/>
    <w:tmpl w:val="F2B0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856436">
    <w:abstractNumId w:val="11"/>
  </w:num>
  <w:num w:numId="2" w16cid:durableId="1851024066">
    <w:abstractNumId w:val="20"/>
  </w:num>
  <w:num w:numId="3" w16cid:durableId="998726810">
    <w:abstractNumId w:val="12"/>
  </w:num>
  <w:num w:numId="4" w16cid:durableId="617030765">
    <w:abstractNumId w:val="9"/>
  </w:num>
  <w:num w:numId="5" w16cid:durableId="1017198812">
    <w:abstractNumId w:val="2"/>
  </w:num>
  <w:num w:numId="6" w16cid:durableId="1285573843">
    <w:abstractNumId w:val="19"/>
  </w:num>
  <w:num w:numId="7" w16cid:durableId="682515544">
    <w:abstractNumId w:val="21"/>
  </w:num>
  <w:num w:numId="8" w16cid:durableId="456487520">
    <w:abstractNumId w:val="6"/>
  </w:num>
  <w:num w:numId="9" w16cid:durableId="1518738204">
    <w:abstractNumId w:val="14"/>
  </w:num>
  <w:num w:numId="10" w16cid:durableId="2052338492">
    <w:abstractNumId w:val="0"/>
  </w:num>
  <w:num w:numId="11" w16cid:durableId="20789557">
    <w:abstractNumId w:val="17"/>
  </w:num>
  <w:num w:numId="12" w16cid:durableId="1184057115">
    <w:abstractNumId w:val="4"/>
  </w:num>
  <w:num w:numId="13" w16cid:durableId="488788241">
    <w:abstractNumId w:val="14"/>
  </w:num>
  <w:num w:numId="14" w16cid:durableId="1036393744">
    <w:abstractNumId w:val="17"/>
  </w:num>
  <w:num w:numId="15" w16cid:durableId="993069727">
    <w:abstractNumId w:val="0"/>
  </w:num>
  <w:num w:numId="16" w16cid:durableId="5050500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0456486">
    <w:abstractNumId w:val="15"/>
  </w:num>
  <w:num w:numId="18" w16cid:durableId="530073290">
    <w:abstractNumId w:val="14"/>
  </w:num>
  <w:num w:numId="19" w16cid:durableId="1318076745">
    <w:abstractNumId w:val="7"/>
  </w:num>
  <w:num w:numId="20" w16cid:durableId="906765820">
    <w:abstractNumId w:val="13"/>
  </w:num>
  <w:num w:numId="21" w16cid:durableId="350104256">
    <w:abstractNumId w:val="18"/>
  </w:num>
  <w:num w:numId="22" w16cid:durableId="486018973">
    <w:abstractNumId w:val="3"/>
  </w:num>
  <w:num w:numId="23" w16cid:durableId="1142313130">
    <w:abstractNumId w:val="10"/>
  </w:num>
  <w:num w:numId="24" w16cid:durableId="953756963">
    <w:abstractNumId w:val="5"/>
  </w:num>
  <w:num w:numId="25" w16cid:durableId="570818712">
    <w:abstractNumId w:val="16"/>
  </w:num>
  <w:num w:numId="26" w16cid:durableId="1703628299">
    <w:abstractNumId w:val="1"/>
  </w:num>
  <w:num w:numId="27" w16cid:durableId="2118022609">
    <w:abstractNumId w:val="8"/>
  </w:num>
  <w:num w:numId="28" w16cid:durableId="640623293">
    <w:abstractNumId w:val="16"/>
  </w:num>
  <w:num w:numId="29" w16cid:durableId="93070425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0"/>
  <w:removeDateAndTime/>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54"/>
    <w:rsid w:val="000003E8"/>
    <w:rsid w:val="000007F7"/>
    <w:rsid w:val="00001350"/>
    <w:rsid w:val="00001467"/>
    <w:rsid w:val="000015AF"/>
    <w:rsid w:val="00001B14"/>
    <w:rsid w:val="00001C0A"/>
    <w:rsid w:val="00001C2E"/>
    <w:rsid w:val="0000200C"/>
    <w:rsid w:val="00002237"/>
    <w:rsid w:val="000024B9"/>
    <w:rsid w:val="0000290C"/>
    <w:rsid w:val="000038E6"/>
    <w:rsid w:val="00004620"/>
    <w:rsid w:val="00004B05"/>
    <w:rsid w:val="000052CF"/>
    <w:rsid w:val="00005C93"/>
    <w:rsid w:val="00006521"/>
    <w:rsid w:val="00006B66"/>
    <w:rsid w:val="00006E30"/>
    <w:rsid w:val="00006E5C"/>
    <w:rsid w:val="00007038"/>
    <w:rsid w:val="00007474"/>
    <w:rsid w:val="000074DE"/>
    <w:rsid w:val="0000764C"/>
    <w:rsid w:val="0000794E"/>
    <w:rsid w:val="00007E47"/>
    <w:rsid w:val="00007EBE"/>
    <w:rsid w:val="00010CD2"/>
    <w:rsid w:val="00010E95"/>
    <w:rsid w:val="00010EE1"/>
    <w:rsid w:val="000113B8"/>
    <w:rsid w:val="000118AB"/>
    <w:rsid w:val="000118B9"/>
    <w:rsid w:val="00011D01"/>
    <w:rsid w:val="00012002"/>
    <w:rsid w:val="000129C9"/>
    <w:rsid w:val="00014383"/>
    <w:rsid w:val="000144CE"/>
    <w:rsid w:val="00014830"/>
    <w:rsid w:val="00014EC3"/>
    <w:rsid w:val="00015254"/>
    <w:rsid w:val="000158AF"/>
    <w:rsid w:val="00015BDA"/>
    <w:rsid w:val="00015D68"/>
    <w:rsid w:val="00016128"/>
    <w:rsid w:val="00016774"/>
    <w:rsid w:val="000167BF"/>
    <w:rsid w:val="00017065"/>
    <w:rsid w:val="00017700"/>
    <w:rsid w:val="00020A30"/>
    <w:rsid w:val="00020DD1"/>
    <w:rsid w:val="00020F3E"/>
    <w:rsid w:val="00021CF2"/>
    <w:rsid w:val="00022895"/>
    <w:rsid w:val="000228C5"/>
    <w:rsid w:val="000231A3"/>
    <w:rsid w:val="000239E7"/>
    <w:rsid w:val="00023ABA"/>
    <w:rsid w:val="00023BAC"/>
    <w:rsid w:val="00023DD5"/>
    <w:rsid w:val="000242FA"/>
    <w:rsid w:val="000248DE"/>
    <w:rsid w:val="00024935"/>
    <w:rsid w:val="000253AD"/>
    <w:rsid w:val="000253CA"/>
    <w:rsid w:val="00025633"/>
    <w:rsid w:val="000256BF"/>
    <w:rsid w:val="0002603F"/>
    <w:rsid w:val="00026110"/>
    <w:rsid w:val="000263DC"/>
    <w:rsid w:val="0002738F"/>
    <w:rsid w:val="00027610"/>
    <w:rsid w:val="000278B8"/>
    <w:rsid w:val="000308A7"/>
    <w:rsid w:val="000308AE"/>
    <w:rsid w:val="00030A15"/>
    <w:rsid w:val="00030BCE"/>
    <w:rsid w:val="00030DE8"/>
    <w:rsid w:val="000314F8"/>
    <w:rsid w:val="00031A35"/>
    <w:rsid w:val="00031CC6"/>
    <w:rsid w:val="00031E2B"/>
    <w:rsid w:val="00031E5F"/>
    <w:rsid w:val="00032BF2"/>
    <w:rsid w:val="00033129"/>
    <w:rsid w:val="00033C7C"/>
    <w:rsid w:val="00033ED3"/>
    <w:rsid w:val="00034127"/>
    <w:rsid w:val="00034265"/>
    <w:rsid w:val="000343C5"/>
    <w:rsid w:val="00034E3A"/>
    <w:rsid w:val="000351E5"/>
    <w:rsid w:val="0003520D"/>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27DE"/>
    <w:rsid w:val="00042AFA"/>
    <w:rsid w:val="00043584"/>
    <w:rsid w:val="000437C1"/>
    <w:rsid w:val="000437C9"/>
    <w:rsid w:val="00043AFE"/>
    <w:rsid w:val="00043C94"/>
    <w:rsid w:val="0004427C"/>
    <w:rsid w:val="00044500"/>
    <w:rsid w:val="0004483E"/>
    <w:rsid w:val="000449E4"/>
    <w:rsid w:val="00044F7E"/>
    <w:rsid w:val="00045DB5"/>
    <w:rsid w:val="00046085"/>
    <w:rsid w:val="000500FD"/>
    <w:rsid w:val="0005074D"/>
    <w:rsid w:val="00051A4C"/>
    <w:rsid w:val="00051B5A"/>
    <w:rsid w:val="00052468"/>
    <w:rsid w:val="00052ADE"/>
    <w:rsid w:val="00052F3F"/>
    <w:rsid w:val="000534E9"/>
    <w:rsid w:val="00053E29"/>
    <w:rsid w:val="000545EE"/>
    <w:rsid w:val="000546BF"/>
    <w:rsid w:val="000547A0"/>
    <w:rsid w:val="00054F7D"/>
    <w:rsid w:val="00054FC7"/>
    <w:rsid w:val="000553A7"/>
    <w:rsid w:val="00056586"/>
    <w:rsid w:val="00056A59"/>
    <w:rsid w:val="00056CA7"/>
    <w:rsid w:val="00056EB5"/>
    <w:rsid w:val="0005712D"/>
    <w:rsid w:val="000573CF"/>
    <w:rsid w:val="000574C4"/>
    <w:rsid w:val="00057D60"/>
    <w:rsid w:val="00057F12"/>
    <w:rsid w:val="000601C1"/>
    <w:rsid w:val="00060290"/>
    <w:rsid w:val="0006037D"/>
    <w:rsid w:val="000603CB"/>
    <w:rsid w:val="00060444"/>
    <w:rsid w:val="00060D47"/>
    <w:rsid w:val="00060FAC"/>
    <w:rsid w:val="00061154"/>
    <w:rsid w:val="00061185"/>
    <w:rsid w:val="000614F4"/>
    <w:rsid w:val="00061534"/>
    <w:rsid w:val="000618F3"/>
    <w:rsid w:val="00061BF5"/>
    <w:rsid w:val="00061CFB"/>
    <w:rsid w:val="0006218B"/>
    <w:rsid w:val="0006377B"/>
    <w:rsid w:val="00063850"/>
    <w:rsid w:val="00063B63"/>
    <w:rsid w:val="00063D50"/>
    <w:rsid w:val="00064548"/>
    <w:rsid w:val="0006455E"/>
    <w:rsid w:val="0006476E"/>
    <w:rsid w:val="0006492F"/>
    <w:rsid w:val="00064F29"/>
    <w:rsid w:val="0006500B"/>
    <w:rsid w:val="000651E8"/>
    <w:rsid w:val="000654D3"/>
    <w:rsid w:val="0006597E"/>
    <w:rsid w:val="00065AED"/>
    <w:rsid w:val="00065CFC"/>
    <w:rsid w:val="000662C6"/>
    <w:rsid w:val="00067ABB"/>
    <w:rsid w:val="00067CC7"/>
    <w:rsid w:val="00070D52"/>
    <w:rsid w:val="000714F0"/>
    <w:rsid w:val="00071C5B"/>
    <w:rsid w:val="00071FD9"/>
    <w:rsid w:val="000720F4"/>
    <w:rsid w:val="000722DD"/>
    <w:rsid w:val="000722FA"/>
    <w:rsid w:val="0007282C"/>
    <w:rsid w:val="00072930"/>
    <w:rsid w:val="00072B84"/>
    <w:rsid w:val="00072BBA"/>
    <w:rsid w:val="00072C24"/>
    <w:rsid w:val="00074631"/>
    <w:rsid w:val="00074D06"/>
    <w:rsid w:val="00075240"/>
    <w:rsid w:val="00076759"/>
    <w:rsid w:val="000768C2"/>
    <w:rsid w:val="000772A2"/>
    <w:rsid w:val="00077435"/>
    <w:rsid w:val="00077FD4"/>
    <w:rsid w:val="00080202"/>
    <w:rsid w:val="00080295"/>
    <w:rsid w:val="0008057E"/>
    <w:rsid w:val="000815A3"/>
    <w:rsid w:val="00081762"/>
    <w:rsid w:val="000819A6"/>
    <w:rsid w:val="00081D1E"/>
    <w:rsid w:val="00081D2E"/>
    <w:rsid w:val="000820BC"/>
    <w:rsid w:val="000825D7"/>
    <w:rsid w:val="000825E5"/>
    <w:rsid w:val="00082DC5"/>
    <w:rsid w:val="00083880"/>
    <w:rsid w:val="00083B79"/>
    <w:rsid w:val="00084EF6"/>
    <w:rsid w:val="00084F31"/>
    <w:rsid w:val="00085193"/>
    <w:rsid w:val="000851DE"/>
    <w:rsid w:val="00085358"/>
    <w:rsid w:val="000854C5"/>
    <w:rsid w:val="00085561"/>
    <w:rsid w:val="00085A6C"/>
    <w:rsid w:val="00085B8F"/>
    <w:rsid w:val="00086A6E"/>
    <w:rsid w:val="00086A6F"/>
    <w:rsid w:val="00086B41"/>
    <w:rsid w:val="00087FE2"/>
    <w:rsid w:val="00090514"/>
    <w:rsid w:val="000905D9"/>
    <w:rsid w:val="00090A40"/>
    <w:rsid w:val="00090E68"/>
    <w:rsid w:val="00091081"/>
    <w:rsid w:val="000914D5"/>
    <w:rsid w:val="00091CB9"/>
    <w:rsid w:val="00091E72"/>
    <w:rsid w:val="000926C6"/>
    <w:rsid w:val="00092FCA"/>
    <w:rsid w:val="00093A40"/>
    <w:rsid w:val="00093ABB"/>
    <w:rsid w:val="00093DAB"/>
    <w:rsid w:val="00093F3C"/>
    <w:rsid w:val="00094037"/>
    <w:rsid w:val="000942BD"/>
    <w:rsid w:val="000945E7"/>
    <w:rsid w:val="00094B89"/>
    <w:rsid w:val="00095196"/>
    <w:rsid w:val="00095DC1"/>
    <w:rsid w:val="00095E2D"/>
    <w:rsid w:val="0009666A"/>
    <w:rsid w:val="00096A26"/>
    <w:rsid w:val="00096C40"/>
    <w:rsid w:val="000973D1"/>
    <w:rsid w:val="000A0A92"/>
    <w:rsid w:val="000A0B7C"/>
    <w:rsid w:val="000A0C75"/>
    <w:rsid w:val="000A1523"/>
    <w:rsid w:val="000A17F4"/>
    <w:rsid w:val="000A19E5"/>
    <w:rsid w:val="000A1DE4"/>
    <w:rsid w:val="000A2774"/>
    <w:rsid w:val="000A28F2"/>
    <w:rsid w:val="000A3CF3"/>
    <w:rsid w:val="000A3E79"/>
    <w:rsid w:val="000A4C5E"/>
    <w:rsid w:val="000A5563"/>
    <w:rsid w:val="000A5679"/>
    <w:rsid w:val="000A5921"/>
    <w:rsid w:val="000A596D"/>
    <w:rsid w:val="000A6216"/>
    <w:rsid w:val="000A66C7"/>
    <w:rsid w:val="000A6EF1"/>
    <w:rsid w:val="000A703E"/>
    <w:rsid w:val="000A731E"/>
    <w:rsid w:val="000A7385"/>
    <w:rsid w:val="000A75ED"/>
    <w:rsid w:val="000A75EE"/>
    <w:rsid w:val="000A7B44"/>
    <w:rsid w:val="000B0E91"/>
    <w:rsid w:val="000B133D"/>
    <w:rsid w:val="000B1F9F"/>
    <w:rsid w:val="000B2700"/>
    <w:rsid w:val="000B3359"/>
    <w:rsid w:val="000B37A9"/>
    <w:rsid w:val="000B38F6"/>
    <w:rsid w:val="000B3B71"/>
    <w:rsid w:val="000B4A2B"/>
    <w:rsid w:val="000B4C00"/>
    <w:rsid w:val="000B55F7"/>
    <w:rsid w:val="000B5807"/>
    <w:rsid w:val="000B5F78"/>
    <w:rsid w:val="000B6576"/>
    <w:rsid w:val="000B6598"/>
    <w:rsid w:val="000B67AC"/>
    <w:rsid w:val="000C00EF"/>
    <w:rsid w:val="000C0C22"/>
    <w:rsid w:val="000C0F14"/>
    <w:rsid w:val="000C1738"/>
    <w:rsid w:val="000C28FA"/>
    <w:rsid w:val="000C3043"/>
    <w:rsid w:val="000C31A2"/>
    <w:rsid w:val="000C3EB2"/>
    <w:rsid w:val="000C405C"/>
    <w:rsid w:val="000C4680"/>
    <w:rsid w:val="000C4B22"/>
    <w:rsid w:val="000C4EB3"/>
    <w:rsid w:val="000C5687"/>
    <w:rsid w:val="000C66E1"/>
    <w:rsid w:val="000C6A67"/>
    <w:rsid w:val="000C71FE"/>
    <w:rsid w:val="000C7276"/>
    <w:rsid w:val="000C74A3"/>
    <w:rsid w:val="000C7A80"/>
    <w:rsid w:val="000D0527"/>
    <w:rsid w:val="000D07B3"/>
    <w:rsid w:val="000D14F2"/>
    <w:rsid w:val="000D1933"/>
    <w:rsid w:val="000D2164"/>
    <w:rsid w:val="000D236A"/>
    <w:rsid w:val="000D2D19"/>
    <w:rsid w:val="000D3492"/>
    <w:rsid w:val="000D3A61"/>
    <w:rsid w:val="000D3AB5"/>
    <w:rsid w:val="000D406A"/>
    <w:rsid w:val="000D422B"/>
    <w:rsid w:val="000D46AE"/>
    <w:rsid w:val="000D47E8"/>
    <w:rsid w:val="000D4B33"/>
    <w:rsid w:val="000D4DF7"/>
    <w:rsid w:val="000D5125"/>
    <w:rsid w:val="000D53FB"/>
    <w:rsid w:val="000D6498"/>
    <w:rsid w:val="000D6555"/>
    <w:rsid w:val="000D66AD"/>
    <w:rsid w:val="000D7057"/>
    <w:rsid w:val="000D7BAD"/>
    <w:rsid w:val="000E0015"/>
    <w:rsid w:val="000E05B2"/>
    <w:rsid w:val="000E08B3"/>
    <w:rsid w:val="000E0995"/>
    <w:rsid w:val="000E0CB7"/>
    <w:rsid w:val="000E115F"/>
    <w:rsid w:val="000E1533"/>
    <w:rsid w:val="000E1871"/>
    <w:rsid w:val="000E1B7C"/>
    <w:rsid w:val="000E1E3C"/>
    <w:rsid w:val="000E1FB2"/>
    <w:rsid w:val="000E2289"/>
    <w:rsid w:val="000E3488"/>
    <w:rsid w:val="000E4028"/>
    <w:rsid w:val="000E40C6"/>
    <w:rsid w:val="000E4403"/>
    <w:rsid w:val="000E485D"/>
    <w:rsid w:val="000E491C"/>
    <w:rsid w:val="000E4C5E"/>
    <w:rsid w:val="000E4CF2"/>
    <w:rsid w:val="000E6609"/>
    <w:rsid w:val="000E6EDA"/>
    <w:rsid w:val="000E7223"/>
    <w:rsid w:val="000E7462"/>
    <w:rsid w:val="000E7C92"/>
    <w:rsid w:val="000F0451"/>
    <w:rsid w:val="000F04D9"/>
    <w:rsid w:val="000F0526"/>
    <w:rsid w:val="000F0856"/>
    <w:rsid w:val="000F1FD1"/>
    <w:rsid w:val="000F2709"/>
    <w:rsid w:val="000F27C1"/>
    <w:rsid w:val="000F30F0"/>
    <w:rsid w:val="000F33E5"/>
    <w:rsid w:val="000F3703"/>
    <w:rsid w:val="000F3C4E"/>
    <w:rsid w:val="000F3FE3"/>
    <w:rsid w:val="000F46FF"/>
    <w:rsid w:val="000F4937"/>
    <w:rsid w:val="000F5989"/>
    <w:rsid w:val="000F59F2"/>
    <w:rsid w:val="000F5FD2"/>
    <w:rsid w:val="000F67DC"/>
    <w:rsid w:val="000F7E2B"/>
    <w:rsid w:val="000F7FEC"/>
    <w:rsid w:val="00100297"/>
    <w:rsid w:val="001002E7"/>
    <w:rsid w:val="00100A20"/>
    <w:rsid w:val="00100BDB"/>
    <w:rsid w:val="00101EC5"/>
    <w:rsid w:val="00102D92"/>
    <w:rsid w:val="001039C1"/>
    <w:rsid w:val="00103A7A"/>
    <w:rsid w:val="00103BF1"/>
    <w:rsid w:val="00103C83"/>
    <w:rsid w:val="0010428D"/>
    <w:rsid w:val="0010492A"/>
    <w:rsid w:val="00104A5D"/>
    <w:rsid w:val="00104CBF"/>
    <w:rsid w:val="001054BC"/>
    <w:rsid w:val="00105A88"/>
    <w:rsid w:val="00105BF3"/>
    <w:rsid w:val="001065A4"/>
    <w:rsid w:val="00106613"/>
    <w:rsid w:val="001068C0"/>
    <w:rsid w:val="00107334"/>
    <w:rsid w:val="0010764A"/>
    <w:rsid w:val="00110400"/>
    <w:rsid w:val="001105D3"/>
    <w:rsid w:val="00112493"/>
    <w:rsid w:val="001132EC"/>
    <w:rsid w:val="00113916"/>
    <w:rsid w:val="00113AAA"/>
    <w:rsid w:val="00113D98"/>
    <w:rsid w:val="00114181"/>
    <w:rsid w:val="0011473F"/>
    <w:rsid w:val="00114C1F"/>
    <w:rsid w:val="001153FC"/>
    <w:rsid w:val="001157E2"/>
    <w:rsid w:val="001165D7"/>
    <w:rsid w:val="00116997"/>
    <w:rsid w:val="00116A4A"/>
    <w:rsid w:val="00116D6C"/>
    <w:rsid w:val="00116D8E"/>
    <w:rsid w:val="001172D4"/>
    <w:rsid w:val="00117868"/>
    <w:rsid w:val="00117DAD"/>
    <w:rsid w:val="00117E51"/>
    <w:rsid w:val="00120092"/>
    <w:rsid w:val="001209AE"/>
    <w:rsid w:val="00120BC9"/>
    <w:rsid w:val="00121C89"/>
    <w:rsid w:val="00121F57"/>
    <w:rsid w:val="00122993"/>
    <w:rsid w:val="00122E14"/>
    <w:rsid w:val="0012345B"/>
    <w:rsid w:val="0012352F"/>
    <w:rsid w:val="001246A5"/>
    <w:rsid w:val="00124F98"/>
    <w:rsid w:val="00124FDD"/>
    <w:rsid w:val="00125188"/>
    <w:rsid w:val="001252B7"/>
    <w:rsid w:val="001254E0"/>
    <w:rsid w:val="001255E0"/>
    <w:rsid w:val="001262D5"/>
    <w:rsid w:val="001266B4"/>
    <w:rsid w:val="00126B35"/>
    <w:rsid w:val="00126D70"/>
    <w:rsid w:val="0012708E"/>
    <w:rsid w:val="001270D5"/>
    <w:rsid w:val="0012745B"/>
    <w:rsid w:val="00127607"/>
    <w:rsid w:val="00127634"/>
    <w:rsid w:val="001302B0"/>
    <w:rsid w:val="001306C4"/>
    <w:rsid w:val="001307CF"/>
    <w:rsid w:val="0013089C"/>
    <w:rsid w:val="00130B76"/>
    <w:rsid w:val="00131341"/>
    <w:rsid w:val="00131663"/>
    <w:rsid w:val="00132010"/>
    <w:rsid w:val="0013204D"/>
    <w:rsid w:val="00133BF0"/>
    <w:rsid w:val="00133C60"/>
    <w:rsid w:val="0013417C"/>
    <w:rsid w:val="00134460"/>
    <w:rsid w:val="0013454D"/>
    <w:rsid w:val="001345B6"/>
    <w:rsid w:val="0013462E"/>
    <w:rsid w:val="00134907"/>
    <w:rsid w:val="00134B56"/>
    <w:rsid w:val="00134D06"/>
    <w:rsid w:val="00134E3C"/>
    <w:rsid w:val="00135A14"/>
    <w:rsid w:val="00135E57"/>
    <w:rsid w:val="001363BD"/>
    <w:rsid w:val="00136CFB"/>
    <w:rsid w:val="00137A9B"/>
    <w:rsid w:val="0014033A"/>
    <w:rsid w:val="00140662"/>
    <w:rsid w:val="001406DA"/>
    <w:rsid w:val="00140BE5"/>
    <w:rsid w:val="00140F0E"/>
    <w:rsid w:val="00141348"/>
    <w:rsid w:val="00141A6B"/>
    <w:rsid w:val="00141C30"/>
    <w:rsid w:val="00141CE3"/>
    <w:rsid w:val="0014253C"/>
    <w:rsid w:val="00142543"/>
    <w:rsid w:val="0014266F"/>
    <w:rsid w:val="00142978"/>
    <w:rsid w:val="0014377B"/>
    <w:rsid w:val="00143FF6"/>
    <w:rsid w:val="0014453B"/>
    <w:rsid w:val="00144594"/>
    <w:rsid w:val="00144DFF"/>
    <w:rsid w:val="001452DD"/>
    <w:rsid w:val="001453B0"/>
    <w:rsid w:val="00145E5A"/>
    <w:rsid w:val="00146483"/>
    <w:rsid w:val="00146532"/>
    <w:rsid w:val="001465C1"/>
    <w:rsid w:val="0014694E"/>
    <w:rsid w:val="00146D3F"/>
    <w:rsid w:val="0014708F"/>
    <w:rsid w:val="0014763F"/>
    <w:rsid w:val="001476C9"/>
    <w:rsid w:val="00147AFC"/>
    <w:rsid w:val="00147BFA"/>
    <w:rsid w:val="00147F5E"/>
    <w:rsid w:val="001500D6"/>
    <w:rsid w:val="00150494"/>
    <w:rsid w:val="00150558"/>
    <w:rsid w:val="001511EC"/>
    <w:rsid w:val="00151929"/>
    <w:rsid w:val="00151E0C"/>
    <w:rsid w:val="00151FBD"/>
    <w:rsid w:val="00152347"/>
    <w:rsid w:val="00153076"/>
    <w:rsid w:val="00154485"/>
    <w:rsid w:val="00154B79"/>
    <w:rsid w:val="001551F7"/>
    <w:rsid w:val="00155323"/>
    <w:rsid w:val="00155594"/>
    <w:rsid w:val="001566A9"/>
    <w:rsid w:val="00156CF4"/>
    <w:rsid w:val="00157053"/>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3DF5"/>
    <w:rsid w:val="00164D51"/>
    <w:rsid w:val="001659A2"/>
    <w:rsid w:val="001659BA"/>
    <w:rsid w:val="00165C1A"/>
    <w:rsid w:val="00165C50"/>
    <w:rsid w:val="00166258"/>
    <w:rsid w:val="001670EA"/>
    <w:rsid w:val="001675B1"/>
    <w:rsid w:val="00167822"/>
    <w:rsid w:val="00171F1D"/>
    <w:rsid w:val="001721E1"/>
    <w:rsid w:val="00172746"/>
    <w:rsid w:val="00172CCA"/>
    <w:rsid w:val="001732F9"/>
    <w:rsid w:val="0017333B"/>
    <w:rsid w:val="00173969"/>
    <w:rsid w:val="00173A55"/>
    <w:rsid w:val="0017521C"/>
    <w:rsid w:val="00175D31"/>
    <w:rsid w:val="00175D94"/>
    <w:rsid w:val="00175FA6"/>
    <w:rsid w:val="001760A5"/>
    <w:rsid w:val="001760D2"/>
    <w:rsid w:val="0017624E"/>
    <w:rsid w:val="00176F98"/>
    <w:rsid w:val="001770A6"/>
    <w:rsid w:val="00177827"/>
    <w:rsid w:val="00177AB0"/>
    <w:rsid w:val="001807CA"/>
    <w:rsid w:val="00181AB9"/>
    <w:rsid w:val="00181DC8"/>
    <w:rsid w:val="00182495"/>
    <w:rsid w:val="00182583"/>
    <w:rsid w:val="001825F9"/>
    <w:rsid w:val="00182864"/>
    <w:rsid w:val="00182CAC"/>
    <w:rsid w:val="001839DA"/>
    <w:rsid w:val="001839FE"/>
    <w:rsid w:val="001840E5"/>
    <w:rsid w:val="001844AD"/>
    <w:rsid w:val="001849A5"/>
    <w:rsid w:val="00184D1A"/>
    <w:rsid w:val="00185546"/>
    <w:rsid w:val="00185816"/>
    <w:rsid w:val="00185A2C"/>
    <w:rsid w:val="0018635E"/>
    <w:rsid w:val="001866BB"/>
    <w:rsid w:val="00186D2E"/>
    <w:rsid w:val="001875DB"/>
    <w:rsid w:val="00187762"/>
    <w:rsid w:val="00187E09"/>
    <w:rsid w:val="00187F9C"/>
    <w:rsid w:val="001902AF"/>
    <w:rsid w:val="00190561"/>
    <w:rsid w:val="00191523"/>
    <w:rsid w:val="00191F7D"/>
    <w:rsid w:val="001926DA"/>
    <w:rsid w:val="001929BC"/>
    <w:rsid w:val="00192E0F"/>
    <w:rsid w:val="00193071"/>
    <w:rsid w:val="00193492"/>
    <w:rsid w:val="0019356F"/>
    <w:rsid w:val="001937D0"/>
    <w:rsid w:val="00193D67"/>
    <w:rsid w:val="001941E3"/>
    <w:rsid w:val="00194A56"/>
    <w:rsid w:val="00194C89"/>
    <w:rsid w:val="00194CFD"/>
    <w:rsid w:val="001950A7"/>
    <w:rsid w:val="00195800"/>
    <w:rsid w:val="001963A9"/>
    <w:rsid w:val="001964F1"/>
    <w:rsid w:val="0019703F"/>
    <w:rsid w:val="001972F1"/>
    <w:rsid w:val="001973FE"/>
    <w:rsid w:val="00197594"/>
    <w:rsid w:val="00197C8F"/>
    <w:rsid w:val="001A035D"/>
    <w:rsid w:val="001A0A22"/>
    <w:rsid w:val="001A14A7"/>
    <w:rsid w:val="001A1A6B"/>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6B7F"/>
    <w:rsid w:val="001A71C0"/>
    <w:rsid w:val="001A75B7"/>
    <w:rsid w:val="001A7C23"/>
    <w:rsid w:val="001B00D4"/>
    <w:rsid w:val="001B08CE"/>
    <w:rsid w:val="001B09E5"/>
    <w:rsid w:val="001B0A3F"/>
    <w:rsid w:val="001B1068"/>
    <w:rsid w:val="001B107F"/>
    <w:rsid w:val="001B1167"/>
    <w:rsid w:val="001B1880"/>
    <w:rsid w:val="001B1D46"/>
    <w:rsid w:val="001B2145"/>
    <w:rsid w:val="001B23E7"/>
    <w:rsid w:val="001B2964"/>
    <w:rsid w:val="001B2BCF"/>
    <w:rsid w:val="001B2C05"/>
    <w:rsid w:val="001B3303"/>
    <w:rsid w:val="001B349F"/>
    <w:rsid w:val="001B520A"/>
    <w:rsid w:val="001B580F"/>
    <w:rsid w:val="001B5810"/>
    <w:rsid w:val="001B59AA"/>
    <w:rsid w:val="001B5B45"/>
    <w:rsid w:val="001B6114"/>
    <w:rsid w:val="001B63E7"/>
    <w:rsid w:val="001B64BC"/>
    <w:rsid w:val="001B694D"/>
    <w:rsid w:val="001B6B07"/>
    <w:rsid w:val="001B7162"/>
    <w:rsid w:val="001B7AEE"/>
    <w:rsid w:val="001B7FA3"/>
    <w:rsid w:val="001C02B8"/>
    <w:rsid w:val="001C054C"/>
    <w:rsid w:val="001C09E6"/>
    <w:rsid w:val="001C0E00"/>
    <w:rsid w:val="001C0FAD"/>
    <w:rsid w:val="001C16B4"/>
    <w:rsid w:val="001C16F6"/>
    <w:rsid w:val="001C18E9"/>
    <w:rsid w:val="001C1A22"/>
    <w:rsid w:val="001C20A5"/>
    <w:rsid w:val="001C21F4"/>
    <w:rsid w:val="001C26FA"/>
    <w:rsid w:val="001C35E4"/>
    <w:rsid w:val="001C3910"/>
    <w:rsid w:val="001C40BB"/>
    <w:rsid w:val="001C4E00"/>
    <w:rsid w:val="001C5115"/>
    <w:rsid w:val="001C584B"/>
    <w:rsid w:val="001C6A3B"/>
    <w:rsid w:val="001C6AEA"/>
    <w:rsid w:val="001C7249"/>
    <w:rsid w:val="001C73E0"/>
    <w:rsid w:val="001C7794"/>
    <w:rsid w:val="001C7D0E"/>
    <w:rsid w:val="001D06CF"/>
    <w:rsid w:val="001D082D"/>
    <w:rsid w:val="001D1302"/>
    <w:rsid w:val="001D1484"/>
    <w:rsid w:val="001D255E"/>
    <w:rsid w:val="001D287A"/>
    <w:rsid w:val="001D2D62"/>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694F"/>
    <w:rsid w:val="001D6D15"/>
    <w:rsid w:val="001D756D"/>
    <w:rsid w:val="001D7E90"/>
    <w:rsid w:val="001E0234"/>
    <w:rsid w:val="001E05E5"/>
    <w:rsid w:val="001E07BE"/>
    <w:rsid w:val="001E1852"/>
    <w:rsid w:val="001E196E"/>
    <w:rsid w:val="001E2126"/>
    <w:rsid w:val="001E2A3A"/>
    <w:rsid w:val="001E2C53"/>
    <w:rsid w:val="001E2D73"/>
    <w:rsid w:val="001E30CE"/>
    <w:rsid w:val="001E322F"/>
    <w:rsid w:val="001E38B7"/>
    <w:rsid w:val="001E3AE0"/>
    <w:rsid w:val="001E47C6"/>
    <w:rsid w:val="001E4C89"/>
    <w:rsid w:val="001E5AE2"/>
    <w:rsid w:val="001E5BD5"/>
    <w:rsid w:val="001E5C11"/>
    <w:rsid w:val="001E6020"/>
    <w:rsid w:val="001E6C1F"/>
    <w:rsid w:val="001F04EB"/>
    <w:rsid w:val="001F0541"/>
    <w:rsid w:val="001F06F5"/>
    <w:rsid w:val="001F089A"/>
    <w:rsid w:val="001F0CB7"/>
    <w:rsid w:val="001F1952"/>
    <w:rsid w:val="001F19D2"/>
    <w:rsid w:val="001F1A23"/>
    <w:rsid w:val="001F1E8B"/>
    <w:rsid w:val="001F3613"/>
    <w:rsid w:val="001F38CF"/>
    <w:rsid w:val="001F3B85"/>
    <w:rsid w:val="001F416F"/>
    <w:rsid w:val="001F43BD"/>
    <w:rsid w:val="001F473E"/>
    <w:rsid w:val="001F48BC"/>
    <w:rsid w:val="001F4B4A"/>
    <w:rsid w:val="001F5080"/>
    <w:rsid w:val="001F57E3"/>
    <w:rsid w:val="001F6769"/>
    <w:rsid w:val="001F78D8"/>
    <w:rsid w:val="001F7B7B"/>
    <w:rsid w:val="00200402"/>
    <w:rsid w:val="00200D51"/>
    <w:rsid w:val="00201AED"/>
    <w:rsid w:val="00201CB8"/>
    <w:rsid w:val="002026D6"/>
    <w:rsid w:val="00202719"/>
    <w:rsid w:val="00203017"/>
    <w:rsid w:val="002042F6"/>
    <w:rsid w:val="00204661"/>
    <w:rsid w:val="00204A73"/>
    <w:rsid w:val="00204C98"/>
    <w:rsid w:val="00204DB6"/>
    <w:rsid w:val="002053E5"/>
    <w:rsid w:val="002059A0"/>
    <w:rsid w:val="00205C7B"/>
    <w:rsid w:val="00205D25"/>
    <w:rsid w:val="00205EF8"/>
    <w:rsid w:val="002064F0"/>
    <w:rsid w:val="00207162"/>
    <w:rsid w:val="00207193"/>
    <w:rsid w:val="002078C8"/>
    <w:rsid w:val="00210623"/>
    <w:rsid w:val="0021093A"/>
    <w:rsid w:val="00210948"/>
    <w:rsid w:val="002109E3"/>
    <w:rsid w:val="00210CEE"/>
    <w:rsid w:val="00211168"/>
    <w:rsid w:val="0021119D"/>
    <w:rsid w:val="0021123D"/>
    <w:rsid w:val="002119FA"/>
    <w:rsid w:val="00211AB8"/>
    <w:rsid w:val="00212377"/>
    <w:rsid w:val="002126AF"/>
    <w:rsid w:val="00212F84"/>
    <w:rsid w:val="002149D7"/>
    <w:rsid w:val="00214E77"/>
    <w:rsid w:val="00215334"/>
    <w:rsid w:val="002153DF"/>
    <w:rsid w:val="00215E4C"/>
    <w:rsid w:val="00217128"/>
    <w:rsid w:val="00217281"/>
    <w:rsid w:val="0021789D"/>
    <w:rsid w:val="00217C21"/>
    <w:rsid w:val="00217D68"/>
    <w:rsid w:val="00217E02"/>
    <w:rsid w:val="00220A60"/>
    <w:rsid w:val="00220B3D"/>
    <w:rsid w:val="00220E75"/>
    <w:rsid w:val="00221141"/>
    <w:rsid w:val="00221BA3"/>
    <w:rsid w:val="00222023"/>
    <w:rsid w:val="0022246F"/>
    <w:rsid w:val="00222DD9"/>
    <w:rsid w:val="00223076"/>
    <w:rsid w:val="002231DA"/>
    <w:rsid w:val="00223535"/>
    <w:rsid w:val="00223776"/>
    <w:rsid w:val="00223A85"/>
    <w:rsid w:val="00223C42"/>
    <w:rsid w:val="00223DB2"/>
    <w:rsid w:val="0022430F"/>
    <w:rsid w:val="0022467B"/>
    <w:rsid w:val="00224987"/>
    <w:rsid w:val="002249EB"/>
    <w:rsid w:val="00224A2C"/>
    <w:rsid w:val="00226014"/>
    <w:rsid w:val="0022648A"/>
    <w:rsid w:val="00226A29"/>
    <w:rsid w:val="00226E22"/>
    <w:rsid w:val="00230020"/>
    <w:rsid w:val="00230053"/>
    <w:rsid w:val="0023065B"/>
    <w:rsid w:val="00230AC9"/>
    <w:rsid w:val="002317F5"/>
    <w:rsid w:val="00232501"/>
    <w:rsid w:val="00232910"/>
    <w:rsid w:val="00232C46"/>
    <w:rsid w:val="0023301D"/>
    <w:rsid w:val="00233678"/>
    <w:rsid w:val="00233A6B"/>
    <w:rsid w:val="00233BAF"/>
    <w:rsid w:val="00234779"/>
    <w:rsid w:val="00234C57"/>
    <w:rsid w:val="00234F8A"/>
    <w:rsid w:val="00235819"/>
    <w:rsid w:val="0023590D"/>
    <w:rsid w:val="002361C0"/>
    <w:rsid w:val="0023636E"/>
    <w:rsid w:val="00236BF4"/>
    <w:rsid w:val="00236ED1"/>
    <w:rsid w:val="00236FA1"/>
    <w:rsid w:val="00237053"/>
    <w:rsid w:val="00237CFD"/>
    <w:rsid w:val="00237D1B"/>
    <w:rsid w:val="00237EDD"/>
    <w:rsid w:val="00240467"/>
    <w:rsid w:val="0024049A"/>
    <w:rsid w:val="00240FCE"/>
    <w:rsid w:val="00241140"/>
    <w:rsid w:val="00241C1E"/>
    <w:rsid w:val="00242535"/>
    <w:rsid w:val="00242B6D"/>
    <w:rsid w:val="002430C3"/>
    <w:rsid w:val="00244860"/>
    <w:rsid w:val="00244ECC"/>
    <w:rsid w:val="0024535F"/>
    <w:rsid w:val="00246274"/>
    <w:rsid w:val="002462C1"/>
    <w:rsid w:val="002464A4"/>
    <w:rsid w:val="00247360"/>
    <w:rsid w:val="00247959"/>
    <w:rsid w:val="002506E7"/>
    <w:rsid w:val="002508D1"/>
    <w:rsid w:val="00250A0C"/>
    <w:rsid w:val="00250F12"/>
    <w:rsid w:val="0025143C"/>
    <w:rsid w:val="00251643"/>
    <w:rsid w:val="00251773"/>
    <w:rsid w:val="00251C3A"/>
    <w:rsid w:val="002521ED"/>
    <w:rsid w:val="002524AE"/>
    <w:rsid w:val="00252537"/>
    <w:rsid w:val="00252775"/>
    <w:rsid w:val="00252D7D"/>
    <w:rsid w:val="002530B2"/>
    <w:rsid w:val="0025387B"/>
    <w:rsid w:val="00253A33"/>
    <w:rsid w:val="00253D67"/>
    <w:rsid w:val="00253FF9"/>
    <w:rsid w:val="002548FE"/>
    <w:rsid w:val="00254A43"/>
    <w:rsid w:val="00254EA7"/>
    <w:rsid w:val="0025518F"/>
    <w:rsid w:val="00255E54"/>
    <w:rsid w:val="002570D7"/>
    <w:rsid w:val="0025724F"/>
    <w:rsid w:val="00257C0B"/>
    <w:rsid w:val="002600C0"/>
    <w:rsid w:val="002611A6"/>
    <w:rsid w:val="002616B5"/>
    <w:rsid w:val="002619EE"/>
    <w:rsid w:val="002623B9"/>
    <w:rsid w:val="00262E7D"/>
    <w:rsid w:val="002630C2"/>
    <w:rsid w:val="00263452"/>
    <w:rsid w:val="002636F9"/>
    <w:rsid w:val="00263799"/>
    <w:rsid w:val="002641E4"/>
    <w:rsid w:val="002643AC"/>
    <w:rsid w:val="0026574C"/>
    <w:rsid w:val="00265947"/>
    <w:rsid w:val="0026687A"/>
    <w:rsid w:val="00266D4D"/>
    <w:rsid w:val="00267D15"/>
    <w:rsid w:val="00267E6A"/>
    <w:rsid w:val="002700D8"/>
    <w:rsid w:val="002715E8"/>
    <w:rsid w:val="00272A47"/>
    <w:rsid w:val="00272AE9"/>
    <w:rsid w:val="00272B96"/>
    <w:rsid w:val="00273314"/>
    <w:rsid w:val="00273543"/>
    <w:rsid w:val="002735DB"/>
    <w:rsid w:val="00273751"/>
    <w:rsid w:val="00273B16"/>
    <w:rsid w:val="0027419C"/>
    <w:rsid w:val="00274794"/>
    <w:rsid w:val="00274ADF"/>
    <w:rsid w:val="00274D1B"/>
    <w:rsid w:val="00275599"/>
    <w:rsid w:val="00275D39"/>
    <w:rsid w:val="00275EA3"/>
    <w:rsid w:val="002761DB"/>
    <w:rsid w:val="002762CF"/>
    <w:rsid w:val="0027630E"/>
    <w:rsid w:val="0027637E"/>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E1"/>
    <w:rsid w:val="002852F5"/>
    <w:rsid w:val="00285640"/>
    <w:rsid w:val="00285C2B"/>
    <w:rsid w:val="002860F1"/>
    <w:rsid w:val="00286150"/>
    <w:rsid w:val="002871BB"/>
    <w:rsid w:val="00290136"/>
    <w:rsid w:val="0029027A"/>
    <w:rsid w:val="00290688"/>
    <w:rsid w:val="002908DC"/>
    <w:rsid w:val="0029111C"/>
    <w:rsid w:val="00291CB6"/>
    <w:rsid w:val="002925C8"/>
    <w:rsid w:val="0029260A"/>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EC9"/>
    <w:rsid w:val="002A1DA6"/>
    <w:rsid w:val="002A233D"/>
    <w:rsid w:val="002A2C94"/>
    <w:rsid w:val="002A32BF"/>
    <w:rsid w:val="002A3515"/>
    <w:rsid w:val="002A3559"/>
    <w:rsid w:val="002A3D98"/>
    <w:rsid w:val="002A461C"/>
    <w:rsid w:val="002A4946"/>
    <w:rsid w:val="002A4999"/>
    <w:rsid w:val="002A4D6C"/>
    <w:rsid w:val="002A4F8A"/>
    <w:rsid w:val="002A520E"/>
    <w:rsid w:val="002A5340"/>
    <w:rsid w:val="002A5C35"/>
    <w:rsid w:val="002A60F9"/>
    <w:rsid w:val="002A610A"/>
    <w:rsid w:val="002A66A3"/>
    <w:rsid w:val="002A6F10"/>
    <w:rsid w:val="002A6FDD"/>
    <w:rsid w:val="002A7324"/>
    <w:rsid w:val="002A7961"/>
    <w:rsid w:val="002B0178"/>
    <w:rsid w:val="002B01FB"/>
    <w:rsid w:val="002B04E3"/>
    <w:rsid w:val="002B0B09"/>
    <w:rsid w:val="002B0E66"/>
    <w:rsid w:val="002B12C8"/>
    <w:rsid w:val="002B1630"/>
    <w:rsid w:val="002B1714"/>
    <w:rsid w:val="002B1B24"/>
    <w:rsid w:val="002B2259"/>
    <w:rsid w:val="002B2681"/>
    <w:rsid w:val="002B2AD0"/>
    <w:rsid w:val="002B3121"/>
    <w:rsid w:val="002B338A"/>
    <w:rsid w:val="002B388F"/>
    <w:rsid w:val="002B3FA2"/>
    <w:rsid w:val="002B41EC"/>
    <w:rsid w:val="002B4252"/>
    <w:rsid w:val="002B4931"/>
    <w:rsid w:val="002B503E"/>
    <w:rsid w:val="002B5358"/>
    <w:rsid w:val="002B5486"/>
    <w:rsid w:val="002B5502"/>
    <w:rsid w:val="002B658B"/>
    <w:rsid w:val="002B6875"/>
    <w:rsid w:val="002B6B85"/>
    <w:rsid w:val="002B6F09"/>
    <w:rsid w:val="002B7713"/>
    <w:rsid w:val="002B7EB9"/>
    <w:rsid w:val="002C002F"/>
    <w:rsid w:val="002C00B4"/>
    <w:rsid w:val="002C00BB"/>
    <w:rsid w:val="002C06E6"/>
    <w:rsid w:val="002C0869"/>
    <w:rsid w:val="002C0FA5"/>
    <w:rsid w:val="002C1170"/>
    <w:rsid w:val="002C1C0C"/>
    <w:rsid w:val="002C21B4"/>
    <w:rsid w:val="002C3217"/>
    <w:rsid w:val="002C3C78"/>
    <w:rsid w:val="002C4469"/>
    <w:rsid w:val="002C48C8"/>
    <w:rsid w:val="002C4B79"/>
    <w:rsid w:val="002C506C"/>
    <w:rsid w:val="002C5D11"/>
    <w:rsid w:val="002C6830"/>
    <w:rsid w:val="002C685A"/>
    <w:rsid w:val="002C71AE"/>
    <w:rsid w:val="002C74BD"/>
    <w:rsid w:val="002C776B"/>
    <w:rsid w:val="002C7A61"/>
    <w:rsid w:val="002D0322"/>
    <w:rsid w:val="002D06C9"/>
    <w:rsid w:val="002D183C"/>
    <w:rsid w:val="002D1E4A"/>
    <w:rsid w:val="002D23DD"/>
    <w:rsid w:val="002D27C7"/>
    <w:rsid w:val="002D2887"/>
    <w:rsid w:val="002D2902"/>
    <w:rsid w:val="002D2A25"/>
    <w:rsid w:val="002D2C93"/>
    <w:rsid w:val="002D2F19"/>
    <w:rsid w:val="002D3E6F"/>
    <w:rsid w:val="002D3EA1"/>
    <w:rsid w:val="002D4079"/>
    <w:rsid w:val="002D454E"/>
    <w:rsid w:val="002D4563"/>
    <w:rsid w:val="002D465C"/>
    <w:rsid w:val="002D4A21"/>
    <w:rsid w:val="002D4C75"/>
    <w:rsid w:val="002D4CD5"/>
    <w:rsid w:val="002D55A7"/>
    <w:rsid w:val="002D57B0"/>
    <w:rsid w:val="002D60DA"/>
    <w:rsid w:val="002D69F2"/>
    <w:rsid w:val="002D70D6"/>
    <w:rsid w:val="002D7743"/>
    <w:rsid w:val="002D7FC3"/>
    <w:rsid w:val="002E0273"/>
    <w:rsid w:val="002E04E8"/>
    <w:rsid w:val="002E0A06"/>
    <w:rsid w:val="002E10A0"/>
    <w:rsid w:val="002E141B"/>
    <w:rsid w:val="002E178C"/>
    <w:rsid w:val="002E1AC0"/>
    <w:rsid w:val="002E1C23"/>
    <w:rsid w:val="002E248E"/>
    <w:rsid w:val="002E266B"/>
    <w:rsid w:val="002E296D"/>
    <w:rsid w:val="002E2ADA"/>
    <w:rsid w:val="002E34D9"/>
    <w:rsid w:val="002E3F00"/>
    <w:rsid w:val="002E3F2A"/>
    <w:rsid w:val="002E4120"/>
    <w:rsid w:val="002E4590"/>
    <w:rsid w:val="002E4C88"/>
    <w:rsid w:val="002E51CA"/>
    <w:rsid w:val="002E5266"/>
    <w:rsid w:val="002E5673"/>
    <w:rsid w:val="002E56AD"/>
    <w:rsid w:val="002E59E3"/>
    <w:rsid w:val="002E648C"/>
    <w:rsid w:val="002E6635"/>
    <w:rsid w:val="002E686C"/>
    <w:rsid w:val="002E6878"/>
    <w:rsid w:val="002E6BCF"/>
    <w:rsid w:val="002E79F5"/>
    <w:rsid w:val="002E7CAB"/>
    <w:rsid w:val="002E7D51"/>
    <w:rsid w:val="002E7EDD"/>
    <w:rsid w:val="002E7EF0"/>
    <w:rsid w:val="002F143D"/>
    <w:rsid w:val="002F16B0"/>
    <w:rsid w:val="002F18B2"/>
    <w:rsid w:val="002F19E7"/>
    <w:rsid w:val="002F1CA7"/>
    <w:rsid w:val="002F1D44"/>
    <w:rsid w:val="002F27B9"/>
    <w:rsid w:val="002F28C1"/>
    <w:rsid w:val="002F30AA"/>
    <w:rsid w:val="002F3192"/>
    <w:rsid w:val="002F3222"/>
    <w:rsid w:val="002F34C8"/>
    <w:rsid w:val="002F3BB6"/>
    <w:rsid w:val="002F3C93"/>
    <w:rsid w:val="002F3F89"/>
    <w:rsid w:val="002F47AC"/>
    <w:rsid w:val="002F4EB9"/>
    <w:rsid w:val="002F55CA"/>
    <w:rsid w:val="002F5939"/>
    <w:rsid w:val="002F5E8C"/>
    <w:rsid w:val="002F60C0"/>
    <w:rsid w:val="002F62F6"/>
    <w:rsid w:val="002F6818"/>
    <w:rsid w:val="002F6B17"/>
    <w:rsid w:val="002F6BEE"/>
    <w:rsid w:val="002F6CE1"/>
    <w:rsid w:val="002F6CF0"/>
    <w:rsid w:val="002F6E6F"/>
    <w:rsid w:val="002F7861"/>
    <w:rsid w:val="002F78E9"/>
    <w:rsid w:val="003004C4"/>
    <w:rsid w:val="003008D9"/>
    <w:rsid w:val="00300D31"/>
    <w:rsid w:val="00300E43"/>
    <w:rsid w:val="003010F1"/>
    <w:rsid w:val="00301970"/>
    <w:rsid w:val="00301AC4"/>
    <w:rsid w:val="00301E34"/>
    <w:rsid w:val="00302253"/>
    <w:rsid w:val="00302443"/>
    <w:rsid w:val="00302C1A"/>
    <w:rsid w:val="00303668"/>
    <w:rsid w:val="0030398F"/>
    <w:rsid w:val="00303A5F"/>
    <w:rsid w:val="00303EC0"/>
    <w:rsid w:val="00304C2D"/>
    <w:rsid w:val="003050C8"/>
    <w:rsid w:val="00305C94"/>
    <w:rsid w:val="00305D8A"/>
    <w:rsid w:val="00305F04"/>
    <w:rsid w:val="00306C26"/>
    <w:rsid w:val="003070FA"/>
    <w:rsid w:val="00307264"/>
    <w:rsid w:val="00307B5E"/>
    <w:rsid w:val="00307D62"/>
    <w:rsid w:val="00307FFE"/>
    <w:rsid w:val="0031010C"/>
    <w:rsid w:val="003107C4"/>
    <w:rsid w:val="00311580"/>
    <w:rsid w:val="003116AA"/>
    <w:rsid w:val="003118C9"/>
    <w:rsid w:val="00311C9C"/>
    <w:rsid w:val="00311E38"/>
    <w:rsid w:val="003125E1"/>
    <w:rsid w:val="0031295A"/>
    <w:rsid w:val="00312A1A"/>
    <w:rsid w:val="00312F7B"/>
    <w:rsid w:val="003131CF"/>
    <w:rsid w:val="003136AC"/>
    <w:rsid w:val="00313C46"/>
    <w:rsid w:val="00313CC7"/>
    <w:rsid w:val="003158AC"/>
    <w:rsid w:val="00316522"/>
    <w:rsid w:val="0031776F"/>
    <w:rsid w:val="00320051"/>
    <w:rsid w:val="003207AA"/>
    <w:rsid w:val="00320AAF"/>
    <w:rsid w:val="00321310"/>
    <w:rsid w:val="00321B92"/>
    <w:rsid w:val="003221DC"/>
    <w:rsid w:val="003223C9"/>
    <w:rsid w:val="00322459"/>
    <w:rsid w:val="00323BB6"/>
    <w:rsid w:val="00324A94"/>
    <w:rsid w:val="0032524E"/>
    <w:rsid w:val="00325480"/>
    <w:rsid w:val="0032587F"/>
    <w:rsid w:val="003262E4"/>
    <w:rsid w:val="00326632"/>
    <w:rsid w:val="00326E3F"/>
    <w:rsid w:val="0032725C"/>
    <w:rsid w:val="003272EE"/>
    <w:rsid w:val="0033071F"/>
    <w:rsid w:val="003308FB"/>
    <w:rsid w:val="0033104B"/>
    <w:rsid w:val="00331478"/>
    <w:rsid w:val="003317D7"/>
    <w:rsid w:val="00331960"/>
    <w:rsid w:val="00332562"/>
    <w:rsid w:val="00332A0A"/>
    <w:rsid w:val="00332C68"/>
    <w:rsid w:val="003335E9"/>
    <w:rsid w:val="00333CA2"/>
    <w:rsid w:val="003342DF"/>
    <w:rsid w:val="003348CF"/>
    <w:rsid w:val="003354D5"/>
    <w:rsid w:val="003362BA"/>
    <w:rsid w:val="00340F5B"/>
    <w:rsid w:val="00341439"/>
    <w:rsid w:val="00341E06"/>
    <w:rsid w:val="0034211B"/>
    <w:rsid w:val="00343813"/>
    <w:rsid w:val="00343F8C"/>
    <w:rsid w:val="0034439A"/>
    <w:rsid w:val="00344CDB"/>
    <w:rsid w:val="00345883"/>
    <w:rsid w:val="00345D06"/>
    <w:rsid w:val="00346156"/>
    <w:rsid w:val="00346294"/>
    <w:rsid w:val="003462E7"/>
    <w:rsid w:val="00346485"/>
    <w:rsid w:val="00346495"/>
    <w:rsid w:val="003465DF"/>
    <w:rsid w:val="00346BFE"/>
    <w:rsid w:val="00346C3E"/>
    <w:rsid w:val="00346CEE"/>
    <w:rsid w:val="00347460"/>
    <w:rsid w:val="00347528"/>
    <w:rsid w:val="00347789"/>
    <w:rsid w:val="003477ED"/>
    <w:rsid w:val="00347D25"/>
    <w:rsid w:val="0035056C"/>
    <w:rsid w:val="00350DAE"/>
    <w:rsid w:val="00350FF3"/>
    <w:rsid w:val="00351776"/>
    <w:rsid w:val="00351B49"/>
    <w:rsid w:val="00351CC2"/>
    <w:rsid w:val="00351DAF"/>
    <w:rsid w:val="00352748"/>
    <w:rsid w:val="00352B06"/>
    <w:rsid w:val="00352B4C"/>
    <w:rsid w:val="00352D88"/>
    <w:rsid w:val="00352E5A"/>
    <w:rsid w:val="00352ED7"/>
    <w:rsid w:val="00352FEC"/>
    <w:rsid w:val="00352FF4"/>
    <w:rsid w:val="003532E2"/>
    <w:rsid w:val="00353547"/>
    <w:rsid w:val="00353612"/>
    <w:rsid w:val="00353F65"/>
    <w:rsid w:val="003548C4"/>
    <w:rsid w:val="00354A6C"/>
    <w:rsid w:val="003550A2"/>
    <w:rsid w:val="00355897"/>
    <w:rsid w:val="0035596A"/>
    <w:rsid w:val="00355F8C"/>
    <w:rsid w:val="00356874"/>
    <w:rsid w:val="00356A23"/>
    <w:rsid w:val="00356E3B"/>
    <w:rsid w:val="00357029"/>
    <w:rsid w:val="00357B0F"/>
    <w:rsid w:val="00360572"/>
    <w:rsid w:val="00360686"/>
    <w:rsid w:val="00360902"/>
    <w:rsid w:val="00360C7F"/>
    <w:rsid w:val="003610FC"/>
    <w:rsid w:val="00362195"/>
    <w:rsid w:val="0036298E"/>
    <w:rsid w:val="0036385F"/>
    <w:rsid w:val="003638C3"/>
    <w:rsid w:val="003643F1"/>
    <w:rsid w:val="00364998"/>
    <w:rsid w:val="0036512D"/>
    <w:rsid w:val="00365942"/>
    <w:rsid w:val="00365961"/>
    <w:rsid w:val="00365F37"/>
    <w:rsid w:val="00366468"/>
    <w:rsid w:val="00366477"/>
    <w:rsid w:val="0036745C"/>
    <w:rsid w:val="003678A1"/>
    <w:rsid w:val="0036795D"/>
    <w:rsid w:val="00367A49"/>
    <w:rsid w:val="00370082"/>
    <w:rsid w:val="003701B0"/>
    <w:rsid w:val="003705FC"/>
    <w:rsid w:val="0037087A"/>
    <w:rsid w:val="00370B27"/>
    <w:rsid w:val="00371080"/>
    <w:rsid w:val="00371170"/>
    <w:rsid w:val="003713CB"/>
    <w:rsid w:val="00371B37"/>
    <w:rsid w:val="00371D2E"/>
    <w:rsid w:val="00372408"/>
    <w:rsid w:val="00372B12"/>
    <w:rsid w:val="00373955"/>
    <w:rsid w:val="00373E58"/>
    <w:rsid w:val="0037468B"/>
    <w:rsid w:val="00374A31"/>
    <w:rsid w:val="00375244"/>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670"/>
    <w:rsid w:val="00383A09"/>
    <w:rsid w:val="00383AD0"/>
    <w:rsid w:val="0038446C"/>
    <w:rsid w:val="00384768"/>
    <w:rsid w:val="003848F8"/>
    <w:rsid w:val="00384BBB"/>
    <w:rsid w:val="003851F3"/>
    <w:rsid w:val="00385E29"/>
    <w:rsid w:val="00385E42"/>
    <w:rsid w:val="00386578"/>
    <w:rsid w:val="003866FF"/>
    <w:rsid w:val="003867D9"/>
    <w:rsid w:val="00386909"/>
    <w:rsid w:val="00386B76"/>
    <w:rsid w:val="00387384"/>
    <w:rsid w:val="003877FF"/>
    <w:rsid w:val="00390366"/>
    <w:rsid w:val="00390544"/>
    <w:rsid w:val="00390810"/>
    <w:rsid w:val="00390D1D"/>
    <w:rsid w:val="0039157F"/>
    <w:rsid w:val="00391744"/>
    <w:rsid w:val="00391B69"/>
    <w:rsid w:val="00391E9C"/>
    <w:rsid w:val="00392380"/>
    <w:rsid w:val="003924D9"/>
    <w:rsid w:val="00392ADA"/>
    <w:rsid w:val="00392BBD"/>
    <w:rsid w:val="00392DB2"/>
    <w:rsid w:val="0039349A"/>
    <w:rsid w:val="00393532"/>
    <w:rsid w:val="003935CE"/>
    <w:rsid w:val="003935F4"/>
    <w:rsid w:val="003937E9"/>
    <w:rsid w:val="00393942"/>
    <w:rsid w:val="00393A96"/>
    <w:rsid w:val="00393F28"/>
    <w:rsid w:val="003940E2"/>
    <w:rsid w:val="00395796"/>
    <w:rsid w:val="00395DB2"/>
    <w:rsid w:val="00396DB9"/>
    <w:rsid w:val="00396FA0"/>
    <w:rsid w:val="0039757E"/>
    <w:rsid w:val="003975C7"/>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A6E25"/>
    <w:rsid w:val="003B017E"/>
    <w:rsid w:val="003B01C5"/>
    <w:rsid w:val="003B0559"/>
    <w:rsid w:val="003B0B3C"/>
    <w:rsid w:val="003B1CA2"/>
    <w:rsid w:val="003B205F"/>
    <w:rsid w:val="003B208B"/>
    <w:rsid w:val="003B2101"/>
    <w:rsid w:val="003B23D9"/>
    <w:rsid w:val="003B240F"/>
    <w:rsid w:val="003B2766"/>
    <w:rsid w:val="003B28CB"/>
    <w:rsid w:val="003B2A3C"/>
    <w:rsid w:val="003B2C36"/>
    <w:rsid w:val="003B2DC2"/>
    <w:rsid w:val="003B2EF1"/>
    <w:rsid w:val="003B3478"/>
    <w:rsid w:val="003B3543"/>
    <w:rsid w:val="003B3984"/>
    <w:rsid w:val="003B3AC5"/>
    <w:rsid w:val="003B3AD4"/>
    <w:rsid w:val="003B40C4"/>
    <w:rsid w:val="003B44CF"/>
    <w:rsid w:val="003B4CD1"/>
    <w:rsid w:val="003B5169"/>
    <w:rsid w:val="003B5D76"/>
    <w:rsid w:val="003B604C"/>
    <w:rsid w:val="003B607B"/>
    <w:rsid w:val="003B661F"/>
    <w:rsid w:val="003B684B"/>
    <w:rsid w:val="003B741D"/>
    <w:rsid w:val="003B790F"/>
    <w:rsid w:val="003B7E7E"/>
    <w:rsid w:val="003C156C"/>
    <w:rsid w:val="003C1BF1"/>
    <w:rsid w:val="003C2435"/>
    <w:rsid w:val="003C2B85"/>
    <w:rsid w:val="003C2CFA"/>
    <w:rsid w:val="003C2DFA"/>
    <w:rsid w:val="003C3018"/>
    <w:rsid w:val="003C3504"/>
    <w:rsid w:val="003C37B2"/>
    <w:rsid w:val="003C37F5"/>
    <w:rsid w:val="003C44DE"/>
    <w:rsid w:val="003C54B3"/>
    <w:rsid w:val="003C5880"/>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E8A"/>
    <w:rsid w:val="003D3053"/>
    <w:rsid w:val="003D3495"/>
    <w:rsid w:val="003D3C89"/>
    <w:rsid w:val="003D3F5F"/>
    <w:rsid w:val="003D3F68"/>
    <w:rsid w:val="003D406E"/>
    <w:rsid w:val="003D4330"/>
    <w:rsid w:val="003D49BA"/>
    <w:rsid w:val="003D4F60"/>
    <w:rsid w:val="003D585B"/>
    <w:rsid w:val="003D58E6"/>
    <w:rsid w:val="003D5B87"/>
    <w:rsid w:val="003D5EC0"/>
    <w:rsid w:val="003D5FF7"/>
    <w:rsid w:val="003D64CF"/>
    <w:rsid w:val="003D660C"/>
    <w:rsid w:val="003D6BAD"/>
    <w:rsid w:val="003D7F6D"/>
    <w:rsid w:val="003E0703"/>
    <w:rsid w:val="003E132E"/>
    <w:rsid w:val="003E13CD"/>
    <w:rsid w:val="003E1693"/>
    <w:rsid w:val="003E1A18"/>
    <w:rsid w:val="003E1DB8"/>
    <w:rsid w:val="003E2189"/>
    <w:rsid w:val="003E2A45"/>
    <w:rsid w:val="003E2E08"/>
    <w:rsid w:val="003E3487"/>
    <w:rsid w:val="003E3C35"/>
    <w:rsid w:val="003E3C67"/>
    <w:rsid w:val="003E44A3"/>
    <w:rsid w:val="003E5955"/>
    <w:rsid w:val="003E5A25"/>
    <w:rsid w:val="003E5A45"/>
    <w:rsid w:val="003E5BE4"/>
    <w:rsid w:val="003E5CB3"/>
    <w:rsid w:val="003E5E61"/>
    <w:rsid w:val="003E6218"/>
    <w:rsid w:val="003E63CC"/>
    <w:rsid w:val="003E652F"/>
    <w:rsid w:val="003E6854"/>
    <w:rsid w:val="003E7C4D"/>
    <w:rsid w:val="003F0197"/>
    <w:rsid w:val="003F0796"/>
    <w:rsid w:val="003F0983"/>
    <w:rsid w:val="003F0C57"/>
    <w:rsid w:val="003F11B1"/>
    <w:rsid w:val="003F14CE"/>
    <w:rsid w:val="003F18EA"/>
    <w:rsid w:val="003F19DE"/>
    <w:rsid w:val="003F1F2A"/>
    <w:rsid w:val="003F2208"/>
    <w:rsid w:val="003F2386"/>
    <w:rsid w:val="003F25DF"/>
    <w:rsid w:val="003F2755"/>
    <w:rsid w:val="003F2A1A"/>
    <w:rsid w:val="003F3007"/>
    <w:rsid w:val="003F34DB"/>
    <w:rsid w:val="003F367A"/>
    <w:rsid w:val="003F3CCF"/>
    <w:rsid w:val="003F4193"/>
    <w:rsid w:val="003F4538"/>
    <w:rsid w:val="003F489A"/>
    <w:rsid w:val="003F4A6E"/>
    <w:rsid w:val="003F4B78"/>
    <w:rsid w:val="003F4DE9"/>
    <w:rsid w:val="003F5544"/>
    <w:rsid w:val="003F5DB3"/>
    <w:rsid w:val="003F5E02"/>
    <w:rsid w:val="003F6071"/>
    <w:rsid w:val="003F6264"/>
    <w:rsid w:val="003F7255"/>
    <w:rsid w:val="003F77F2"/>
    <w:rsid w:val="003F7B13"/>
    <w:rsid w:val="003F7DA7"/>
    <w:rsid w:val="00400490"/>
    <w:rsid w:val="00401102"/>
    <w:rsid w:val="00401745"/>
    <w:rsid w:val="00401F28"/>
    <w:rsid w:val="00402C6E"/>
    <w:rsid w:val="004033DD"/>
    <w:rsid w:val="00403AB4"/>
    <w:rsid w:val="004040E7"/>
    <w:rsid w:val="00404512"/>
    <w:rsid w:val="00404FCA"/>
    <w:rsid w:val="00405729"/>
    <w:rsid w:val="004061E5"/>
    <w:rsid w:val="00406A78"/>
    <w:rsid w:val="00406E66"/>
    <w:rsid w:val="00407139"/>
    <w:rsid w:val="004073E9"/>
    <w:rsid w:val="00407A62"/>
    <w:rsid w:val="00407BAB"/>
    <w:rsid w:val="00410291"/>
    <w:rsid w:val="0041032F"/>
    <w:rsid w:val="00411079"/>
    <w:rsid w:val="00411B37"/>
    <w:rsid w:val="00412256"/>
    <w:rsid w:val="00412A20"/>
    <w:rsid w:val="00412A60"/>
    <w:rsid w:val="00412CFA"/>
    <w:rsid w:val="00412CFF"/>
    <w:rsid w:val="00412FF0"/>
    <w:rsid w:val="00413733"/>
    <w:rsid w:val="00413C10"/>
    <w:rsid w:val="00413EAD"/>
    <w:rsid w:val="004143D3"/>
    <w:rsid w:val="004144FC"/>
    <w:rsid w:val="00414AA4"/>
    <w:rsid w:val="00414C3D"/>
    <w:rsid w:val="004151C2"/>
    <w:rsid w:val="00415254"/>
    <w:rsid w:val="00415892"/>
    <w:rsid w:val="00415C94"/>
    <w:rsid w:val="00416CD6"/>
    <w:rsid w:val="00417117"/>
    <w:rsid w:val="0041758B"/>
    <w:rsid w:val="004179E1"/>
    <w:rsid w:val="0042086C"/>
    <w:rsid w:val="00421915"/>
    <w:rsid w:val="00421E9B"/>
    <w:rsid w:val="00422250"/>
    <w:rsid w:val="004225C3"/>
    <w:rsid w:val="004225F5"/>
    <w:rsid w:val="0042261A"/>
    <w:rsid w:val="00422E43"/>
    <w:rsid w:val="00423E41"/>
    <w:rsid w:val="00423E69"/>
    <w:rsid w:val="00424F03"/>
    <w:rsid w:val="004255AE"/>
    <w:rsid w:val="00425C54"/>
    <w:rsid w:val="00426DB6"/>
    <w:rsid w:val="0042713D"/>
    <w:rsid w:val="004302AD"/>
    <w:rsid w:val="0043050D"/>
    <w:rsid w:val="004314D0"/>
    <w:rsid w:val="00431C1C"/>
    <w:rsid w:val="00431C66"/>
    <w:rsid w:val="00431EF7"/>
    <w:rsid w:val="00431F90"/>
    <w:rsid w:val="004327A0"/>
    <w:rsid w:val="00432D8B"/>
    <w:rsid w:val="004339C9"/>
    <w:rsid w:val="00433D2C"/>
    <w:rsid w:val="00434BD2"/>
    <w:rsid w:val="00434DC6"/>
    <w:rsid w:val="00434EF1"/>
    <w:rsid w:val="00434F7D"/>
    <w:rsid w:val="004350BC"/>
    <w:rsid w:val="00435233"/>
    <w:rsid w:val="004353DD"/>
    <w:rsid w:val="00435D30"/>
    <w:rsid w:val="0043604F"/>
    <w:rsid w:val="00436071"/>
    <w:rsid w:val="0043657A"/>
    <w:rsid w:val="004369C8"/>
    <w:rsid w:val="00436B2B"/>
    <w:rsid w:val="00437A1F"/>
    <w:rsid w:val="0044006A"/>
    <w:rsid w:val="004407E6"/>
    <w:rsid w:val="004407FA"/>
    <w:rsid w:val="00440CAD"/>
    <w:rsid w:val="00440D69"/>
    <w:rsid w:val="004414D4"/>
    <w:rsid w:val="00441506"/>
    <w:rsid w:val="00441935"/>
    <w:rsid w:val="0044220B"/>
    <w:rsid w:val="004422F7"/>
    <w:rsid w:val="004427D3"/>
    <w:rsid w:val="00442CCB"/>
    <w:rsid w:val="00442D08"/>
    <w:rsid w:val="00443420"/>
    <w:rsid w:val="00443504"/>
    <w:rsid w:val="00443A20"/>
    <w:rsid w:val="00443CE3"/>
    <w:rsid w:val="00443F83"/>
    <w:rsid w:val="004442AB"/>
    <w:rsid w:val="00444438"/>
    <w:rsid w:val="00444584"/>
    <w:rsid w:val="0044488C"/>
    <w:rsid w:val="00444B91"/>
    <w:rsid w:val="00444CBB"/>
    <w:rsid w:val="00445147"/>
    <w:rsid w:val="004455FE"/>
    <w:rsid w:val="00445A77"/>
    <w:rsid w:val="00445B6C"/>
    <w:rsid w:val="00446559"/>
    <w:rsid w:val="004465AC"/>
    <w:rsid w:val="004467E0"/>
    <w:rsid w:val="00446970"/>
    <w:rsid w:val="00446F8C"/>
    <w:rsid w:val="0044714E"/>
    <w:rsid w:val="0044739B"/>
    <w:rsid w:val="004473FC"/>
    <w:rsid w:val="00447B1C"/>
    <w:rsid w:val="00447C9F"/>
    <w:rsid w:val="00447E0E"/>
    <w:rsid w:val="0045004A"/>
    <w:rsid w:val="004501D9"/>
    <w:rsid w:val="004502BB"/>
    <w:rsid w:val="0045030A"/>
    <w:rsid w:val="00450EC6"/>
    <w:rsid w:val="00450F93"/>
    <w:rsid w:val="00451102"/>
    <w:rsid w:val="0045139A"/>
    <w:rsid w:val="00451630"/>
    <w:rsid w:val="004516D2"/>
    <w:rsid w:val="00451B85"/>
    <w:rsid w:val="004529DC"/>
    <w:rsid w:val="004535C3"/>
    <w:rsid w:val="004535F6"/>
    <w:rsid w:val="00453682"/>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2CA3"/>
    <w:rsid w:val="00463291"/>
    <w:rsid w:val="00464032"/>
    <w:rsid w:val="004641E0"/>
    <w:rsid w:val="00464300"/>
    <w:rsid w:val="00464338"/>
    <w:rsid w:val="0046435F"/>
    <w:rsid w:val="004648D3"/>
    <w:rsid w:val="00464E7B"/>
    <w:rsid w:val="0046516E"/>
    <w:rsid w:val="0046547A"/>
    <w:rsid w:val="004657BC"/>
    <w:rsid w:val="00465AB3"/>
    <w:rsid w:val="00465AC9"/>
    <w:rsid w:val="00470122"/>
    <w:rsid w:val="00470C14"/>
    <w:rsid w:val="004716FD"/>
    <w:rsid w:val="00471879"/>
    <w:rsid w:val="004727DB"/>
    <w:rsid w:val="00473776"/>
    <w:rsid w:val="00473BFC"/>
    <w:rsid w:val="00473F40"/>
    <w:rsid w:val="004741E7"/>
    <w:rsid w:val="00474564"/>
    <w:rsid w:val="004745F8"/>
    <w:rsid w:val="00474E94"/>
    <w:rsid w:val="00475507"/>
    <w:rsid w:val="00475B01"/>
    <w:rsid w:val="00475D33"/>
    <w:rsid w:val="00475E55"/>
    <w:rsid w:val="00476166"/>
    <w:rsid w:val="00476C50"/>
    <w:rsid w:val="00477A50"/>
    <w:rsid w:val="00477BA0"/>
    <w:rsid w:val="0048048E"/>
    <w:rsid w:val="004804A4"/>
    <w:rsid w:val="00480993"/>
    <w:rsid w:val="00480E23"/>
    <w:rsid w:val="00481333"/>
    <w:rsid w:val="004815A6"/>
    <w:rsid w:val="00482692"/>
    <w:rsid w:val="00482D50"/>
    <w:rsid w:val="004838E0"/>
    <w:rsid w:val="00483B9C"/>
    <w:rsid w:val="00483CD9"/>
    <w:rsid w:val="00483F1A"/>
    <w:rsid w:val="004844B2"/>
    <w:rsid w:val="00484679"/>
    <w:rsid w:val="004852ED"/>
    <w:rsid w:val="004868BA"/>
    <w:rsid w:val="00487477"/>
    <w:rsid w:val="00487708"/>
    <w:rsid w:val="0048771D"/>
    <w:rsid w:val="00487902"/>
    <w:rsid w:val="00487FD0"/>
    <w:rsid w:val="00492B76"/>
    <w:rsid w:val="00492E26"/>
    <w:rsid w:val="00492F4F"/>
    <w:rsid w:val="00492FDE"/>
    <w:rsid w:val="00493182"/>
    <w:rsid w:val="0049327C"/>
    <w:rsid w:val="00493479"/>
    <w:rsid w:val="004937B0"/>
    <w:rsid w:val="0049380B"/>
    <w:rsid w:val="00493871"/>
    <w:rsid w:val="00493ABA"/>
    <w:rsid w:val="00493DD6"/>
    <w:rsid w:val="00494AF9"/>
    <w:rsid w:val="00494C3F"/>
    <w:rsid w:val="0049514C"/>
    <w:rsid w:val="00495166"/>
    <w:rsid w:val="00496EC0"/>
    <w:rsid w:val="00497142"/>
    <w:rsid w:val="0049725A"/>
    <w:rsid w:val="00497290"/>
    <w:rsid w:val="00497727"/>
    <w:rsid w:val="004978FD"/>
    <w:rsid w:val="00497A44"/>
    <w:rsid w:val="00497EDF"/>
    <w:rsid w:val="004A0F46"/>
    <w:rsid w:val="004A13CA"/>
    <w:rsid w:val="004A1798"/>
    <w:rsid w:val="004A1DF0"/>
    <w:rsid w:val="004A2169"/>
    <w:rsid w:val="004A2B09"/>
    <w:rsid w:val="004A2D07"/>
    <w:rsid w:val="004A2F01"/>
    <w:rsid w:val="004A33E8"/>
    <w:rsid w:val="004A3433"/>
    <w:rsid w:val="004A343D"/>
    <w:rsid w:val="004A34CC"/>
    <w:rsid w:val="004A350F"/>
    <w:rsid w:val="004A3895"/>
    <w:rsid w:val="004A3CC0"/>
    <w:rsid w:val="004A4827"/>
    <w:rsid w:val="004A4EE8"/>
    <w:rsid w:val="004A539C"/>
    <w:rsid w:val="004A55AB"/>
    <w:rsid w:val="004A5774"/>
    <w:rsid w:val="004A64EE"/>
    <w:rsid w:val="004A6633"/>
    <w:rsid w:val="004A66B9"/>
    <w:rsid w:val="004A69A4"/>
    <w:rsid w:val="004A6C6C"/>
    <w:rsid w:val="004A72A6"/>
    <w:rsid w:val="004A738F"/>
    <w:rsid w:val="004A7741"/>
    <w:rsid w:val="004A7837"/>
    <w:rsid w:val="004A7B44"/>
    <w:rsid w:val="004A7E91"/>
    <w:rsid w:val="004A7F8D"/>
    <w:rsid w:val="004B25B2"/>
    <w:rsid w:val="004B2EE6"/>
    <w:rsid w:val="004B2FC3"/>
    <w:rsid w:val="004B339D"/>
    <w:rsid w:val="004B3DE7"/>
    <w:rsid w:val="004B45DA"/>
    <w:rsid w:val="004B4982"/>
    <w:rsid w:val="004B4CE0"/>
    <w:rsid w:val="004B5253"/>
    <w:rsid w:val="004B5723"/>
    <w:rsid w:val="004B6475"/>
    <w:rsid w:val="004B6640"/>
    <w:rsid w:val="004B6841"/>
    <w:rsid w:val="004B698B"/>
    <w:rsid w:val="004B72F7"/>
    <w:rsid w:val="004B7424"/>
    <w:rsid w:val="004B7B40"/>
    <w:rsid w:val="004B7DC1"/>
    <w:rsid w:val="004C0374"/>
    <w:rsid w:val="004C0B19"/>
    <w:rsid w:val="004C0CD4"/>
    <w:rsid w:val="004C0D90"/>
    <w:rsid w:val="004C1738"/>
    <w:rsid w:val="004C1C84"/>
    <w:rsid w:val="004C1CD5"/>
    <w:rsid w:val="004C21A3"/>
    <w:rsid w:val="004C25A8"/>
    <w:rsid w:val="004C2928"/>
    <w:rsid w:val="004C2FF2"/>
    <w:rsid w:val="004C3333"/>
    <w:rsid w:val="004C49DF"/>
    <w:rsid w:val="004C4DE5"/>
    <w:rsid w:val="004C5395"/>
    <w:rsid w:val="004C633D"/>
    <w:rsid w:val="004C6D9F"/>
    <w:rsid w:val="004C74D4"/>
    <w:rsid w:val="004C7706"/>
    <w:rsid w:val="004C7D74"/>
    <w:rsid w:val="004C7F23"/>
    <w:rsid w:val="004D0768"/>
    <w:rsid w:val="004D09B2"/>
    <w:rsid w:val="004D13A3"/>
    <w:rsid w:val="004D1FA5"/>
    <w:rsid w:val="004D20BE"/>
    <w:rsid w:val="004D2131"/>
    <w:rsid w:val="004D2738"/>
    <w:rsid w:val="004D2862"/>
    <w:rsid w:val="004D2890"/>
    <w:rsid w:val="004D2A00"/>
    <w:rsid w:val="004D2C23"/>
    <w:rsid w:val="004D2E7F"/>
    <w:rsid w:val="004D39EB"/>
    <w:rsid w:val="004D3BAA"/>
    <w:rsid w:val="004D3BEF"/>
    <w:rsid w:val="004D3CEC"/>
    <w:rsid w:val="004D48E5"/>
    <w:rsid w:val="004D4EBC"/>
    <w:rsid w:val="004D539B"/>
    <w:rsid w:val="004D53E9"/>
    <w:rsid w:val="004D54CF"/>
    <w:rsid w:val="004D57CE"/>
    <w:rsid w:val="004D62BD"/>
    <w:rsid w:val="004D6802"/>
    <w:rsid w:val="004D6959"/>
    <w:rsid w:val="004D6BC5"/>
    <w:rsid w:val="004D7036"/>
    <w:rsid w:val="004D71E7"/>
    <w:rsid w:val="004D79D8"/>
    <w:rsid w:val="004D7E7D"/>
    <w:rsid w:val="004E0AA2"/>
    <w:rsid w:val="004E0D35"/>
    <w:rsid w:val="004E133E"/>
    <w:rsid w:val="004E1788"/>
    <w:rsid w:val="004E1A51"/>
    <w:rsid w:val="004E2164"/>
    <w:rsid w:val="004E21B4"/>
    <w:rsid w:val="004E243D"/>
    <w:rsid w:val="004E2512"/>
    <w:rsid w:val="004E291E"/>
    <w:rsid w:val="004E29C0"/>
    <w:rsid w:val="004E2AE6"/>
    <w:rsid w:val="004E2BF3"/>
    <w:rsid w:val="004E2C17"/>
    <w:rsid w:val="004E2FAE"/>
    <w:rsid w:val="004E3030"/>
    <w:rsid w:val="004E318C"/>
    <w:rsid w:val="004E3771"/>
    <w:rsid w:val="004E4B24"/>
    <w:rsid w:val="004E4BFA"/>
    <w:rsid w:val="004E53B7"/>
    <w:rsid w:val="004E5836"/>
    <w:rsid w:val="004E5E21"/>
    <w:rsid w:val="004E6386"/>
    <w:rsid w:val="004E66B3"/>
    <w:rsid w:val="004E66BC"/>
    <w:rsid w:val="004E6F8C"/>
    <w:rsid w:val="004E73B1"/>
    <w:rsid w:val="004E75E2"/>
    <w:rsid w:val="004F002D"/>
    <w:rsid w:val="004F00F0"/>
    <w:rsid w:val="004F030E"/>
    <w:rsid w:val="004F047B"/>
    <w:rsid w:val="004F0512"/>
    <w:rsid w:val="004F1804"/>
    <w:rsid w:val="004F180E"/>
    <w:rsid w:val="004F3CDD"/>
    <w:rsid w:val="004F4041"/>
    <w:rsid w:val="004F458B"/>
    <w:rsid w:val="004F519D"/>
    <w:rsid w:val="004F5408"/>
    <w:rsid w:val="004F5452"/>
    <w:rsid w:val="004F548E"/>
    <w:rsid w:val="004F54E1"/>
    <w:rsid w:val="004F56CD"/>
    <w:rsid w:val="004F71BE"/>
    <w:rsid w:val="004F754B"/>
    <w:rsid w:val="004F76F4"/>
    <w:rsid w:val="004F7787"/>
    <w:rsid w:val="004F7CBE"/>
    <w:rsid w:val="004F7E82"/>
    <w:rsid w:val="004F7FEE"/>
    <w:rsid w:val="00500111"/>
    <w:rsid w:val="00500415"/>
    <w:rsid w:val="00500BF9"/>
    <w:rsid w:val="00500DA6"/>
    <w:rsid w:val="00500FF6"/>
    <w:rsid w:val="00501040"/>
    <w:rsid w:val="0050159D"/>
    <w:rsid w:val="00501D0C"/>
    <w:rsid w:val="00502149"/>
    <w:rsid w:val="00502680"/>
    <w:rsid w:val="005046A6"/>
    <w:rsid w:val="005046CD"/>
    <w:rsid w:val="00505FCA"/>
    <w:rsid w:val="00506583"/>
    <w:rsid w:val="005073E7"/>
    <w:rsid w:val="005074B8"/>
    <w:rsid w:val="005077EF"/>
    <w:rsid w:val="00507872"/>
    <w:rsid w:val="00507ED6"/>
    <w:rsid w:val="00510576"/>
    <w:rsid w:val="00510BDB"/>
    <w:rsid w:val="0051153D"/>
    <w:rsid w:val="005115D7"/>
    <w:rsid w:val="00511C34"/>
    <w:rsid w:val="005123FA"/>
    <w:rsid w:val="005128E1"/>
    <w:rsid w:val="00512DAD"/>
    <w:rsid w:val="0051362C"/>
    <w:rsid w:val="005139EB"/>
    <w:rsid w:val="005139EC"/>
    <w:rsid w:val="005143E1"/>
    <w:rsid w:val="005145E4"/>
    <w:rsid w:val="005147BF"/>
    <w:rsid w:val="00514989"/>
    <w:rsid w:val="00514ADE"/>
    <w:rsid w:val="00515111"/>
    <w:rsid w:val="005156F1"/>
    <w:rsid w:val="00515919"/>
    <w:rsid w:val="00515B2D"/>
    <w:rsid w:val="005165FF"/>
    <w:rsid w:val="00516CCD"/>
    <w:rsid w:val="005174DE"/>
    <w:rsid w:val="00517556"/>
    <w:rsid w:val="00517856"/>
    <w:rsid w:val="005179F3"/>
    <w:rsid w:val="00520E1E"/>
    <w:rsid w:val="00520E59"/>
    <w:rsid w:val="00520FF5"/>
    <w:rsid w:val="00520FF7"/>
    <w:rsid w:val="00521522"/>
    <w:rsid w:val="00521A9F"/>
    <w:rsid w:val="00521BE8"/>
    <w:rsid w:val="00521F32"/>
    <w:rsid w:val="0052233E"/>
    <w:rsid w:val="00522E09"/>
    <w:rsid w:val="005233FB"/>
    <w:rsid w:val="0052377F"/>
    <w:rsid w:val="00523AD3"/>
    <w:rsid w:val="0052428D"/>
    <w:rsid w:val="0052445A"/>
    <w:rsid w:val="00525633"/>
    <w:rsid w:val="005258A3"/>
    <w:rsid w:val="00527A18"/>
    <w:rsid w:val="00527BFF"/>
    <w:rsid w:val="00527E85"/>
    <w:rsid w:val="00530498"/>
    <w:rsid w:val="0053051C"/>
    <w:rsid w:val="00531529"/>
    <w:rsid w:val="00531EDA"/>
    <w:rsid w:val="00531FB7"/>
    <w:rsid w:val="005322B0"/>
    <w:rsid w:val="0053315E"/>
    <w:rsid w:val="00533DFA"/>
    <w:rsid w:val="00534A09"/>
    <w:rsid w:val="00534E08"/>
    <w:rsid w:val="00535E32"/>
    <w:rsid w:val="00536063"/>
    <w:rsid w:val="00536C1E"/>
    <w:rsid w:val="00536F01"/>
    <w:rsid w:val="00536F3C"/>
    <w:rsid w:val="0053710F"/>
    <w:rsid w:val="00537E81"/>
    <w:rsid w:val="00540347"/>
    <w:rsid w:val="005409A9"/>
    <w:rsid w:val="005411D4"/>
    <w:rsid w:val="005415A9"/>
    <w:rsid w:val="00541E48"/>
    <w:rsid w:val="0054298F"/>
    <w:rsid w:val="00542A4B"/>
    <w:rsid w:val="00542D68"/>
    <w:rsid w:val="00542F9E"/>
    <w:rsid w:val="00543536"/>
    <w:rsid w:val="005436F8"/>
    <w:rsid w:val="005445E3"/>
    <w:rsid w:val="00545348"/>
    <w:rsid w:val="00545428"/>
    <w:rsid w:val="00545B86"/>
    <w:rsid w:val="005460A7"/>
    <w:rsid w:val="00546400"/>
    <w:rsid w:val="00550B07"/>
    <w:rsid w:val="005517C3"/>
    <w:rsid w:val="00551BB0"/>
    <w:rsid w:val="005520AE"/>
    <w:rsid w:val="00552ABA"/>
    <w:rsid w:val="00552F7E"/>
    <w:rsid w:val="0055302A"/>
    <w:rsid w:val="0055394C"/>
    <w:rsid w:val="00553B4E"/>
    <w:rsid w:val="00553BED"/>
    <w:rsid w:val="00553D66"/>
    <w:rsid w:val="005544B4"/>
    <w:rsid w:val="005544FB"/>
    <w:rsid w:val="00554FD7"/>
    <w:rsid w:val="005551CC"/>
    <w:rsid w:val="00555575"/>
    <w:rsid w:val="00555E05"/>
    <w:rsid w:val="0055615D"/>
    <w:rsid w:val="00557C53"/>
    <w:rsid w:val="00560F17"/>
    <w:rsid w:val="00560F5F"/>
    <w:rsid w:val="005613F0"/>
    <w:rsid w:val="00561678"/>
    <w:rsid w:val="00561870"/>
    <w:rsid w:val="00561F4E"/>
    <w:rsid w:val="00562DB0"/>
    <w:rsid w:val="00563610"/>
    <w:rsid w:val="0056397A"/>
    <w:rsid w:val="00563F3F"/>
    <w:rsid w:val="00564446"/>
    <w:rsid w:val="00565397"/>
    <w:rsid w:val="0056549F"/>
    <w:rsid w:val="00566540"/>
    <w:rsid w:val="00566B36"/>
    <w:rsid w:val="00567648"/>
    <w:rsid w:val="005677A5"/>
    <w:rsid w:val="00567F4A"/>
    <w:rsid w:val="005706CB"/>
    <w:rsid w:val="005706E3"/>
    <w:rsid w:val="00570908"/>
    <w:rsid w:val="00570F74"/>
    <w:rsid w:val="0057149C"/>
    <w:rsid w:val="00571714"/>
    <w:rsid w:val="00571878"/>
    <w:rsid w:val="00571DDF"/>
    <w:rsid w:val="0057226C"/>
    <w:rsid w:val="00572447"/>
    <w:rsid w:val="00572518"/>
    <w:rsid w:val="005742BC"/>
    <w:rsid w:val="00574709"/>
    <w:rsid w:val="00574949"/>
    <w:rsid w:val="00575158"/>
    <w:rsid w:val="005754B2"/>
    <w:rsid w:val="00575656"/>
    <w:rsid w:val="00575869"/>
    <w:rsid w:val="00575891"/>
    <w:rsid w:val="00575FF0"/>
    <w:rsid w:val="0057628C"/>
    <w:rsid w:val="00576ACF"/>
    <w:rsid w:val="00576E70"/>
    <w:rsid w:val="00580E63"/>
    <w:rsid w:val="005810B1"/>
    <w:rsid w:val="005812D5"/>
    <w:rsid w:val="005817B0"/>
    <w:rsid w:val="00581CCD"/>
    <w:rsid w:val="0058216E"/>
    <w:rsid w:val="0058238F"/>
    <w:rsid w:val="00582B6A"/>
    <w:rsid w:val="00582DB8"/>
    <w:rsid w:val="00582EEB"/>
    <w:rsid w:val="00583162"/>
    <w:rsid w:val="005833B3"/>
    <w:rsid w:val="005834D9"/>
    <w:rsid w:val="00583752"/>
    <w:rsid w:val="00583D28"/>
    <w:rsid w:val="00583D47"/>
    <w:rsid w:val="00583E1A"/>
    <w:rsid w:val="00584C06"/>
    <w:rsid w:val="00584CE5"/>
    <w:rsid w:val="00584DB1"/>
    <w:rsid w:val="005853B3"/>
    <w:rsid w:val="00585A6A"/>
    <w:rsid w:val="00586A36"/>
    <w:rsid w:val="00586B46"/>
    <w:rsid w:val="00586BC5"/>
    <w:rsid w:val="00586CAE"/>
    <w:rsid w:val="005879D9"/>
    <w:rsid w:val="00587A0B"/>
    <w:rsid w:val="00587AD6"/>
    <w:rsid w:val="00587C22"/>
    <w:rsid w:val="00587D8D"/>
    <w:rsid w:val="00590614"/>
    <w:rsid w:val="00590903"/>
    <w:rsid w:val="00591144"/>
    <w:rsid w:val="005912A8"/>
    <w:rsid w:val="0059146D"/>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EB7"/>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6"/>
    <w:rsid w:val="005A35A7"/>
    <w:rsid w:val="005A368F"/>
    <w:rsid w:val="005A3CD5"/>
    <w:rsid w:val="005A4032"/>
    <w:rsid w:val="005A441F"/>
    <w:rsid w:val="005A4765"/>
    <w:rsid w:val="005A4AC4"/>
    <w:rsid w:val="005A4C4A"/>
    <w:rsid w:val="005A4E82"/>
    <w:rsid w:val="005A4FD9"/>
    <w:rsid w:val="005A5600"/>
    <w:rsid w:val="005A5671"/>
    <w:rsid w:val="005A5D51"/>
    <w:rsid w:val="005A6193"/>
    <w:rsid w:val="005A61A8"/>
    <w:rsid w:val="005A635E"/>
    <w:rsid w:val="005A69ED"/>
    <w:rsid w:val="005A6AAB"/>
    <w:rsid w:val="005A76BD"/>
    <w:rsid w:val="005B020A"/>
    <w:rsid w:val="005B0B5A"/>
    <w:rsid w:val="005B0DB7"/>
    <w:rsid w:val="005B10C6"/>
    <w:rsid w:val="005B1633"/>
    <w:rsid w:val="005B19CC"/>
    <w:rsid w:val="005B1B16"/>
    <w:rsid w:val="005B1F64"/>
    <w:rsid w:val="005B21B7"/>
    <w:rsid w:val="005B22CE"/>
    <w:rsid w:val="005B23B1"/>
    <w:rsid w:val="005B3593"/>
    <w:rsid w:val="005B36FC"/>
    <w:rsid w:val="005B3CC9"/>
    <w:rsid w:val="005B4690"/>
    <w:rsid w:val="005B47DC"/>
    <w:rsid w:val="005B48F6"/>
    <w:rsid w:val="005B51A9"/>
    <w:rsid w:val="005B5F25"/>
    <w:rsid w:val="005B649D"/>
    <w:rsid w:val="005B64D9"/>
    <w:rsid w:val="005B6BD6"/>
    <w:rsid w:val="005B6CF6"/>
    <w:rsid w:val="005B78CC"/>
    <w:rsid w:val="005B7B37"/>
    <w:rsid w:val="005C0213"/>
    <w:rsid w:val="005C023F"/>
    <w:rsid w:val="005C0300"/>
    <w:rsid w:val="005C05E3"/>
    <w:rsid w:val="005C0E78"/>
    <w:rsid w:val="005C0F1C"/>
    <w:rsid w:val="005C1011"/>
    <w:rsid w:val="005C1599"/>
    <w:rsid w:val="005C17E7"/>
    <w:rsid w:val="005C1EBA"/>
    <w:rsid w:val="005C1F16"/>
    <w:rsid w:val="005C24BF"/>
    <w:rsid w:val="005C343E"/>
    <w:rsid w:val="005C36BE"/>
    <w:rsid w:val="005C3E80"/>
    <w:rsid w:val="005C3EFF"/>
    <w:rsid w:val="005C40B5"/>
    <w:rsid w:val="005C4312"/>
    <w:rsid w:val="005C45B0"/>
    <w:rsid w:val="005C45BD"/>
    <w:rsid w:val="005C4AE9"/>
    <w:rsid w:val="005C4B17"/>
    <w:rsid w:val="005C58E0"/>
    <w:rsid w:val="005C5AF3"/>
    <w:rsid w:val="005C5E10"/>
    <w:rsid w:val="005C6469"/>
    <w:rsid w:val="005C66F5"/>
    <w:rsid w:val="005C67AE"/>
    <w:rsid w:val="005C6B83"/>
    <w:rsid w:val="005C6E05"/>
    <w:rsid w:val="005C77F5"/>
    <w:rsid w:val="005D0255"/>
    <w:rsid w:val="005D0BCB"/>
    <w:rsid w:val="005D1238"/>
    <w:rsid w:val="005D33B0"/>
    <w:rsid w:val="005D3C59"/>
    <w:rsid w:val="005D3E1C"/>
    <w:rsid w:val="005D4EA4"/>
    <w:rsid w:val="005D4FA6"/>
    <w:rsid w:val="005D6339"/>
    <w:rsid w:val="005D68B0"/>
    <w:rsid w:val="005D6B8B"/>
    <w:rsid w:val="005D6BFE"/>
    <w:rsid w:val="005D6F96"/>
    <w:rsid w:val="005D76CC"/>
    <w:rsid w:val="005D7AF3"/>
    <w:rsid w:val="005E3A81"/>
    <w:rsid w:val="005E40B2"/>
    <w:rsid w:val="005E4F17"/>
    <w:rsid w:val="005E5C02"/>
    <w:rsid w:val="005E5C5A"/>
    <w:rsid w:val="005E63AB"/>
    <w:rsid w:val="005E6759"/>
    <w:rsid w:val="005E688C"/>
    <w:rsid w:val="005F07E1"/>
    <w:rsid w:val="005F09AC"/>
    <w:rsid w:val="005F0FD2"/>
    <w:rsid w:val="005F10BF"/>
    <w:rsid w:val="005F16E3"/>
    <w:rsid w:val="005F2315"/>
    <w:rsid w:val="005F25C7"/>
    <w:rsid w:val="005F27D1"/>
    <w:rsid w:val="005F27EC"/>
    <w:rsid w:val="005F2CFA"/>
    <w:rsid w:val="005F3133"/>
    <w:rsid w:val="005F36BB"/>
    <w:rsid w:val="005F3ABB"/>
    <w:rsid w:val="005F48CC"/>
    <w:rsid w:val="005F4EB9"/>
    <w:rsid w:val="005F590A"/>
    <w:rsid w:val="005F59DB"/>
    <w:rsid w:val="005F5BEC"/>
    <w:rsid w:val="005F5D61"/>
    <w:rsid w:val="005F604E"/>
    <w:rsid w:val="005F60E7"/>
    <w:rsid w:val="005F66FD"/>
    <w:rsid w:val="005F67F2"/>
    <w:rsid w:val="005F74EB"/>
    <w:rsid w:val="0060058D"/>
    <w:rsid w:val="0060119A"/>
    <w:rsid w:val="00601376"/>
    <w:rsid w:val="006013BC"/>
    <w:rsid w:val="0060192C"/>
    <w:rsid w:val="00602BB8"/>
    <w:rsid w:val="00602FC6"/>
    <w:rsid w:val="00603375"/>
    <w:rsid w:val="00603378"/>
    <w:rsid w:val="00603764"/>
    <w:rsid w:val="006048A4"/>
    <w:rsid w:val="00604B3D"/>
    <w:rsid w:val="00605480"/>
    <w:rsid w:val="00605DAE"/>
    <w:rsid w:val="00606986"/>
    <w:rsid w:val="00606D57"/>
    <w:rsid w:val="00607173"/>
    <w:rsid w:val="006071D6"/>
    <w:rsid w:val="006075BB"/>
    <w:rsid w:val="006076C4"/>
    <w:rsid w:val="00607B9E"/>
    <w:rsid w:val="00607DAF"/>
    <w:rsid w:val="00607EA4"/>
    <w:rsid w:val="00610012"/>
    <w:rsid w:val="0061041F"/>
    <w:rsid w:val="00610D94"/>
    <w:rsid w:val="00610F33"/>
    <w:rsid w:val="006114DD"/>
    <w:rsid w:val="00611552"/>
    <w:rsid w:val="006116D9"/>
    <w:rsid w:val="00612471"/>
    <w:rsid w:val="00612826"/>
    <w:rsid w:val="00613066"/>
    <w:rsid w:val="00613265"/>
    <w:rsid w:val="006139B7"/>
    <w:rsid w:val="006139C0"/>
    <w:rsid w:val="00614443"/>
    <w:rsid w:val="0061466B"/>
    <w:rsid w:val="006149C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790"/>
    <w:rsid w:val="00623E9C"/>
    <w:rsid w:val="0062411C"/>
    <w:rsid w:val="00624BB8"/>
    <w:rsid w:val="00624C96"/>
    <w:rsid w:val="00625739"/>
    <w:rsid w:val="00625D24"/>
    <w:rsid w:val="00625EBD"/>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1B50"/>
    <w:rsid w:val="006324B1"/>
    <w:rsid w:val="00632A35"/>
    <w:rsid w:val="00632E3D"/>
    <w:rsid w:val="0063308E"/>
    <w:rsid w:val="0063392F"/>
    <w:rsid w:val="00633BEF"/>
    <w:rsid w:val="00634118"/>
    <w:rsid w:val="006341DD"/>
    <w:rsid w:val="00634358"/>
    <w:rsid w:val="00634BD8"/>
    <w:rsid w:val="00635FCC"/>
    <w:rsid w:val="006363C5"/>
    <w:rsid w:val="00636C93"/>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585"/>
    <w:rsid w:val="006448BD"/>
    <w:rsid w:val="00644A92"/>
    <w:rsid w:val="00645815"/>
    <w:rsid w:val="00645BA8"/>
    <w:rsid w:val="00646663"/>
    <w:rsid w:val="00646853"/>
    <w:rsid w:val="00646A75"/>
    <w:rsid w:val="00646FBC"/>
    <w:rsid w:val="00647125"/>
    <w:rsid w:val="0064730A"/>
    <w:rsid w:val="00647838"/>
    <w:rsid w:val="006478BA"/>
    <w:rsid w:val="00647A86"/>
    <w:rsid w:val="00650128"/>
    <w:rsid w:val="006501AF"/>
    <w:rsid w:val="00650270"/>
    <w:rsid w:val="006502E8"/>
    <w:rsid w:val="00650531"/>
    <w:rsid w:val="00651050"/>
    <w:rsid w:val="00651357"/>
    <w:rsid w:val="006513A0"/>
    <w:rsid w:val="00651ED7"/>
    <w:rsid w:val="0065212B"/>
    <w:rsid w:val="0065215F"/>
    <w:rsid w:val="0065265E"/>
    <w:rsid w:val="00652BF6"/>
    <w:rsid w:val="00653460"/>
    <w:rsid w:val="00653666"/>
    <w:rsid w:val="006549B1"/>
    <w:rsid w:val="00654A6D"/>
    <w:rsid w:val="00654ECF"/>
    <w:rsid w:val="0065500C"/>
    <w:rsid w:val="00655313"/>
    <w:rsid w:val="0065604D"/>
    <w:rsid w:val="00656073"/>
    <w:rsid w:val="00656CAC"/>
    <w:rsid w:val="00656E15"/>
    <w:rsid w:val="00656E54"/>
    <w:rsid w:val="006571E5"/>
    <w:rsid w:val="00657234"/>
    <w:rsid w:val="006573D3"/>
    <w:rsid w:val="006573DC"/>
    <w:rsid w:val="00657908"/>
    <w:rsid w:val="00657B33"/>
    <w:rsid w:val="00657B6D"/>
    <w:rsid w:val="00657BFF"/>
    <w:rsid w:val="006600E6"/>
    <w:rsid w:val="006600F8"/>
    <w:rsid w:val="00660200"/>
    <w:rsid w:val="006603F6"/>
    <w:rsid w:val="00660549"/>
    <w:rsid w:val="006607EE"/>
    <w:rsid w:val="00660FC1"/>
    <w:rsid w:val="00661E37"/>
    <w:rsid w:val="00662031"/>
    <w:rsid w:val="0066249C"/>
    <w:rsid w:val="006634C1"/>
    <w:rsid w:val="0066388F"/>
    <w:rsid w:val="00663B03"/>
    <w:rsid w:val="00664901"/>
    <w:rsid w:val="00665DF4"/>
    <w:rsid w:val="00666041"/>
    <w:rsid w:val="0066667B"/>
    <w:rsid w:val="00666AC3"/>
    <w:rsid w:val="00666DA0"/>
    <w:rsid w:val="00667CC4"/>
    <w:rsid w:val="00670999"/>
    <w:rsid w:val="00670CEF"/>
    <w:rsid w:val="00671204"/>
    <w:rsid w:val="0067128B"/>
    <w:rsid w:val="00671EE7"/>
    <w:rsid w:val="00672564"/>
    <w:rsid w:val="00672722"/>
    <w:rsid w:val="00672882"/>
    <w:rsid w:val="006729BD"/>
    <w:rsid w:val="00672DE1"/>
    <w:rsid w:val="00673305"/>
    <w:rsid w:val="006737F3"/>
    <w:rsid w:val="0067394A"/>
    <w:rsid w:val="00674EC2"/>
    <w:rsid w:val="00675496"/>
    <w:rsid w:val="00675770"/>
    <w:rsid w:val="0067651B"/>
    <w:rsid w:val="00676730"/>
    <w:rsid w:val="00676915"/>
    <w:rsid w:val="00676958"/>
    <w:rsid w:val="00676B76"/>
    <w:rsid w:val="00676CC9"/>
    <w:rsid w:val="00677327"/>
    <w:rsid w:val="0067760E"/>
    <w:rsid w:val="006778C9"/>
    <w:rsid w:val="006800DF"/>
    <w:rsid w:val="006805BE"/>
    <w:rsid w:val="006807A0"/>
    <w:rsid w:val="00680885"/>
    <w:rsid w:val="00680CC1"/>
    <w:rsid w:val="00681677"/>
    <w:rsid w:val="006816BC"/>
    <w:rsid w:val="00681794"/>
    <w:rsid w:val="006818FF"/>
    <w:rsid w:val="00681A13"/>
    <w:rsid w:val="00681E7F"/>
    <w:rsid w:val="00682702"/>
    <w:rsid w:val="0068296E"/>
    <w:rsid w:val="00682ECB"/>
    <w:rsid w:val="006831B4"/>
    <w:rsid w:val="0068322B"/>
    <w:rsid w:val="006835D8"/>
    <w:rsid w:val="00683ECF"/>
    <w:rsid w:val="00684A95"/>
    <w:rsid w:val="0068696A"/>
    <w:rsid w:val="00686F53"/>
    <w:rsid w:val="00686F90"/>
    <w:rsid w:val="0068700D"/>
    <w:rsid w:val="00687366"/>
    <w:rsid w:val="0068755F"/>
    <w:rsid w:val="006879AA"/>
    <w:rsid w:val="00687AC3"/>
    <w:rsid w:val="00687B4A"/>
    <w:rsid w:val="00687B78"/>
    <w:rsid w:val="00687FC3"/>
    <w:rsid w:val="006902FA"/>
    <w:rsid w:val="006905F9"/>
    <w:rsid w:val="00691572"/>
    <w:rsid w:val="00692882"/>
    <w:rsid w:val="00692BB7"/>
    <w:rsid w:val="00692D3A"/>
    <w:rsid w:val="006930CA"/>
    <w:rsid w:val="0069354D"/>
    <w:rsid w:val="00693E25"/>
    <w:rsid w:val="0069475E"/>
    <w:rsid w:val="00694974"/>
    <w:rsid w:val="00694DB2"/>
    <w:rsid w:val="00694F11"/>
    <w:rsid w:val="00694F6F"/>
    <w:rsid w:val="00695AA2"/>
    <w:rsid w:val="006963A7"/>
    <w:rsid w:val="00696829"/>
    <w:rsid w:val="00696C85"/>
    <w:rsid w:val="00696F27"/>
    <w:rsid w:val="0069750E"/>
    <w:rsid w:val="00697529"/>
    <w:rsid w:val="0069795A"/>
    <w:rsid w:val="006A0179"/>
    <w:rsid w:val="006A03B0"/>
    <w:rsid w:val="006A0452"/>
    <w:rsid w:val="006A07C2"/>
    <w:rsid w:val="006A09C8"/>
    <w:rsid w:val="006A0A77"/>
    <w:rsid w:val="006A0CCF"/>
    <w:rsid w:val="006A14FE"/>
    <w:rsid w:val="006A1756"/>
    <w:rsid w:val="006A20E1"/>
    <w:rsid w:val="006A2EEC"/>
    <w:rsid w:val="006A3056"/>
    <w:rsid w:val="006A3128"/>
    <w:rsid w:val="006A330F"/>
    <w:rsid w:val="006A3496"/>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0B1"/>
    <w:rsid w:val="006B2825"/>
    <w:rsid w:val="006B2DA0"/>
    <w:rsid w:val="006B33B5"/>
    <w:rsid w:val="006B3B6D"/>
    <w:rsid w:val="006B3B9D"/>
    <w:rsid w:val="006B4EB7"/>
    <w:rsid w:val="006B5066"/>
    <w:rsid w:val="006B519C"/>
    <w:rsid w:val="006B5407"/>
    <w:rsid w:val="006B6286"/>
    <w:rsid w:val="006B6383"/>
    <w:rsid w:val="006B64D4"/>
    <w:rsid w:val="006B6530"/>
    <w:rsid w:val="006B67ED"/>
    <w:rsid w:val="006B6A24"/>
    <w:rsid w:val="006B70BA"/>
    <w:rsid w:val="006B719F"/>
    <w:rsid w:val="006B74A4"/>
    <w:rsid w:val="006B7B90"/>
    <w:rsid w:val="006B7C7C"/>
    <w:rsid w:val="006B7E59"/>
    <w:rsid w:val="006C01D4"/>
    <w:rsid w:val="006C01E2"/>
    <w:rsid w:val="006C07A6"/>
    <w:rsid w:val="006C0844"/>
    <w:rsid w:val="006C0E69"/>
    <w:rsid w:val="006C1751"/>
    <w:rsid w:val="006C19C1"/>
    <w:rsid w:val="006C207B"/>
    <w:rsid w:val="006C2393"/>
    <w:rsid w:val="006C24EA"/>
    <w:rsid w:val="006C3113"/>
    <w:rsid w:val="006C38AB"/>
    <w:rsid w:val="006C3BDE"/>
    <w:rsid w:val="006C3C8F"/>
    <w:rsid w:val="006C3DDD"/>
    <w:rsid w:val="006C3EB3"/>
    <w:rsid w:val="006C49EA"/>
    <w:rsid w:val="006C51A7"/>
    <w:rsid w:val="006C5433"/>
    <w:rsid w:val="006C5FDF"/>
    <w:rsid w:val="006C6381"/>
    <w:rsid w:val="006C671C"/>
    <w:rsid w:val="006C6C1C"/>
    <w:rsid w:val="006C7A27"/>
    <w:rsid w:val="006C7CA4"/>
    <w:rsid w:val="006C7EAF"/>
    <w:rsid w:val="006C7F25"/>
    <w:rsid w:val="006D035E"/>
    <w:rsid w:val="006D064B"/>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5DE"/>
    <w:rsid w:val="006D7698"/>
    <w:rsid w:val="006E02AB"/>
    <w:rsid w:val="006E02C5"/>
    <w:rsid w:val="006E09A1"/>
    <w:rsid w:val="006E142E"/>
    <w:rsid w:val="006E1EEA"/>
    <w:rsid w:val="006E298F"/>
    <w:rsid w:val="006E2E66"/>
    <w:rsid w:val="006E314B"/>
    <w:rsid w:val="006E36E6"/>
    <w:rsid w:val="006E398E"/>
    <w:rsid w:val="006E4AF4"/>
    <w:rsid w:val="006E4D6E"/>
    <w:rsid w:val="006E5012"/>
    <w:rsid w:val="006E5A72"/>
    <w:rsid w:val="006E5D10"/>
    <w:rsid w:val="006E68E5"/>
    <w:rsid w:val="006E761F"/>
    <w:rsid w:val="006E7AF8"/>
    <w:rsid w:val="006F0145"/>
    <w:rsid w:val="006F059E"/>
    <w:rsid w:val="006F0EAC"/>
    <w:rsid w:val="006F12B6"/>
    <w:rsid w:val="006F1E4B"/>
    <w:rsid w:val="006F20AD"/>
    <w:rsid w:val="006F2EFD"/>
    <w:rsid w:val="006F31EF"/>
    <w:rsid w:val="006F3B32"/>
    <w:rsid w:val="006F4F0A"/>
    <w:rsid w:val="006F4F98"/>
    <w:rsid w:val="006F6141"/>
    <w:rsid w:val="006F66E1"/>
    <w:rsid w:val="006F68A0"/>
    <w:rsid w:val="006F69EE"/>
    <w:rsid w:val="006F6B4D"/>
    <w:rsid w:val="006F6D33"/>
    <w:rsid w:val="006F79AC"/>
    <w:rsid w:val="00700BCA"/>
    <w:rsid w:val="00700E71"/>
    <w:rsid w:val="00701DE5"/>
    <w:rsid w:val="007028BA"/>
    <w:rsid w:val="00703017"/>
    <w:rsid w:val="0070395A"/>
    <w:rsid w:val="00703A71"/>
    <w:rsid w:val="00703CFE"/>
    <w:rsid w:val="00704252"/>
    <w:rsid w:val="00704510"/>
    <w:rsid w:val="007046DC"/>
    <w:rsid w:val="00704A78"/>
    <w:rsid w:val="00704DC8"/>
    <w:rsid w:val="00704E38"/>
    <w:rsid w:val="00705B66"/>
    <w:rsid w:val="00705B6A"/>
    <w:rsid w:val="00706427"/>
    <w:rsid w:val="00706765"/>
    <w:rsid w:val="00706C0E"/>
    <w:rsid w:val="0070729E"/>
    <w:rsid w:val="00707344"/>
    <w:rsid w:val="00711B01"/>
    <w:rsid w:val="00711C83"/>
    <w:rsid w:val="00711E7E"/>
    <w:rsid w:val="007124AF"/>
    <w:rsid w:val="007128B4"/>
    <w:rsid w:val="00712CC9"/>
    <w:rsid w:val="00712DDE"/>
    <w:rsid w:val="007133BA"/>
    <w:rsid w:val="00713E78"/>
    <w:rsid w:val="007141BF"/>
    <w:rsid w:val="0071466E"/>
    <w:rsid w:val="00715AE6"/>
    <w:rsid w:val="00715D5C"/>
    <w:rsid w:val="007162F1"/>
    <w:rsid w:val="00716DD3"/>
    <w:rsid w:val="00716E2A"/>
    <w:rsid w:val="00717165"/>
    <w:rsid w:val="0071720A"/>
    <w:rsid w:val="00717913"/>
    <w:rsid w:val="007205E0"/>
    <w:rsid w:val="00720666"/>
    <w:rsid w:val="007206C8"/>
    <w:rsid w:val="00720788"/>
    <w:rsid w:val="007209E9"/>
    <w:rsid w:val="00720B5D"/>
    <w:rsid w:val="00721619"/>
    <w:rsid w:val="0072211E"/>
    <w:rsid w:val="0072324A"/>
    <w:rsid w:val="00723588"/>
    <w:rsid w:val="00723678"/>
    <w:rsid w:val="007239A2"/>
    <w:rsid w:val="00723D32"/>
    <w:rsid w:val="007252FC"/>
    <w:rsid w:val="007267A4"/>
    <w:rsid w:val="007274EC"/>
    <w:rsid w:val="00727DED"/>
    <w:rsid w:val="007303FB"/>
    <w:rsid w:val="00730886"/>
    <w:rsid w:val="007308ED"/>
    <w:rsid w:val="007309EE"/>
    <w:rsid w:val="00730B54"/>
    <w:rsid w:val="0073110A"/>
    <w:rsid w:val="00731999"/>
    <w:rsid w:val="007326E9"/>
    <w:rsid w:val="00732778"/>
    <w:rsid w:val="007328BB"/>
    <w:rsid w:val="007329FD"/>
    <w:rsid w:val="00732AA5"/>
    <w:rsid w:val="00732F12"/>
    <w:rsid w:val="007336DD"/>
    <w:rsid w:val="00733769"/>
    <w:rsid w:val="0073419C"/>
    <w:rsid w:val="007341C4"/>
    <w:rsid w:val="007342D8"/>
    <w:rsid w:val="00734D40"/>
    <w:rsid w:val="00734DF2"/>
    <w:rsid w:val="00735663"/>
    <w:rsid w:val="007357B4"/>
    <w:rsid w:val="00736563"/>
    <w:rsid w:val="00736597"/>
    <w:rsid w:val="00737E96"/>
    <w:rsid w:val="0074093E"/>
    <w:rsid w:val="0074110A"/>
    <w:rsid w:val="007412F1"/>
    <w:rsid w:val="0074154C"/>
    <w:rsid w:val="007417E7"/>
    <w:rsid w:val="00741853"/>
    <w:rsid w:val="00741AA3"/>
    <w:rsid w:val="00742959"/>
    <w:rsid w:val="00742D0D"/>
    <w:rsid w:val="00742EA3"/>
    <w:rsid w:val="007433F2"/>
    <w:rsid w:val="00743822"/>
    <w:rsid w:val="007438D2"/>
    <w:rsid w:val="00743A5F"/>
    <w:rsid w:val="00744132"/>
    <w:rsid w:val="007447A6"/>
    <w:rsid w:val="00745089"/>
    <w:rsid w:val="0074514D"/>
    <w:rsid w:val="00745333"/>
    <w:rsid w:val="00745C41"/>
    <w:rsid w:val="00746414"/>
    <w:rsid w:val="00746963"/>
    <w:rsid w:val="00746972"/>
    <w:rsid w:val="00746C2B"/>
    <w:rsid w:val="007475F6"/>
    <w:rsid w:val="00747A68"/>
    <w:rsid w:val="00747B18"/>
    <w:rsid w:val="00747B56"/>
    <w:rsid w:val="00750163"/>
    <w:rsid w:val="00751005"/>
    <w:rsid w:val="00751147"/>
    <w:rsid w:val="007514CE"/>
    <w:rsid w:val="00751F33"/>
    <w:rsid w:val="0075220B"/>
    <w:rsid w:val="007524B3"/>
    <w:rsid w:val="007526C2"/>
    <w:rsid w:val="00752EB9"/>
    <w:rsid w:val="0075397D"/>
    <w:rsid w:val="00753BA8"/>
    <w:rsid w:val="00753C4C"/>
    <w:rsid w:val="007541E7"/>
    <w:rsid w:val="00754292"/>
    <w:rsid w:val="0075440A"/>
    <w:rsid w:val="00754758"/>
    <w:rsid w:val="007547C7"/>
    <w:rsid w:val="00754803"/>
    <w:rsid w:val="00754D8C"/>
    <w:rsid w:val="007552CF"/>
    <w:rsid w:val="007554EF"/>
    <w:rsid w:val="007563C3"/>
    <w:rsid w:val="007568A4"/>
    <w:rsid w:val="0075729B"/>
    <w:rsid w:val="00757597"/>
    <w:rsid w:val="00757661"/>
    <w:rsid w:val="00757FCD"/>
    <w:rsid w:val="00760A65"/>
    <w:rsid w:val="00760CBF"/>
    <w:rsid w:val="00760F2E"/>
    <w:rsid w:val="00761152"/>
    <w:rsid w:val="0076133D"/>
    <w:rsid w:val="007614C0"/>
    <w:rsid w:val="00762A20"/>
    <w:rsid w:val="007630DE"/>
    <w:rsid w:val="0076321B"/>
    <w:rsid w:val="007637FC"/>
    <w:rsid w:val="00763A5B"/>
    <w:rsid w:val="00763B87"/>
    <w:rsid w:val="007649BA"/>
    <w:rsid w:val="00764DED"/>
    <w:rsid w:val="00765456"/>
    <w:rsid w:val="00766D1C"/>
    <w:rsid w:val="007675FD"/>
    <w:rsid w:val="007676DA"/>
    <w:rsid w:val="00770501"/>
    <w:rsid w:val="007713BA"/>
    <w:rsid w:val="00771432"/>
    <w:rsid w:val="007720FB"/>
    <w:rsid w:val="007722BE"/>
    <w:rsid w:val="007722F4"/>
    <w:rsid w:val="0077257F"/>
    <w:rsid w:val="007728F3"/>
    <w:rsid w:val="00772B16"/>
    <w:rsid w:val="00772C86"/>
    <w:rsid w:val="007731EC"/>
    <w:rsid w:val="00774322"/>
    <w:rsid w:val="007748A4"/>
    <w:rsid w:val="00774B85"/>
    <w:rsid w:val="00774D93"/>
    <w:rsid w:val="00775B06"/>
    <w:rsid w:val="00775C57"/>
    <w:rsid w:val="00776025"/>
    <w:rsid w:val="00776091"/>
    <w:rsid w:val="00777F72"/>
    <w:rsid w:val="007801BF"/>
    <w:rsid w:val="00780C23"/>
    <w:rsid w:val="00780E57"/>
    <w:rsid w:val="00781002"/>
    <w:rsid w:val="00781011"/>
    <w:rsid w:val="00781454"/>
    <w:rsid w:val="00781585"/>
    <w:rsid w:val="00781653"/>
    <w:rsid w:val="00781A98"/>
    <w:rsid w:val="007821F6"/>
    <w:rsid w:val="007823D9"/>
    <w:rsid w:val="00784907"/>
    <w:rsid w:val="0078581D"/>
    <w:rsid w:val="00785DDE"/>
    <w:rsid w:val="00785FE2"/>
    <w:rsid w:val="00786083"/>
    <w:rsid w:val="00786190"/>
    <w:rsid w:val="0078697D"/>
    <w:rsid w:val="00786A0C"/>
    <w:rsid w:val="00787040"/>
    <w:rsid w:val="00790839"/>
    <w:rsid w:val="0079094A"/>
    <w:rsid w:val="00790AD6"/>
    <w:rsid w:val="0079109B"/>
    <w:rsid w:val="00791264"/>
    <w:rsid w:val="00792673"/>
    <w:rsid w:val="00793011"/>
    <w:rsid w:val="00793B9E"/>
    <w:rsid w:val="00793E75"/>
    <w:rsid w:val="00794104"/>
    <w:rsid w:val="007947C6"/>
    <w:rsid w:val="00794A18"/>
    <w:rsid w:val="00794DB9"/>
    <w:rsid w:val="007958A8"/>
    <w:rsid w:val="0079614C"/>
    <w:rsid w:val="007961A5"/>
    <w:rsid w:val="00796A98"/>
    <w:rsid w:val="00796CDE"/>
    <w:rsid w:val="0079772A"/>
    <w:rsid w:val="00797EC3"/>
    <w:rsid w:val="007A0AA4"/>
    <w:rsid w:val="007A1411"/>
    <w:rsid w:val="007A1E6C"/>
    <w:rsid w:val="007A26E7"/>
    <w:rsid w:val="007A28ED"/>
    <w:rsid w:val="007A2907"/>
    <w:rsid w:val="007A2DDB"/>
    <w:rsid w:val="007A36F3"/>
    <w:rsid w:val="007A3784"/>
    <w:rsid w:val="007A3822"/>
    <w:rsid w:val="007A3A91"/>
    <w:rsid w:val="007A3CF6"/>
    <w:rsid w:val="007A40CA"/>
    <w:rsid w:val="007A4494"/>
    <w:rsid w:val="007A47C0"/>
    <w:rsid w:val="007A4A8E"/>
    <w:rsid w:val="007A4C2A"/>
    <w:rsid w:val="007A5E19"/>
    <w:rsid w:val="007A604B"/>
    <w:rsid w:val="007A6445"/>
    <w:rsid w:val="007A6BAD"/>
    <w:rsid w:val="007A6EE7"/>
    <w:rsid w:val="007A6F5F"/>
    <w:rsid w:val="007A7611"/>
    <w:rsid w:val="007B01CE"/>
    <w:rsid w:val="007B0442"/>
    <w:rsid w:val="007B0D69"/>
    <w:rsid w:val="007B178B"/>
    <w:rsid w:val="007B1A06"/>
    <w:rsid w:val="007B1DF9"/>
    <w:rsid w:val="007B1EE7"/>
    <w:rsid w:val="007B26BA"/>
    <w:rsid w:val="007B33FE"/>
    <w:rsid w:val="007B37B1"/>
    <w:rsid w:val="007B38D1"/>
    <w:rsid w:val="007B404A"/>
    <w:rsid w:val="007B409D"/>
    <w:rsid w:val="007B4648"/>
    <w:rsid w:val="007B4FC2"/>
    <w:rsid w:val="007B5545"/>
    <w:rsid w:val="007B5692"/>
    <w:rsid w:val="007B56F8"/>
    <w:rsid w:val="007B57D8"/>
    <w:rsid w:val="007B59CD"/>
    <w:rsid w:val="007B5D8F"/>
    <w:rsid w:val="007B6EEC"/>
    <w:rsid w:val="007B6FD4"/>
    <w:rsid w:val="007B77CE"/>
    <w:rsid w:val="007B77ED"/>
    <w:rsid w:val="007C081C"/>
    <w:rsid w:val="007C0B3A"/>
    <w:rsid w:val="007C0E36"/>
    <w:rsid w:val="007C1828"/>
    <w:rsid w:val="007C1937"/>
    <w:rsid w:val="007C19BD"/>
    <w:rsid w:val="007C26D1"/>
    <w:rsid w:val="007C28BA"/>
    <w:rsid w:val="007C2AE3"/>
    <w:rsid w:val="007C3D23"/>
    <w:rsid w:val="007C4511"/>
    <w:rsid w:val="007C4B24"/>
    <w:rsid w:val="007C4BF8"/>
    <w:rsid w:val="007C4FE1"/>
    <w:rsid w:val="007C50BF"/>
    <w:rsid w:val="007C5E55"/>
    <w:rsid w:val="007C67AF"/>
    <w:rsid w:val="007C685B"/>
    <w:rsid w:val="007C6B0F"/>
    <w:rsid w:val="007C6E24"/>
    <w:rsid w:val="007C72AB"/>
    <w:rsid w:val="007C7B39"/>
    <w:rsid w:val="007C7E3A"/>
    <w:rsid w:val="007C7F35"/>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490"/>
    <w:rsid w:val="007D46CE"/>
    <w:rsid w:val="007D4754"/>
    <w:rsid w:val="007D4914"/>
    <w:rsid w:val="007D495C"/>
    <w:rsid w:val="007D4AC9"/>
    <w:rsid w:val="007D4DAE"/>
    <w:rsid w:val="007D4F82"/>
    <w:rsid w:val="007D51FA"/>
    <w:rsid w:val="007D52B8"/>
    <w:rsid w:val="007D57A3"/>
    <w:rsid w:val="007D5ACD"/>
    <w:rsid w:val="007D5CF1"/>
    <w:rsid w:val="007D5CF4"/>
    <w:rsid w:val="007D62A1"/>
    <w:rsid w:val="007D6873"/>
    <w:rsid w:val="007D7378"/>
    <w:rsid w:val="007D78CC"/>
    <w:rsid w:val="007D79F8"/>
    <w:rsid w:val="007E1342"/>
    <w:rsid w:val="007E169E"/>
    <w:rsid w:val="007E1A2A"/>
    <w:rsid w:val="007E1FCF"/>
    <w:rsid w:val="007E3661"/>
    <w:rsid w:val="007E3F04"/>
    <w:rsid w:val="007E4599"/>
    <w:rsid w:val="007E51CB"/>
    <w:rsid w:val="007E52A4"/>
    <w:rsid w:val="007E65D1"/>
    <w:rsid w:val="007E6982"/>
    <w:rsid w:val="007E6D4B"/>
    <w:rsid w:val="007F046B"/>
    <w:rsid w:val="007F15B7"/>
    <w:rsid w:val="007F1685"/>
    <w:rsid w:val="007F1835"/>
    <w:rsid w:val="007F1B24"/>
    <w:rsid w:val="007F2A4B"/>
    <w:rsid w:val="007F32ED"/>
    <w:rsid w:val="007F38F2"/>
    <w:rsid w:val="007F395A"/>
    <w:rsid w:val="007F411C"/>
    <w:rsid w:val="007F5001"/>
    <w:rsid w:val="007F501D"/>
    <w:rsid w:val="007F50EF"/>
    <w:rsid w:val="007F56A5"/>
    <w:rsid w:val="007F5BB8"/>
    <w:rsid w:val="007F688C"/>
    <w:rsid w:val="007F68B0"/>
    <w:rsid w:val="007F6B4C"/>
    <w:rsid w:val="007F740E"/>
    <w:rsid w:val="007F74CA"/>
    <w:rsid w:val="007F7835"/>
    <w:rsid w:val="007F795A"/>
    <w:rsid w:val="007F7C86"/>
    <w:rsid w:val="0080000B"/>
    <w:rsid w:val="008002D3"/>
    <w:rsid w:val="00800630"/>
    <w:rsid w:val="008008E1"/>
    <w:rsid w:val="00800DA3"/>
    <w:rsid w:val="00800FC3"/>
    <w:rsid w:val="008012F3"/>
    <w:rsid w:val="00801E84"/>
    <w:rsid w:val="008029F4"/>
    <w:rsid w:val="00802B6E"/>
    <w:rsid w:val="008030DF"/>
    <w:rsid w:val="008036B0"/>
    <w:rsid w:val="0080376D"/>
    <w:rsid w:val="00804078"/>
    <w:rsid w:val="008049B7"/>
    <w:rsid w:val="0080576A"/>
    <w:rsid w:val="00805BB8"/>
    <w:rsid w:val="00805DFD"/>
    <w:rsid w:val="00806360"/>
    <w:rsid w:val="00806634"/>
    <w:rsid w:val="008071D2"/>
    <w:rsid w:val="00807A21"/>
    <w:rsid w:val="00807CE3"/>
    <w:rsid w:val="008100E1"/>
    <w:rsid w:val="00810257"/>
    <w:rsid w:val="008103BA"/>
    <w:rsid w:val="00810896"/>
    <w:rsid w:val="00810E12"/>
    <w:rsid w:val="00812000"/>
    <w:rsid w:val="00812CA8"/>
    <w:rsid w:val="008135BB"/>
    <w:rsid w:val="00813765"/>
    <w:rsid w:val="00813EAF"/>
    <w:rsid w:val="008142BC"/>
    <w:rsid w:val="0081488D"/>
    <w:rsid w:val="008148B8"/>
    <w:rsid w:val="008154A5"/>
    <w:rsid w:val="00816170"/>
    <w:rsid w:val="00816F2E"/>
    <w:rsid w:val="00817192"/>
    <w:rsid w:val="0081779A"/>
    <w:rsid w:val="00817B65"/>
    <w:rsid w:val="00820479"/>
    <w:rsid w:val="0082199F"/>
    <w:rsid w:val="008227D0"/>
    <w:rsid w:val="00822F0C"/>
    <w:rsid w:val="00822F87"/>
    <w:rsid w:val="00822F89"/>
    <w:rsid w:val="00823E60"/>
    <w:rsid w:val="00823F69"/>
    <w:rsid w:val="0082460D"/>
    <w:rsid w:val="008250AB"/>
    <w:rsid w:val="008250F8"/>
    <w:rsid w:val="00825BB3"/>
    <w:rsid w:val="00825CC6"/>
    <w:rsid w:val="00825D6A"/>
    <w:rsid w:val="00826412"/>
    <w:rsid w:val="00826611"/>
    <w:rsid w:val="00826651"/>
    <w:rsid w:val="00826872"/>
    <w:rsid w:val="00826E12"/>
    <w:rsid w:val="008272DF"/>
    <w:rsid w:val="00827698"/>
    <w:rsid w:val="008307CA"/>
    <w:rsid w:val="00830E2B"/>
    <w:rsid w:val="00830E91"/>
    <w:rsid w:val="00830FD3"/>
    <w:rsid w:val="008319D8"/>
    <w:rsid w:val="00832BF6"/>
    <w:rsid w:val="008333BF"/>
    <w:rsid w:val="00834229"/>
    <w:rsid w:val="00834FC9"/>
    <w:rsid w:val="0083561B"/>
    <w:rsid w:val="0083627E"/>
    <w:rsid w:val="008363BD"/>
    <w:rsid w:val="008367C4"/>
    <w:rsid w:val="0083690A"/>
    <w:rsid w:val="00836E07"/>
    <w:rsid w:val="008372CD"/>
    <w:rsid w:val="00837483"/>
    <w:rsid w:val="00837B28"/>
    <w:rsid w:val="00837C18"/>
    <w:rsid w:val="00840046"/>
    <w:rsid w:val="00840661"/>
    <w:rsid w:val="008411BC"/>
    <w:rsid w:val="00841275"/>
    <w:rsid w:val="00841435"/>
    <w:rsid w:val="0084186C"/>
    <w:rsid w:val="008418C1"/>
    <w:rsid w:val="008419EB"/>
    <w:rsid w:val="00841B83"/>
    <w:rsid w:val="00843091"/>
    <w:rsid w:val="008430BD"/>
    <w:rsid w:val="00843142"/>
    <w:rsid w:val="008434CD"/>
    <w:rsid w:val="008436FA"/>
    <w:rsid w:val="00843B24"/>
    <w:rsid w:val="00843C33"/>
    <w:rsid w:val="00843C8D"/>
    <w:rsid w:val="00843CA0"/>
    <w:rsid w:val="00844222"/>
    <w:rsid w:val="008443AE"/>
    <w:rsid w:val="0084477E"/>
    <w:rsid w:val="008449B0"/>
    <w:rsid w:val="00844D4B"/>
    <w:rsid w:val="00844FA2"/>
    <w:rsid w:val="0084523D"/>
    <w:rsid w:val="0084579A"/>
    <w:rsid w:val="00846477"/>
    <w:rsid w:val="00846521"/>
    <w:rsid w:val="00846735"/>
    <w:rsid w:val="00846BFA"/>
    <w:rsid w:val="00847936"/>
    <w:rsid w:val="00850857"/>
    <w:rsid w:val="00850E04"/>
    <w:rsid w:val="00850EB7"/>
    <w:rsid w:val="00850EE2"/>
    <w:rsid w:val="008516AD"/>
    <w:rsid w:val="0085183D"/>
    <w:rsid w:val="00851D9D"/>
    <w:rsid w:val="00851E75"/>
    <w:rsid w:val="00852231"/>
    <w:rsid w:val="00852D17"/>
    <w:rsid w:val="00853AFD"/>
    <w:rsid w:val="0085446D"/>
    <w:rsid w:val="008549C4"/>
    <w:rsid w:val="008549D6"/>
    <w:rsid w:val="00854B93"/>
    <w:rsid w:val="00854EBD"/>
    <w:rsid w:val="008550D0"/>
    <w:rsid w:val="00855119"/>
    <w:rsid w:val="00855A2D"/>
    <w:rsid w:val="00855E15"/>
    <w:rsid w:val="008560FF"/>
    <w:rsid w:val="00856B1C"/>
    <w:rsid w:val="00856D30"/>
    <w:rsid w:val="00857141"/>
    <w:rsid w:val="00857234"/>
    <w:rsid w:val="00857469"/>
    <w:rsid w:val="008575A4"/>
    <w:rsid w:val="00861090"/>
    <w:rsid w:val="00862321"/>
    <w:rsid w:val="008627AE"/>
    <w:rsid w:val="00863063"/>
    <w:rsid w:val="008633EE"/>
    <w:rsid w:val="008634B4"/>
    <w:rsid w:val="008636A5"/>
    <w:rsid w:val="0086378F"/>
    <w:rsid w:val="00863BEA"/>
    <w:rsid w:val="00863E9D"/>
    <w:rsid w:val="008640E0"/>
    <w:rsid w:val="00864807"/>
    <w:rsid w:val="00866261"/>
    <w:rsid w:val="0086667E"/>
    <w:rsid w:val="008667AD"/>
    <w:rsid w:val="00867342"/>
    <w:rsid w:val="0086756C"/>
    <w:rsid w:val="00867DEA"/>
    <w:rsid w:val="00871188"/>
    <w:rsid w:val="00871456"/>
    <w:rsid w:val="00871B28"/>
    <w:rsid w:val="00871DD1"/>
    <w:rsid w:val="00872491"/>
    <w:rsid w:val="00873169"/>
    <w:rsid w:val="008749A7"/>
    <w:rsid w:val="008749AE"/>
    <w:rsid w:val="0087511C"/>
    <w:rsid w:val="00875756"/>
    <w:rsid w:val="0087579C"/>
    <w:rsid w:val="00875E07"/>
    <w:rsid w:val="00875FB1"/>
    <w:rsid w:val="0087666A"/>
    <w:rsid w:val="00876AAB"/>
    <w:rsid w:val="00876BBC"/>
    <w:rsid w:val="00877255"/>
    <w:rsid w:val="00880296"/>
    <w:rsid w:val="0088032A"/>
    <w:rsid w:val="00880645"/>
    <w:rsid w:val="00880C13"/>
    <w:rsid w:val="00880C4C"/>
    <w:rsid w:val="008811DD"/>
    <w:rsid w:val="008811F5"/>
    <w:rsid w:val="008820E9"/>
    <w:rsid w:val="00882497"/>
    <w:rsid w:val="00882995"/>
    <w:rsid w:val="00882D2E"/>
    <w:rsid w:val="00883304"/>
    <w:rsid w:val="008836E9"/>
    <w:rsid w:val="00883A99"/>
    <w:rsid w:val="00883F9D"/>
    <w:rsid w:val="00884133"/>
    <w:rsid w:val="008842AD"/>
    <w:rsid w:val="00884A0C"/>
    <w:rsid w:val="00885515"/>
    <w:rsid w:val="00885B4B"/>
    <w:rsid w:val="00885F25"/>
    <w:rsid w:val="00885F85"/>
    <w:rsid w:val="00886DA6"/>
    <w:rsid w:val="0089013B"/>
    <w:rsid w:val="00890698"/>
    <w:rsid w:val="00890DC3"/>
    <w:rsid w:val="00891527"/>
    <w:rsid w:val="008917EC"/>
    <w:rsid w:val="008919E3"/>
    <w:rsid w:val="00891FAC"/>
    <w:rsid w:val="00892553"/>
    <w:rsid w:val="008928C6"/>
    <w:rsid w:val="00892D3C"/>
    <w:rsid w:val="00893054"/>
    <w:rsid w:val="0089413B"/>
    <w:rsid w:val="008943F2"/>
    <w:rsid w:val="0089489E"/>
    <w:rsid w:val="00895A3A"/>
    <w:rsid w:val="00895A7F"/>
    <w:rsid w:val="008963DD"/>
    <w:rsid w:val="008965CD"/>
    <w:rsid w:val="00896D17"/>
    <w:rsid w:val="00897121"/>
    <w:rsid w:val="008971D4"/>
    <w:rsid w:val="0089728B"/>
    <w:rsid w:val="00897555"/>
    <w:rsid w:val="00897F62"/>
    <w:rsid w:val="008A01C9"/>
    <w:rsid w:val="008A07A9"/>
    <w:rsid w:val="008A0CF6"/>
    <w:rsid w:val="008A0FF5"/>
    <w:rsid w:val="008A134C"/>
    <w:rsid w:val="008A1388"/>
    <w:rsid w:val="008A14C7"/>
    <w:rsid w:val="008A1C3C"/>
    <w:rsid w:val="008A3459"/>
    <w:rsid w:val="008A3513"/>
    <w:rsid w:val="008A3593"/>
    <w:rsid w:val="008A35AB"/>
    <w:rsid w:val="008A3D66"/>
    <w:rsid w:val="008A3DD4"/>
    <w:rsid w:val="008A3E66"/>
    <w:rsid w:val="008A40A2"/>
    <w:rsid w:val="008A4A74"/>
    <w:rsid w:val="008A4DC9"/>
    <w:rsid w:val="008A4E07"/>
    <w:rsid w:val="008A524B"/>
    <w:rsid w:val="008A5750"/>
    <w:rsid w:val="008A5D1E"/>
    <w:rsid w:val="008A5D62"/>
    <w:rsid w:val="008A5E1B"/>
    <w:rsid w:val="008A645A"/>
    <w:rsid w:val="008A663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6F5"/>
    <w:rsid w:val="008B5C51"/>
    <w:rsid w:val="008B5C59"/>
    <w:rsid w:val="008B68C9"/>
    <w:rsid w:val="008B6B41"/>
    <w:rsid w:val="008B6BA2"/>
    <w:rsid w:val="008B6F33"/>
    <w:rsid w:val="008B71B9"/>
    <w:rsid w:val="008B7532"/>
    <w:rsid w:val="008B76DD"/>
    <w:rsid w:val="008B7931"/>
    <w:rsid w:val="008B7C9B"/>
    <w:rsid w:val="008C00F8"/>
    <w:rsid w:val="008C012C"/>
    <w:rsid w:val="008C0D9B"/>
    <w:rsid w:val="008C1217"/>
    <w:rsid w:val="008C1A9B"/>
    <w:rsid w:val="008C1EEF"/>
    <w:rsid w:val="008C27F9"/>
    <w:rsid w:val="008C2909"/>
    <w:rsid w:val="008C322F"/>
    <w:rsid w:val="008C32BF"/>
    <w:rsid w:val="008C3B8C"/>
    <w:rsid w:val="008C3C8E"/>
    <w:rsid w:val="008C3E32"/>
    <w:rsid w:val="008C428B"/>
    <w:rsid w:val="008C46C2"/>
    <w:rsid w:val="008C4CED"/>
    <w:rsid w:val="008C5056"/>
    <w:rsid w:val="008C50AE"/>
    <w:rsid w:val="008C5522"/>
    <w:rsid w:val="008C6363"/>
    <w:rsid w:val="008C64DF"/>
    <w:rsid w:val="008C6A3C"/>
    <w:rsid w:val="008C6EE6"/>
    <w:rsid w:val="008C6F47"/>
    <w:rsid w:val="008C71BB"/>
    <w:rsid w:val="008C79F1"/>
    <w:rsid w:val="008C7B5E"/>
    <w:rsid w:val="008C7C1C"/>
    <w:rsid w:val="008D0990"/>
    <w:rsid w:val="008D09A5"/>
    <w:rsid w:val="008D1412"/>
    <w:rsid w:val="008D1758"/>
    <w:rsid w:val="008D1EC8"/>
    <w:rsid w:val="008D2155"/>
    <w:rsid w:val="008D227A"/>
    <w:rsid w:val="008D2342"/>
    <w:rsid w:val="008D2374"/>
    <w:rsid w:val="008D23ED"/>
    <w:rsid w:val="008D28D0"/>
    <w:rsid w:val="008D2B67"/>
    <w:rsid w:val="008D3126"/>
    <w:rsid w:val="008D33CC"/>
    <w:rsid w:val="008D34DD"/>
    <w:rsid w:val="008D3DEC"/>
    <w:rsid w:val="008D5459"/>
    <w:rsid w:val="008D5610"/>
    <w:rsid w:val="008D5856"/>
    <w:rsid w:val="008D6B0A"/>
    <w:rsid w:val="008D6C91"/>
    <w:rsid w:val="008D6CB6"/>
    <w:rsid w:val="008D6DF5"/>
    <w:rsid w:val="008D7027"/>
    <w:rsid w:val="008D76EC"/>
    <w:rsid w:val="008D79ED"/>
    <w:rsid w:val="008D7A09"/>
    <w:rsid w:val="008E062F"/>
    <w:rsid w:val="008E06CA"/>
    <w:rsid w:val="008E082F"/>
    <w:rsid w:val="008E0E72"/>
    <w:rsid w:val="008E1CEB"/>
    <w:rsid w:val="008E343C"/>
    <w:rsid w:val="008E34C7"/>
    <w:rsid w:val="008E357B"/>
    <w:rsid w:val="008E3E4F"/>
    <w:rsid w:val="008E46A6"/>
    <w:rsid w:val="008E5077"/>
    <w:rsid w:val="008E586B"/>
    <w:rsid w:val="008E5B26"/>
    <w:rsid w:val="008E6281"/>
    <w:rsid w:val="008E687A"/>
    <w:rsid w:val="008E6916"/>
    <w:rsid w:val="008E7059"/>
    <w:rsid w:val="008E719C"/>
    <w:rsid w:val="008E75DE"/>
    <w:rsid w:val="008E7646"/>
    <w:rsid w:val="008E7B8F"/>
    <w:rsid w:val="008E7DB7"/>
    <w:rsid w:val="008E7F8C"/>
    <w:rsid w:val="008F00DC"/>
    <w:rsid w:val="008F0CB8"/>
    <w:rsid w:val="008F17F9"/>
    <w:rsid w:val="008F1AE9"/>
    <w:rsid w:val="008F1CBB"/>
    <w:rsid w:val="008F266A"/>
    <w:rsid w:val="008F3120"/>
    <w:rsid w:val="008F34A0"/>
    <w:rsid w:val="008F36E6"/>
    <w:rsid w:val="008F39C4"/>
    <w:rsid w:val="008F3ED2"/>
    <w:rsid w:val="008F51A8"/>
    <w:rsid w:val="008F52C1"/>
    <w:rsid w:val="008F5531"/>
    <w:rsid w:val="008F5965"/>
    <w:rsid w:val="008F5B3E"/>
    <w:rsid w:val="008F6620"/>
    <w:rsid w:val="008F6B84"/>
    <w:rsid w:val="008F6FBB"/>
    <w:rsid w:val="008F7177"/>
    <w:rsid w:val="008F7229"/>
    <w:rsid w:val="008F752C"/>
    <w:rsid w:val="008F7900"/>
    <w:rsid w:val="008F7B4A"/>
    <w:rsid w:val="009000C2"/>
    <w:rsid w:val="00900698"/>
    <w:rsid w:val="00900911"/>
    <w:rsid w:val="00900EC0"/>
    <w:rsid w:val="00902166"/>
    <w:rsid w:val="009022AE"/>
    <w:rsid w:val="009024DF"/>
    <w:rsid w:val="00902ACB"/>
    <w:rsid w:val="00902C79"/>
    <w:rsid w:val="00902C91"/>
    <w:rsid w:val="00902E65"/>
    <w:rsid w:val="00903301"/>
    <w:rsid w:val="00903D99"/>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0896"/>
    <w:rsid w:val="00911F21"/>
    <w:rsid w:val="00911F58"/>
    <w:rsid w:val="00912A60"/>
    <w:rsid w:val="00912E49"/>
    <w:rsid w:val="009131EE"/>
    <w:rsid w:val="00913258"/>
    <w:rsid w:val="00913B46"/>
    <w:rsid w:val="00913C77"/>
    <w:rsid w:val="009147BF"/>
    <w:rsid w:val="009149B3"/>
    <w:rsid w:val="00915775"/>
    <w:rsid w:val="00915BE2"/>
    <w:rsid w:val="00915BF1"/>
    <w:rsid w:val="00915C89"/>
    <w:rsid w:val="00916B66"/>
    <w:rsid w:val="00916CCA"/>
    <w:rsid w:val="009175CD"/>
    <w:rsid w:val="00917AEC"/>
    <w:rsid w:val="00920A24"/>
    <w:rsid w:val="00920CB4"/>
    <w:rsid w:val="00921258"/>
    <w:rsid w:val="00922563"/>
    <w:rsid w:val="00924302"/>
    <w:rsid w:val="00925056"/>
    <w:rsid w:val="0092521F"/>
    <w:rsid w:val="0092556E"/>
    <w:rsid w:val="00925E68"/>
    <w:rsid w:val="00925F38"/>
    <w:rsid w:val="0092681F"/>
    <w:rsid w:val="009269AA"/>
    <w:rsid w:val="00926B47"/>
    <w:rsid w:val="00927472"/>
    <w:rsid w:val="00927BA4"/>
    <w:rsid w:val="00927F5D"/>
    <w:rsid w:val="00930031"/>
    <w:rsid w:val="0093056F"/>
    <w:rsid w:val="00931259"/>
    <w:rsid w:val="009336CF"/>
    <w:rsid w:val="00933B8B"/>
    <w:rsid w:val="00933E98"/>
    <w:rsid w:val="009340DC"/>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07A3"/>
    <w:rsid w:val="00941246"/>
    <w:rsid w:val="0094210B"/>
    <w:rsid w:val="009428BD"/>
    <w:rsid w:val="00942A1D"/>
    <w:rsid w:val="00942A38"/>
    <w:rsid w:val="00942C3D"/>
    <w:rsid w:val="009430D2"/>
    <w:rsid w:val="00943464"/>
    <w:rsid w:val="00943B31"/>
    <w:rsid w:val="00944B7A"/>
    <w:rsid w:val="00944CC7"/>
    <w:rsid w:val="00944CEE"/>
    <w:rsid w:val="0094583F"/>
    <w:rsid w:val="009462CD"/>
    <w:rsid w:val="009469B4"/>
    <w:rsid w:val="0094732E"/>
    <w:rsid w:val="0094737A"/>
    <w:rsid w:val="00947A12"/>
    <w:rsid w:val="00950041"/>
    <w:rsid w:val="00950B68"/>
    <w:rsid w:val="00950F58"/>
    <w:rsid w:val="00951045"/>
    <w:rsid w:val="00951412"/>
    <w:rsid w:val="00952B77"/>
    <w:rsid w:val="00952BA8"/>
    <w:rsid w:val="00952BD3"/>
    <w:rsid w:val="00952D24"/>
    <w:rsid w:val="00952DA4"/>
    <w:rsid w:val="00952FC2"/>
    <w:rsid w:val="00953331"/>
    <w:rsid w:val="009536A4"/>
    <w:rsid w:val="009540C9"/>
    <w:rsid w:val="00954EB6"/>
    <w:rsid w:val="0095503E"/>
    <w:rsid w:val="009555BC"/>
    <w:rsid w:val="009561D7"/>
    <w:rsid w:val="00956C12"/>
    <w:rsid w:val="00956D23"/>
    <w:rsid w:val="00956EDE"/>
    <w:rsid w:val="00956F82"/>
    <w:rsid w:val="0095711E"/>
    <w:rsid w:val="009573A8"/>
    <w:rsid w:val="00957D7E"/>
    <w:rsid w:val="00957D97"/>
    <w:rsid w:val="0096059C"/>
    <w:rsid w:val="00960B54"/>
    <w:rsid w:val="00961BAA"/>
    <w:rsid w:val="00961CAC"/>
    <w:rsid w:val="009622FC"/>
    <w:rsid w:val="00962419"/>
    <w:rsid w:val="009624A1"/>
    <w:rsid w:val="00963308"/>
    <w:rsid w:val="00963BCC"/>
    <w:rsid w:val="00964E20"/>
    <w:rsid w:val="009654DE"/>
    <w:rsid w:val="009658ED"/>
    <w:rsid w:val="00965924"/>
    <w:rsid w:val="00965B1A"/>
    <w:rsid w:val="00965CA7"/>
    <w:rsid w:val="00965F3D"/>
    <w:rsid w:val="0096615B"/>
    <w:rsid w:val="00967B14"/>
    <w:rsid w:val="00967F3D"/>
    <w:rsid w:val="00970729"/>
    <w:rsid w:val="00970F97"/>
    <w:rsid w:val="009710D2"/>
    <w:rsid w:val="00971279"/>
    <w:rsid w:val="0097138A"/>
    <w:rsid w:val="009717AD"/>
    <w:rsid w:val="00971AAA"/>
    <w:rsid w:val="00971C2D"/>
    <w:rsid w:val="00971F19"/>
    <w:rsid w:val="00971F63"/>
    <w:rsid w:val="009738AA"/>
    <w:rsid w:val="009738B6"/>
    <w:rsid w:val="00973E93"/>
    <w:rsid w:val="00974545"/>
    <w:rsid w:val="00974599"/>
    <w:rsid w:val="00974B30"/>
    <w:rsid w:val="00974B62"/>
    <w:rsid w:val="00974EB1"/>
    <w:rsid w:val="00975704"/>
    <w:rsid w:val="00975C16"/>
    <w:rsid w:val="00977CB6"/>
    <w:rsid w:val="0098002C"/>
    <w:rsid w:val="0098066C"/>
    <w:rsid w:val="00980815"/>
    <w:rsid w:val="00981383"/>
    <w:rsid w:val="00981531"/>
    <w:rsid w:val="009817B2"/>
    <w:rsid w:val="0098197D"/>
    <w:rsid w:val="00981988"/>
    <w:rsid w:val="00981D03"/>
    <w:rsid w:val="00981DD6"/>
    <w:rsid w:val="00982669"/>
    <w:rsid w:val="00983168"/>
    <w:rsid w:val="009833B9"/>
    <w:rsid w:val="00983FF8"/>
    <w:rsid w:val="009840EA"/>
    <w:rsid w:val="009847C6"/>
    <w:rsid w:val="00984A62"/>
    <w:rsid w:val="0098506B"/>
    <w:rsid w:val="0098527B"/>
    <w:rsid w:val="009856D7"/>
    <w:rsid w:val="00986881"/>
    <w:rsid w:val="009879A2"/>
    <w:rsid w:val="009902F4"/>
    <w:rsid w:val="00990617"/>
    <w:rsid w:val="0099115F"/>
    <w:rsid w:val="009917CA"/>
    <w:rsid w:val="0099184C"/>
    <w:rsid w:val="009920BB"/>
    <w:rsid w:val="009920D1"/>
    <w:rsid w:val="009921BF"/>
    <w:rsid w:val="009922CE"/>
    <w:rsid w:val="009924B7"/>
    <w:rsid w:val="00992590"/>
    <w:rsid w:val="00992601"/>
    <w:rsid w:val="0099289F"/>
    <w:rsid w:val="009929C9"/>
    <w:rsid w:val="00992E7F"/>
    <w:rsid w:val="00992F58"/>
    <w:rsid w:val="009933F6"/>
    <w:rsid w:val="0099378C"/>
    <w:rsid w:val="00993D3A"/>
    <w:rsid w:val="00993FFC"/>
    <w:rsid w:val="00994AAD"/>
    <w:rsid w:val="00994FC3"/>
    <w:rsid w:val="0099516A"/>
    <w:rsid w:val="009953C0"/>
    <w:rsid w:val="00995455"/>
    <w:rsid w:val="0099666C"/>
    <w:rsid w:val="00996B6A"/>
    <w:rsid w:val="00996FD3"/>
    <w:rsid w:val="00997213"/>
    <w:rsid w:val="00997981"/>
    <w:rsid w:val="00997A82"/>
    <w:rsid w:val="009A09AA"/>
    <w:rsid w:val="009A0C55"/>
    <w:rsid w:val="009A0FB6"/>
    <w:rsid w:val="009A145D"/>
    <w:rsid w:val="009A17DA"/>
    <w:rsid w:val="009A1A91"/>
    <w:rsid w:val="009A1D0B"/>
    <w:rsid w:val="009A1E1E"/>
    <w:rsid w:val="009A252E"/>
    <w:rsid w:val="009A27F4"/>
    <w:rsid w:val="009A2C69"/>
    <w:rsid w:val="009A2E57"/>
    <w:rsid w:val="009A3C0F"/>
    <w:rsid w:val="009A4799"/>
    <w:rsid w:val="009A5294"/>
    <w:rsid w:val="009A53D6"/>
    <w:rsid w:val="009A5698"/>
    <w:rsid w:val="009A56BF"/>
    <w:rsid w:val="009A58D5"/>
    <w:rsid w:val="009A59A2"/>
    <w:rsid w:val="009A609B"/>
    <w:rsid w:val="009A6E36"/>
    <w:rsid w:val="009A7022"/>
    <w:rsid w:val="009A709C"/>
    <w:rsid w:val="009A74A4"/>
    <w:rsid w:val="009A7E1D"/>
    <w:rsid w:val="009B1D8F"/>
    <w:rsid w:val="009B2222"/>
    <w:rsid w:val="009B27AB"/>
    <w:rsid w:val="009B2895"/>
    <w:rsid w:val="009B2958"/>
    <w:rsid w:val="009B29B6"/>
    <w:rsid w:val="009B2D9F"/>
    <w:rsid w:val="009B2F2D"/>
    <w:rsid w:val="009B2F3A"/>
    <w:rsid w:val="009B2FBE"/>
    <w:rsid w:val="009B3559"/>
    <w:rsid w:val="009B3565"/>
    <w:rsid w:val="009B4059"/>
    <w:rsid w:val="009B432F"/>
    <w:rsid w:val="009B4703"/>
    <w:rsid w:val="009B483E"/>
    <w:rsid w:val="009B50EE"/>
    <w:rsid w:val="009B5340"/>
    <w:rsid w:val="009B5D00"/>
    <w:rsid w:val="009B5D29"/>
    <w:rsid w:val="009B5DA5"/>
    <w:rsid w:val="009B5EB1"/>
    <w:rsid w:val="009B5FD5"/>
    <w:rsid w:val="009B6D86"/>
    <w:rsid w:val="009B6EB6"/>
    <w:rsid w:val="009B75DD"/>
    <w:rsid w:val="009B77BC"/>
    <w:rsid w:val="009C2569"/>
    <w:rsid w:val="009C2666"/>
    <w:rsid w:val="009C29DF"/>
    <w:rsid w:val="009C2C4B"/>
    <w:rsid w:val="009C2D62"/>
    <w:rsid w:val="009C2EE1"/>
    <w:rsid w:val="009C30E6"/>
    <w:rsid w:val="009C329E"/>
    <w:rsid w:val="009C4965"/>
    <w:rsid w:val="009C53BE"/>
    <w:rsid w:val="009C5F98"/>
    <w:rsid w:val="009C62F1"/>
    <w:rsid w:val="009C6B67"/>
    <w:rsid w:val="009C6E20"/>
    <w:rsid w:val="009C70D0"/>
    <w:rsid w:val="009C71D0"/>
    <w:rsid w:val="009C74DA"/>
    <w:rsid w:val="009C7AAC"/>
    <w:rsid w:val="009C7BEB"/>
    <w:rsid w:val="009D027F"/>
    <w:rsid w:val="009D0328"/>
    <w:rsid w:val="009D1A45"/>
    <w:rsid w:val="009D1AD0"/>
    <w:rsid w:val="009D1D8A"/>
    <w:rsid w:val="009D1EC6"/>
    <w:rsid w:val="009D21D8"/>
    <w:rsid w:val="009D2878"/>
    <w:rsid w:val="009D2B3C"/>
    <w:rsid w:val="009D372F"/>
    <w:rsid w:val="009D42A4"/>
    <w:rsid w:val="009D42B0"/>
    <w:rsid w:val="009D4841"/>
    <w:rsid w:val="009D48F2"/>
    <w:rsid w:val="009D4A88"/>
    <w:rsid w:val="009D511E"/>
    <w:rsid w:val="009D512D"/>
    <w:rsid w:val="009D51A2"/>
    <w:rsid w:val="009D564E"/>
    <w:rsid w:val="009D5F41"/>
    <w:rsid w:val="009D6BB9"/>
    <w:rsid w:val="009D6F2C"/>
    <w:rsid w:val="009D78E6"/>
    <w:rsid w:val="009D79C9"/>
    <w:rsid w:val="009D7A68"/>
    <w:rsid w:val="009E0114"/>
    <w:rsid w:val="009E0373"/>
    <w:rsid w:val="009E0387"/>
    <w:rsid w:val="009E0B13"/>
    <w:rsid w:val="009E0DCD"/>
    <w:rsid w:val="009E0F7A"/>
    <w:rsid w:val="009E1370"/>
    <w:rsid w:val="009E17A7"/>
    <w:rsid w:val="009E2A40"/>
    <w:rsid w:val="009E2A86"/>
    <w:rsid w:val="009E2D1E"/>
    <w:rsid w:val="009E2FB2"/>
    <w:rsid w:val="009E35BC"/>
    <w:rsid w:val="009E380A"/>
    <w:rsid w:val="009E4408"/>
    <w:rsid w:val="009E4447"/>
    <w:rsid w:val="009E5136"/>
    <w:rsid w:val="009E535F"/>
    <w:rsid w:val="009E54AD"/>
    <w:rsid w:val="009E5844"/>
    <w:rsid w:val="009E592A"/>
    <w:rsid w:val="009E59CA"/>
    <w:rsid w:val="009E5AA9"/>
    <w:rsid w:val="009E607B"/>
    <w:rsid w:val="009E61A4"/>
    <w:rsid w:val="009E6D04"/>
    <w:rsid w:val="009E7560"/>
    <w:rsid w:val="009F063A"/>
    <w:rsid w:val="009F0DF7"/>
    <w:rsid w:val="009F1052"/>
    <w:rsid w:val="009F16B1"/>
    <w:rsid w:val="009F1910"/>
    <w:rsid w:val="009F1E47"/>
    <w:rsid w:val="009F2322"/>
    <w:rsid w:val="009F258B"/>
    <w:rsid w:val="009F27AB"/>
    <w:rsid w:val="009F283A"/>
    <w:rsid w:val="009F2B74"/>
    <w:rsid w:val="009F32FA"/>
    <w:rsid w:val="009F39E6"/>
    <w:rsid w:val="009F3BF7"/>
    <w:rsid w:val="009F449A"/>
    <w:rsid w:val="009F4AF1"/>
    <w:rsid w:val="009F6292"/>
    <w:rsid w:val="009F6706"/>
    <w:rsid w:val="009F6E2B"/>
    <w:rsid w:val="009F752E"/>
    <w:rsid w:val="009F76C5"/>
    <w:rsid w:val="00A005E7"/>
    <w:rsid w:val="00A00A33"/>
    <w:rsid w:val="00A01393"/>
    <w:rsid w:val="00A02985"/>
    <w:rsid w:val="00A03433"/>
    <w:rsid w:val="00A03478"/>
    <w:rsid w:val="00A0359E"/>
    <w:rsid w:val="00A03B9C"/>
    <w:rsid w:val="00A04087"/>
    <w:rsid w:val="00A04334"/>
    <w:rsid w:val="00A04540"/>
    <w:rsid w:val="00A0473B"/>
    <w:rsid w:val="00A04868"/>
    <w:rsid w:val="00A05426"/>
    <w:rsid w:val="00A05998"/>
    <w:rsid w:val="00A065AF"/>
    <w:rsid w:val="00A0667C"/>
    <w:rsid w:val="00A069BF"/>
    <w:rsid w:val="00A079D8"/>
    <w:rsid w:val="00A07A1B"/>
    <w:rsid w:val="00A07AB0"/>
    <w:rsid w:val="00A102AF"/>
    <w:rsid w:val="00A10B96"/>
    <w:rsid w:val="00A10E9D"/>
    <w:rsid w:val="00A111A3"/>
    <w:rsid w:val="00A11736"/>
    <w:rsid w:val="00A11BE8"/>
    <w:rsid w:val="00A12172"/>
    <w:rsid w:val="00A124FF"/>
    <w:rsid w:val="00A129FA"/>
    <w:rsid w:val="00A13BA8"/>
    <w:rsid w:val="00A13C98"/>
    <w:rsid w:val="00A140EF"/>
    <w:rsid w:val="00A143B1"/>
    <w:rsid w:val="00A14CC8"/>
    <w:rsid w:val="00A15511"/>
    <w:rsid w:val="00A15630"/>
    <w:rsid w:val="00A157CE"/>
    <w:rsid w:val="00A15AD2"/>
    <w:rsid w:val="00A15C5F"/>
    <w:rsid w:val="00A15E28"/>
    <w:rsid w:val="00A1679F"/>
    <w:rsid w:val="00A167AC"/>
    <w:rsid w:val="00A168C3"/>
    <w:rsid w:val="00A16ACA"/>
    <w:rsid w:val="00A16C0A"/>
    <w:rsid w:val="00A16EB0"/>
    <w:rsid w:val="00A174AB"/>
    <w:rsid w:val="00A17774"/>
    <w:rsid w:val="00A17A21"/>
    <w:rsid w:val="00A20CFE"/>
    <w:rsid w:val="00A21E1F"/>
    <w:rsid w:val="00A21ECF"/>
    <w:rsid w:val="00A22654"/>
    <w:rsid w:val="00A228F7"/>
    <w:rsid w:val="00A2395C"/>
    <w:rsid w:val="00A23B80"/>
    <w:rsid w:val="00A248B8"/>
    <w:rsid w:val="00A24C9C"/>
    <w:rsid w:val="00A25347"/>
    <w:rsid w:val="00A25449"/>
    <w:rsid w:val="00A257F1"/>
    <w:rsid w:val="00A26267"/>
    <w:rsid w:val="00A26390"/>
    <w:rsid w:val="00A26943"/>
    <w:rsid w:val="00A27064"/>
    <w:rsid w:val="00A2760B"/>
    <w:rsid w:val="00A276B5"/>
    <w:rsid w:val="00A27D51"/>
    <w:rsid w:val="00A30306"/>
    <w:rsid w:val="00A30595"/>
    <w:rsid w:val="00A30C59"/>
    <w:rsid w:val="00A311BC"/>
    <w:rsid w:val="00A315A6"/>
    <w:rsid w:val="00A31B70"/>
    <w:rsid w:val="00A31C21"/>
    <w:rsid w:val="00A31D3A"/>
    <w:rsid w:val="00A31E72"/>
    <w:rsid w:val="00A323DC"/>
    <w:rsid w:val="00A32F21"/>
    <w:rsid w:val="00A334A0"/>
    <w:rsid w:val="00A334BD"/>
    <w:rsid w:val="00A33AB7"/>
    <w:rsid w:val="00A346D3"/>
    <w:rsid w:val="00A34B47"/>
    <w:rsid w:val="00A351C9"/>
    <w:rsid w:val="00A355CC"/>
    <w:rsid w:val="00A35D10"/>
    <w:rsid w:val="00A360F9"/>
    <w:rsid w:val="00A3641B"/>
    <w:rsid w:val="00A36794"/>
    <w:rsid w:val="00A36A1D"/>
    <w:rsid w:val="00A36BE1"/>
    <w:rsid w:val="00A36DEE"/>
    <w:rsid w:val="00A37222"/>
    <w:rsid w:val="00A37288"/>
    <w:rsid w:val="00A37B19"/>
    <w:rsid w:val="00A37FC0"/>
    <w:rsid w:val="00A4164E"/>
    <w:rsid w:val="00A416AE"/>
    <w:rsid w:val="00A419AA"/>
    <w:rsid w:val="00A41CE4"/>
    <w:rsid w:val="00A4255A"/>
    <w:rsid w:val="00A4267F"/>
    <w:rsid w:val="00A42E9E"/>
    <w:rsid w:val="00A43A89"/>
    <w:rsid w:val="00A44049"/>
    <w:rsid w:val="00A44091"/>
    <w:rsid w:val="00A4438E"/>
    <w:rsid w:val="00A44652"/>
    <w:rsid w:val="00A44EBD"/>
    <w:rsid w:val="00A450BA"/>
    <w:rsid w:val="00A452C5"/>
    <w:rsid w:val="00A45CF1"/>
    <w:rsid w:val="00A45E7D"/>
    <w:rsid w:val="00A46300"/>
    <w:rsid w:val="00A4672E"/>
    <w:rsid w:val="00A46849"/>
    <w:rsid w:val="00A47203"/>
    <w:rsid w:val="00A47369"/>
    <w:rsid w:val="00A47CB6"/>
    <w:rsid w:val="00A47F21"/>
    <w:rsid w:val="00A507E6"/>
    <w:rsid w:val="00A50B8D"/>
    <w:rsid w:val="00A51C20"/>
    <w:rsid w:val="00A52109"/>
    <w:rsid w:val="00A527DA"/>
    <w:rsid w:val="00A52977"/>
    <w:rsid w:val="00A52ABD"/>
    <w:rsid w:val="00A52E0E"/>
    <w:rsid w:val="00A52FFB"/>
    <w:rsid w:val="00A53644"/>
    <w:rsid w:val="00A53863"/>
    <w:rsid w:val="00A53BAB"/>
    <w:rsid w:val="00A544D8"/>
    <w:rsid w:val="00A5455D"/>
    <w:rsid w:val="00A54579"/>
    <w:rsid w:val="00A548CA"/>
    <w:rsid w:val="00A549EC"/>
    <w:rsid w:val="00A54A46"/>
    <w:rsid w:val="00A54DF9"/>
    <w:rsid w:val="00A54E86"/>
    <w:rsid w:val="00A551DD"/>
    <w:rsid w:val="00A551E4"/>
    <w:rsid w:val="00A558FA"/>
    <w:rsid w:val="00A55D6D"/>
    <w:rsid w:val="00A56058"/>
    <w:rsid w:val="00A567E1"/>
    <w:rsid w:val="00A5697E"/>
    <w:rsid w:val="00A56D3A"/>
    <w:rsid w:val="00A56F1C"/>
    <w:rsid w:val="00A5723F"/>
    <w:rsid w:val="00A574EF"/>
    <w:rsid w:val="00A5777C"/>
    <w:rsid w:val="00A57A0F"/>
    <w:rsid w:val="00A57B80"/>
    <w:rsid w:val="00A60D62"/>
    <w:rsid w:val="00A61148"/>
    <w:rsid w:val="00A6152E"/>
    <w:rsid w:val="00A61A86"/>
    <w:rsid w:val="00A62197"/>
    <w:rsid w:val="00A627D3"/>
    <w:rsid w:val="00A635E1"/>
    <w:rsid w:val="00A64117"/>
    <w:rsid w:val="00A642EE"/>
    <w:rsid w:val="00A64678"/>
    <w:rsid w:val="00A64CAF"/>
    <w:rsid w:val="00A6561D"/>
    <w:rsid w:val="00A65C20"/>
    <w:rsid w:val="00A661D0"/>
    <w:rsid w:val="00A66415"/>
    <w:rsid w:val="00A66417"/>
    <w:rsid w:val="00A66727"/>
    <w:rsid w:val="00A66EC1"/>
    <w:rsid w:val="00A674E7"/>
    <w:rsid w:val="00A6774A"/>
    <w:rsid w:val="00A67937"/>
    <w:rsid w:val="00A70418"/>
    <w:rsid w:val="00A7055B"/>
    <w:rsid w:val="00A70AA5"/>
    <w:rsid w:val="00A70CB5"/>
    <w:rsid w:val="00A7115D"/>
    <w:rsid w:val="00A71677"/>
    <w:rsid w:val="00A717AF"/>
    <w:rsid w:val="00A71EF0"/>
    <w:rsid w:val="00A72120"/>
    <w:rsid w:val="00A72831"/>
    <w:rsid w:val="00A7298E"/>
    <w:rsid w:val="00A72F68"/>
    <w:rsid w:val="00A72FCD"/>
    <w:rsid w:val="00A7367F"/>
    <w:rsid w:val="00A74459"/>
    <w:rsid w:val="00A747BE"/>
    <w:rsid w:val="00A74A63"/>
    <w:rsid w:val="00A74BD1"/>
    <w:rsid w:val="00A75408"/>
    <w:rsid w:val="00A75E13"/>
    <w:rsid w:val="00A7703D"/>
    <w:rsid w:val="00A77742"/>
    <w:rsid w:val="00A77979"/>
    <w:rsid w:val="00A779C0"/>
    <w:rsid w:val="00A801FA"/>
    <w:rsid w:val="00A80246"/>
    <w:rsid w:val="00A802A8"/>
    <w:rsid w:val="00A805A8"/>
    <w:rsid w:val="00A80A7F"/>
    <w:rsid w:val="00A80C20"/>
    <w:rsid w:val="00A80E20"/>
    <w:rsid w:val="00A810F9"/>
    <w:rsid w:val="00A8115D"/>
    <w:rsid w:val="00A8152D"/>
    <w:rsid w:val="00A81881"/>
    <w:rsid w:val="00A818CE"/>
    <w:rsid w:val="00A82F91"/>
    <w:rsid w:val="00A83D57"/>
    <w:rsid w:val="00A83EAB"/>
    <w:rsid w:val="00A840D3"/>
    <w:rsid w:val="00A846E9"/>
    <w:rsid w:val="00A84814"/>
    <w:rsid w:val="00A84A9D"/>
    <w:rsid w:val="00A84E64"/>
    <w:rsid w:val="00A85178"/>
    <w:rsid w:val="00A85207"/>
    <w:rsid w:val="00A85997"/>
    <w:rsid w:val="00A86B6D"/>
    <w:rsid w:val="00A87ECA"/>
    <w:rsid w:val="00A87F5E"/>
    <w:rsid w:val="00A901AD"/>
    <w:rsid w:val="00A903C4"/>
    <w:rsid w:val="00A9097D"/>
    <w:rsid w:val="00A90A9B"/>
    <w:rsid w:val="00A90DA0"/>
    <w:rsid w:val="00A91C72"/>
    <w:rsid w:val="00A91FC0"/>
    <w:rsid w:val="00A92375"/>
    <w:rsid w:val="00A929DA"/>
    <w:rsid w:val="00A9340C"/>
    <w:rsid w:val="00A934BF"/>
    <w:rsid w:val="00A938AE"/>
    <w:rsid w:val="00A9419C"/>
    <w:rsid w:val="00A94543"/>
    <w:rsid w:val="00A94D36"/>
    <w:rsid w:val="00A952E6"/>
    <w:rsid w:val="00A95561"/>
    <w:rsid w:val="00A958A8"/>
    <w:rsid w:val="00A95967"/>
    <w:rsid w:val="00A95F2F"/>
    <w:rsid w:val="00A96ED6"/>
    <w:rsid w:val="00A96FC5"/>
    <w:rsid w:val="00A9709B"/>
    <w:rsid w:val="00A97131"/>
    <w:rsid w:val="00A976B4"/>
    <w:rsid w:val="00AA0044"/>
    <w:rsid w:val="00AA0306"/>
    <w:rsid w:val="00AA03A1"/>
    <w:rsid w:val="00AA1484"/>
    <w:rsid w:val="00AA157A"/>
    <w:rsid w:val="00AA1DFF"/>
    <w:rsid w:val="00AA2018"/>
    <w:rsid w:val="00AA20E2"/>
    <w:rsid w:val="00AA2323"/>
    <w:rsid w:val="00AA2D46"/>
    <w:rsid w:val="00AA2D4D"/>
    <w:rsid w:val="00AA32E2"/>
    <w:rsid w:val="00AA36C0"/>
    <w:rsid w:val="00AA36F1"/>
    <w:rsid w:val="00AA4067"/>
    <w:rsid w:val="00AA413D"/>
    <w:rsid w:val="00AA4843"/>
    <w:rsid w:val="00AA5401"/>
    <w:rsid w:val="00AA625E"/>
    <w:rsid w:val="00AA6B91"/>
    <w:rsid w:val="00AA6E45"/>
    <w:rsid w:val="00AA6FDA"/>
    <w:rsid w:val="00AA714E"/>
    <w:rsid w:val="00AA7153"/>
    <w:rsid w:val="00AA71D3"/>
    <w:rsid w:val="00AA7420"/>
    <w:rsid w:val="00AA75BD"/>
    <w:rsid w:val="00AA7C1C"/>
    <w:rsid w:val="00AA7DF4"/>
    <w:rsid w:val="00AA7F47"/>
    <w:rsid w:val="00AB01E4"/>
    <w:rsid w:val="00AB0398"/>
    <w:rsid w:val="00AB1146"/>
    <w:rsid w:val="00AB1C08"/>
    <w:rsid w:val="00AB1C40"/>
    <w:rsid w:val="00AB3101"/>
    <w:rsid w:val="00AB3983"/>
    <w:rsid w:val="00AB526F"/>
    <w:rsid w:val="00AB5388"/>
    <w:rsid w:val="00AB626E"/>
    <w:rsid w:val="00AB6309"/>
    <w:rsid w:val="00AB7325"/>
    <w:rsid w:val="00AB7390"/>
    <w:rsid w:val="00AB760A"/>
    <w:rsid w:val="00AB7901"/>
    <w:rsid w:val="00AB7CE2"/>
    <w:rsid w:val="00AC0095"/>
    <w:rsid w:val="00AC0F5C"/>
    <w:rsid w:val="00AC12A8"/>
    <w:rsid w:val="00AC1833"/>
    <w:rsid w:val="00AC183A"/>
    <w:rsid w:val="00AC1AEF"/>
    <w:rsid w:val="00AC1D53"/>
    <w:rsid w:val="00AC223E"/>
    <w:rsid w:val="00AC2D06"/>
    <w:rsid w:val="00AC31F5"/>
    <w:rsid w:val="00AC3B31"/>
    <w:rsid w:val="00AC3C0A"/>
    <w:rsid w:val="00AC40B7"/>
    <w:rsid w:val="00AC58EE"/>
    <w:rsid w:val="00AC5E49"/>
    <w:rsid w:val="00AC5EAA"/>
    <w:rsid w:val="00AC68F4"/>
    <w:rsid w:val="00AC740F"/>
    <w:rsid w:val="00AC7F6E"/>
    <w:rsid w:val="00AD09D6"/>
    <w:rsid w:val="00AD1910"/>
    <w:rsid w:val="00AD1D49"/>
    <w:rsid w:val="00AD2858"/>
    <w:rsid w:val="00AD2A84"/>
    <w:rsid w:val="00AD2E26"/>
    <w:rsid w:val="00AD2E73"/>
    <w:rsid w:val="00AD359F"/>
    <w:rsid w:val="00AD3664"/>
    <w:rsid w:val="00AD36E6"/>
    <w:rsid w:val="00AD385C"/>
    <w:rsid w:val="00AD39BD"/>
    <w:rsid w:val="00AD3E06"/>
    <w:rsid w:val="00AD4419"/>
    <w:rsid w:val="00AD4E24"/>
    <w:rsid w:val="00AD54A8"/>
    <w:rsid w:val="00AD5777"/>
    <w:rsid w:val="00AD57A7"/>
    <w:rsid w:val="00AD57AA"/>
    <w:rsid w:val="00AD59C1"/>
    <w:rsid w:val="00AD5D47"/>
    <w:rsid w:val="00AD60B6"/>
    <w:rsid w:val="00AD6665"/>
    <w:rsid w:val="00AD693D"/>
    <w:rsid w:val="00AD6970"/>
    <w:rsid w:val="00AD6CFE"/>
    <w:rsid w:val="00AD6DCE"/>
    <w:rsid w:val="00AD6ECC"/>
    <w:rsid w:val="00AD73B5"/>
    <w:rsid w:val="00AD7766"/>
    <w:rsid w:val="00AD7FEA"/>
    <w:rsid w:val="00AE06E5"/>
    <w:rsid w:val="00AE10EF"/>
    <w:rsid w:val="00AE16E4"/>
    <w:rsid w:val="00AE35A5"/>
    <w:rsid w:val="00AE442B"/>
    <w:rsid w:val="00AE448D"/>
    <w:rsid w:val="00AE4A45"/>
    <w:rsid w:val="00AE4B78"/>
    <w:rsid w:val="00AE5199"/>
    <w:rsid w:val="00AE617A"/>
    <w:rsid w:val="00AE63EE"/>
    <w:rsid w:val="00AE6784"/>
    <w:rsid w:val="00AE67F0"/>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4AA5"/>
    <w:rsid w:val="00AF5726"/>
    <w:rsid w:val="00AF5B9B"/>
    <w:rsid w:val="00AF5E63"/>
    <w:rsid w:val="00AF6B56"/>
    <w:rsid w:val="00AF6C62"/>
    <w:rsid w:val="00AF7A22"/>
    <w:rsid w:val="00AF7A58"/>
    <w:rsid w:val="00AF7B64"/>
    <w:rsid w:val="00AF7C01"/>
    <w:rsid w:val="00B001C9"/>
    <w:rsid w:val="00B00458"/>
    <w:rsid w:val="00B0047A"/>
    <w:rsid w:val="00B00E18"/>
    <w:rsid w:val="00B010F6"/>
    <w:rsid w:val="00B028A0"/>
    <w:rsid w:val="00B02A97"/>
    <w:rsid w:val="00B02D81"/>
    <w:rsid w:val="00B0314B"/>
    <w:rsid w:val="00B035C0"/>
    <w:rsid w:val="00B035C5"/>
    <w:rsid w:val="00B03BB0"/>
    <w:rsid w:val="00B03BCE"/>
    <w:rsid w:val="00B03C93"/>
    <w:rsid w:val="00B04236"/>
    <w:rsid w:val="00B04FBE"/>
    <w:rsid w:val="00B05462"/>
    <w:rsid w:val="00B055BB"/>
    <w:rsid w:val="00B06C96"/>
    <w:rsid w:val="00B06DA1"/>
    <w:rsid w:val="00B06E66"/>
    <w:rsid w:val="00B06FBB"/>
    <w:rsid w:val="00B07348"/>
    <w:rsid w:val="00B073D5"/>
    <w:rsid w:val="00B07432"/>
    <w:rsid w:val="00B07535"/>
    <w:rsid w:val="00B07542"/>
    <w:rsid w:val="00B07638"/>
    <w:rsid w:val="00B07681"/>
    <w:rsid w:val="00B10107"/>
    <w:rsid w:val="00B10251"/>
    <w:rsid w:val="00B110B5"/>
    <w:rsid w:val="00B11465"/>
    <w:rsid w:val="00B11CE6"/>
    <w:rsid w:val="00B11E55"/>
    <w:rsid w:val="00B1231F"/>
    <w:rsid w:val="00B12388"/>
    <w:rsid w:val="00B124A9"/>
    <w:rsid w:val="00B12553"/>
    <w:rsid w:val="00B12A94"/>
    <w:rsid w:val="00B1300E"/>
    <w:rsid w:val="00B13720"/>
    <w:rsid w:val="00B13937"/>
    <w:rsid w:val="00B13DB0"/>
    <w:rsid w:val="00B13F61"/>
    <w:rsid w:val="00B14498"/>
    <w:rsid w:val="00B14602"/>
    <w:rsid w:val="00B14771"/>
    <w:rsid w:val="00B14972"/>
    <w:rsid w:val="00B14DB6"/>
    <w:rsid w:val="00B14EDC"/>
    <w:rsid w:val="00B15E0A"/>
    <w:rsid w:val="00B16144"/>
    <w:rsid w:val="00B163C1"/>
    <w:rsid w:val="00B1697C"/>
    <w:rsid w:val="00B17BB4"/>
    <w:rsid w:val="00B17EE1"/>
    <w:rsid w:val="00B201FF"/>
    <w:rsid w:val="00B21B7A"/>
    <w:rsid w:val="00B220AB"/>
    <w:rsid w:val="00B22F41"/>
    <w:rsid w:val="00B238DB"/>
    <w:rsid w:val="00B23EA6"/>
    <w:rsid w:val="00B2416C"/>
    <w:rsid w:val="00B247F9"/>
    <w:rsid w:val="00B24EA0"/>
    <w:rsid w:val="00B25AAF"/>
    <w:rsid w:val="00B2665B"/>
    <w:rsid w:val="00B2708E"/>
    <w:rsid w:val="00B2773E"/>
    <w:rsid w:val="00B277E4"/>
    <w:rsid w:val="00B3003E"/>
    <w:rsid w:val="00B30F57"/>
    <w:rsid w:val="00B31BD2"/>
    <w:rsid w:val="00B32262"/>
    <w:rsid w:val="00B3277B"/>
    <w:rsid w:val="00B330F7"/>
    <w:rsid w:val="00B331DD"/>
    <w:rsid w:val="00B33516"/>
    <w:rsid w:val="00B337D8"/>
    <w:rsid w:val="00B33F21"/>
    <w:rsid w:val="00B34007"/>
    <w:rsid w:val="00B34674"/>
    <w:rsid w:val="00B3473B"/>
    <w:rsid w:val="00B3514D"/>
    <w:rsid w:val="00B352C9"/>
    <w:rsid w:val="00B35645"/>
    <w:rsid w:val="00B35FC1"/>
    <w:rsid w:val="00B3662B"/>
    <w:rsid w:val="00B3687D"/>
    <w:rsid w:val="00B36943"/>
    <w:rsid w:val="00B36BC5"/>
    <w:rsid w:val="00B36EB7"/>
    <w:rsid w:val="00B36FF1"/>
    <w:rsid w:val="00B37504"/>
    <w:rsid w:val="00B404C8"/>
    <w:rsid w:val="00B40F81"/>
    <w:rsid w:val="00B4125D"/>
    <w:rsid w:val="00B4185E"/>
    <w:rsid w:val="00B4187B"/>
    <w:rsid w:val="00B41AB4"/>
    <w:rsid w:val="00B42102"/>
    <w:rsid w:val="00B42205"/>
    <w:rsid w:val="00B4274D"/>
    <w:rsid w:val="00B42D5C"/>
    <w:rsid w:val="00B43A85"/>
    <w:rsid w:val="00B450F6"/>
    <w:rsid w:val="00B45422"/>
    <w:rsid w:val="00B45741"/>
    <w:rsid w:val="00B45A9F"/>
    <w:rsid w:val="00B461E7"/>
    <w:rsid w:val="00B46298"/>
    <w:rsid w:val="00B462DB"/>
    <w:rsid w:val="00B46463"/>
    <w:rsid w:val="00B465A9"/>
    <w:rsid w:val="00B46B90"/>
    <w:rsid w:val="00B46B95"/>
    <w:rsid w:val="00B46D9D"/>
    <w:rsid w:val="00B47748"/>
    <w:rsid w:val="00B47F50"/>
    <w:rsid w:val="00B50667"/>
    <w:rsid w:val="00B50781"/>
    <w:rsid w:val="00B5128F"/>
    <w:rsid w:val="00B512ED"/>
    <w:rsid w:val="00B51394"/>
    <w:rsid w:val="00B513A8"/>
    <w:rsid w:val="00B53703"/>
    <w:rsid w:val="00B541A4"/>
    <w:rsid w:val="00B549A9"/>
    <w:rsid w:val="00B55485"/>
    <w:rsid w:val="00B55589"/>
    <w:rsid w:val="00B55931"/>
    <w:rsid w:val="00B56ABB"/>
    <w:rsid w:val="00B5746C"/>
    <w:rsid w:val="00B57C39"/>
    <w:rsid w:val="00B57E84"/>
    <w:rsid w:val="00B6059C"/>
    <w:rsid w:val="00B60AC8"/>
    <w:rsid w:val="00B60DD7"/>
    <w:rsid w:val="00B623A7"/>
    <w:rsid w:val="00B62DFB"/>
    <w:rsid w:val="00B62E21"/>
    <w:rsid w:val="00B64257"/>
    <w:rsid w:val="00B64400"/>
    <w:rsid w:val="00B64A1D"/>
    <w:rsid w:val="00B6524D"/>
    <w:rsid w:val="00B652CD"/>
    <w:rsid w:val="00B65E91"/>
    <w:rsid w:val="00B662C3"/>
    <w:rsid w:val="00B66406"/>
    <w:rsid w:val="00B668BC"/>
    <w:rsid w:val="00B676E8"/>
    <w:rsid w:val="00B67A4B"/>
    <w:rsid w:val="00B70479"/>
    <w:rsid w:val="00B708E0"/>
    <w:rsid w:val="00B70D64"/>
    <w:rsid w:val="00B7131D"/>
    <w:rsid w:val="00B71348"/>
    <w:rsid w:val="00B71782"/>
    <w:rsid w:val="00B71812"/>
    <w:rsid w:val="00B71A39"/>
    <w:rsid w:val="00B71D0A"/>
    <w:rsid w:val="00B72637"/>
    <w:rsid w:val="00B72982"/>
    <w:rsid w:val="00B72C27"/>
    <w:rsid w:val="00B73104"/>
    <w:rsid w:val="00B7356E"/>
    <w:rsid w:val="00B746A4"/>
    <w:rsid w:val="00B74763"/>
    <w:rsid w:val="00B7479B"/>
    <w:rsid w:val="00B74A72"/>
    <w:rsid w:val="00B75032"/>
    <w:rsid w:val="00B75C11"/>
    <w:rsid w:val="00B75C82"/>
    <w:rsid w:val="00B75CF9"/>
    <w:rsid w:val="00B764E0"/>
    <w:rsid w:val="00B76734"/>
    <w:rsid w:val="00B76837"/>
    <w:rsid w:val="00B77268"/>
    <w:rsid w:val="00B77811"/>
    <w:rsid w:val="00B77AB9"/>
    <w:rsid w:val="00B77C1F"/>
    <w:rsid w:val="00B8025D"/>
    <w:rsid w:val="00B80A32"/>
    <w:rsid w:val="00B80A51"/>
    <w:rsid w:val="00B80C91"/>
    <w:rsid w:val="00B80D10"/>
    <w:rsid w:val="00B8177F"/>
    <w:rsid w:val="00B8188E"/>
    <w:rsid w:val="00B81D69"/>
    <w:rsid w:val="00B82142"/>
    <w:rsid w:val="00B824D2"/>
    <w:rsid w:val="00B826A1"/>
    <w:rsid w:val="00B82A25"/>
    <w:rsid w:val="00B82E10"/>
    <w:rsid w:val="00B82EF1"/>
    <w:rsid w:val="00B8360D"/>
    <w:rsid w:val="00B83CD1"/>
    <w:rsid w:val="00B84E40"/>
    <w:rsid w:val="00B850DC"/>
    <w:rsid w:val="00B851F8"/>
    <w:rsid w:val="00B852EC"/>
    <w:rsid w:val="00B86DB8"/>
    <w:rsid w:val="00B876C8"/>
    <w:rsid w:val="00B87A53"/>
    <w:rsid w:val="00B907AF"/>
    <w:rsid w:val="00B916BB"/>
    <w:rsid w:val="00B91843"/>
    <w:rsid w:val="00B91F4E"/>
    <w:rsid w:val="00B92745"/>
    <w:rsid w:val="00B929C1"/>
    <w:rsid w:val="00B92CCA"/>
    <w:rsid w:val="00B93CD6"/>
    <w:rsid w:val="00B94C09"/>
    <w:rsid w:val="00B9554D"/>
    <w:rsid w:val="00B958CF"/>
    <w:rsid w:val="00B9609B"/>
    <w:rsid w:val="00B96493"/>
    <w:rsid w:val="00B96629"/>
    <w:rsid w:val="00B967CD"/>
    <w:rsid w:val="00B96D54"/>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2DA5"/>
    <w:rsid w:val="00BA3616"/>
    <w:rsid w:val="00BA39C4"/>
    <w:rsid w:val="00BA4315"/>
    <w:rsid w:val="00BA448A"/>
    <w:rsid w:val="00BA4E0B"/>
    <w:rsid w:val="00BA4FB1"/>
    <w:rsid w:val="00BA5AC7"/>
    <w:rsid w:val="00BA5B82"/>
    <w:rsid w:val="00BA5F55"/>
    <w:rsid w:val="00BA6307"/>
    <w:rsid w:val="00BA65D3"/>
    <w:rsid w:val="00BA6D83"/>
    <w:rsid w:val="00BA74A5"/>
    <w:rsid w:val="00BA7584"/>
    <w:rsid w:val="00BA75BF"/>
    <w:rsid w:val="00BA76A2"/>
    <w:rsid w:val="00BA7B98"/>
    <w:rsid w:val="00BA7CF8"/>
    <w:rsid w:val="00BB0063"/>
    <w:rsid w:val="00BB0212"/>
    <w:rsid w:val="00BB0FB8"/>
    <w:rsid w:val="00BB1103"/>
    <w:rsid w:val="00BB13A2"/>
    <w:rsid w:val="00BB153F"/>
    <w:rsid w:val="00BB1EC9"/>
    <w:rsid w:val="00BB1ECC"/>
    <w:rsid w:val="00BB237D"/>
    <w:rsid w:val="00BB2B80"/>
    <w:rsid w:val="00BB2BEF"/>
    <w:rsid w:val="00BB2F5D"/>
    <w:rsid w:val="00BB315F"/>
    <w:rsid w:val="00BB31D8"/>
    <w:rsid w:val="00BB3454"/>
    <w:rsid w:val="00BB3C75"/>
    <w:rsid w:val="00BB408F"/>
    <w:rsid w:val="00BB4398"/>
    <w:rsid w:val="00BB44EB"/>
    <w:rsid w:val="00BB4832"/>
    <w:rsid w:val="00BB4D56"/>
    <w:rsid w:val="00BB4E8D"/>
    <w:rsid w:val="00BB5527"/>
    <w:rsid w:val="00BB5C88"/>
    <w:rsid w:val="00BB5E28"/>
    <w:rsid w:val="00BB61FE"/>
    <w:rsid w:val="00BB6934"/>
    <w:rsid w:val="00BB69CA"/>
    <w:rsid w:val="00BB6D09"/>
    <w:rsid w:val="00BB6DB2"/>
    <w:rsid w:val="00BB6FE6"/>
    <w:rsid w:val="00BB73F6"/>
    <w:rsid w:val="00BB7541"/>
    <w:rsid w:val="00BB7DF4"/>
    <w:rsid w:val="00BC0D5C"/>
    <w:rsid w:val="00BC0D77"/>
    <w:rsid w:val="00BC1245"/>
    <w:rsid w:val="00BC15E6"/>
    <w:rsid w:val="00BC1E81"/>
    <w:rsid w:val="00BC216A"/>
    <w:rsid w:val="00BC2B93"/>
    <w:rsid w:val="00BC3217"/>
    <w:rsid w:val="00BC3B0C"/>
    <w:rsid w:val="00BC3D80"/>
    <w:rsid w:val="00BC405B"/>
    <w:rsid w:val="00BC4315"/>
    <w:rsid w:val="00BC4449"/>
    <w:rsid w:val="00BC44B2"/>
    <w:rsid w:val="00BC4678"/>
    <w:rsid w:val="00BC52B5"/>
    <w:rsid w:val="00BC52E5"/>
    <w:rsid w:val="00BC53F9"/>
    <w:rsid w:val="00BC55D9"/>
    <w:rsid w:val="00BC5CC3"/>
    <w:rsid w:val="00BC65B5"/>
    <w:rsid w:val="00BC6A0B"/>
    <w:rsid w:val="00BC6AF7"/>
    <w:rsid w:val="00BC708B"/>
    <w:rsid w:val="00BC74D5"/>
    <w:rsid w:val="00BC7946"/>
    <w:rsid w:val="00BD1372"/>
    <w:rsid w:val="00BD2054"/>
    <w:rsid w:val="00BD2673"/>
    <w:rsid w:val="00BD3B76"/>
    <w:rsid w:val="00BD4498"/>
    <w:rsid w:val="00BD456D"/>
    <w:rsid w:val="00BD483F"/>
    <w:rsid w:val="00BD4E2C"/>
    <w:rsid w:val="00BD5347"/>
    <w:rsid w:val="00BD53DD"/>
    <w:rsid w:val="00BD5D5F"/>
    <w:rsid w:val="00BD6024"/>
    <w:rsid w:val="00BD631C"/>
    <w:rsid w:val="00BD6356"/>
    <w:rsid w:val="00BD7295"/>
    <w:rsid w:val="00BD7597"/>
    <w:rsid w:val="00BD7684"/>
    <w:rsid w:val="00BD7D1B"/>
    <w:rsid w:val="00BD7D58"/>
    <w:rsid w:val="00BD7E1D"/>
    <w:rsid w:val="00BD7F33"/>
    <w:rsid w:val="00BE0350"/>
    <w:rsid w:val="00BE035D"/>
    <w:rsid w:val="00BE0396"/>
    <w:rsid w:val="00BE0543"/>
    <w:rsid w:val="00BE056D"/>
    <w:rsid w:val="00BE0683"/>
    <w:rsid w:val="00BE068F"/>
    <w:rsid w:val="00BE124A"/>
    <w:rsid w:val="00BE15F4"/>
    <w:rsid w:val="00BE186C"/>
    <w:rsid w:val="00BE1930"/>
    <w:rsid w:val="00BE1C88"/>
    <w:rsid w:val="00BE20A0"/>
    <w:rsid w:val="00BE2702"/>
    <w:rsid w:val="00BE2C68"/>
    <w:rsid w:val="00BE2DCF"/>
    <w:rsid w:val="00BE6452"/>
    <w:rsid w:val="00BE661D"/>
    <w:rsid w:val="00BE704E"/>
    <w:rsid w:val="00BE745F"/>
    <w:rsid w:val="00BE74A9"/>
    <w:rsid w:val="00BF03FB"/>
    <w:rsid w:val="00BF0724"/>
    <w:rsid w:val="00BF0BED"/>
    <w:rsid w:val="00BF1242"/>
    <w:rsid w:val="00BF13A9"/>
    <w:rsid w:val="00BF1961"/>
    <w:rsid w:val="00BF1A09"/>
    <w:rsid w:val="00BF2B48"/>
    <w:rsid w:val="00BF34A8"/>
    <w:rsid w:val="00BF3601"/>
    <w:rsid w:val="00BF3653"/>
    <w:rsid w:val="00BF3F1A"/>
    <w:rsid w:val="00BF4242"/>
    <w:rsid w:val="00BF4308"/>
    <w:rsid w:val="00BF485C"/>
    <w:rsid w:val="00BF4D00"/>
    <w:rsid w:val="00BF53A4"/>
    <w:rsid w:val="00BF5875"/>
    <w:rsid w:val="00BF6521"/>
    <w:rsid w:val="00BF6A4C"/>
    <w:rsid w:val="00BF6BFF"/>
    <w:rsid w:val="00BF6C40"/>
    <w:rsid w:val="00BF6F45"/>
    <w:rsid w:val="00BF7A71"/>
    <w:rsid w:val="00C01763"/>
    <w:rsid w:val="00C01B68"/>
    <w:rsid w:val="00C01E9A"/>
    <w:rsid w:val="00C028A8"/>
    <w:rsid w:val="00C02A7D"/>
    <w:rsid w:val="00C02F8B"/>
    <w:rsid w:val="00C03398"/>
    <w:rsid w:val="00C03E12"/>
    <w:rsid w:val="00C040E2"/>
    <w:rsid w:val="00C04866"/>
    <w:rsid w:val="00C04EE2"/>
    <w:rsid w:val="00C056C2"/>
    <w:rsid w:val="00C05B77"/>
    <w:rsid w:val="00C05D40"/>
    <w:rsid w:val="00C0608C"/>
    <w:rsid w:val="00C069B9"/>
    <w:rsid w:val="00C06F95"/>
    <w:rsid w:val="00C073CC"/>
    <w:rsid w:val="00C07655"/>
    <w:rsid w:val="00C07763"/>
    <w:rsid w:val="00C10281"/>
    <w:rsid w:val="00C103E6"/>
    <w:rsid w:val="00C1047E"/>
    <w:rsid w:val="00C111D5"/>
    <w:rsid w:val="00C11236"/>
    <w:rsid w:val="00C1178F"/>
    <w:rsid w:val="00C12186"/>
    <w:rsid w:val="00C12C95"/>
    <w:rsid w:val="00C13159"/>
    <w:rsid w:val="00C13CED"/>
    <w:rsid w:val="00C14A70"/>
    <w:rsid w:val="00C14B72"/>
    <w:rsid w:val="00C14EA7"/>
    <w:rsid w:val="00C14F60"/>
    <w:rsid w:val="00C154E0"/>
    <w:rsid w:val="00C1559D"/>
    <w:rsid w:val="00C15683"/>
    <w:rsid w:val="00C158F9"/>
    <w:rsid w:val="00C15914"/>
    <w:rsid w:val="00C16321"/>
    <w:rsid w:val="00C16446"/>
    <w:rsid w:val="00C16B37"/>
    <w:rsid w:val="00C17338"/>
    <w:rsid w:val="00C17C93"/>
    <w:rsid w:val="00C20153"/>
    <w:rsid w:val="00C20E64"/>
    <w:rsid w:val="00C21601"/>
    <w:rsid w:val="00C221A3"/>
    <w:rsid w:val="00C22339"/>
    <w:rsid w:val="00C22592"/>
    <w:rsid w:val="00C22612"/>
    <w:rsid w:val="00C22820"/>
    <w:rsid w:val="00C2287E"/>
    <w:rsid w:val="00C230A0"/>
    <w:rsid w:val="00C235FD"/>
    <w:rsid w:val="00C23653"/>
    <w:rsid w:val="00C23C55"/>
    <w:rsid w:val="00C24DA7"/>
    <w:rsid w:val="00C24ED3"/>
    <w:rsid w:val="00C24FE9"/>
    <w:rsid w:val="00C25A0E"/>
    <w:rsid w:val="00C25DCF"/>
    <w:rsid w:val="00C265A7"/>
    <w:rsid w:val="00C269B1"/>
    <w:rsid w:val="00C27307"/>
    <w:rsid w:val="00C276CE"/>
    <w:rsid w:val="00C27B02"/>
    <w:rsid w:val="00C3001C"/>
    <w:rsid w:val="00C3077E"/>
    <w:rsid w:val="00C307DE"/>
    <w:rsid w:val="00C30BA9"/>
    <w:rsid w:val="00C3100C"/>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6070"/>
    <w:rsid w:val="00C3753A"/>
    <w:rsid w:val="00C37BCF"/>
    <w:rsid w:val="00C40834"/>
    <w:rsid w:val="00C4084D"/>
    <w:rsid w:val="00C40B9A"/>
    <w:rsid w:val="00C40BF7"/>
    <w:rsid w:val="00C40DF1"/>
    <w:rsid w:val="00C41148"/>
    <w:rsid w:val="00C4164D"/>
    <w:rsid w:val="00C41789"/>
    <w:rsid w:val="00C42C9E"/>
    <w:rsid w:val="00C434AC"/>
    <w:rsid w:val="00C434DD"/>
    <w:rsid w:val="00C435B6"/>
    <w:rsid w:val="00C440CA"/>
    <w:rsid w:val="00C44299"/>
    <w:rsid w:val="00C44762"/>
    <w:rsid w:val="00C45A06"/>
    <w:rsid w:val="00C46AB2"/>
    <w:rsid w:val="00C46B22"/>
    <w:rsid w:val="00C46DB7"/>
    <w:rsid w:val="00C507EC"/>
    <w:rsid w:val="00C515F0"/>
    <w:rsid w:val="00C5188D"/>
    <w:rsid w:val="00C5244B"/>
    <w:rsid w:val="00C524D7"/>
    <w:rsid w:val="00C5262C"/>
    <w:rsid w:val="00C53776"/>
    <w:rsid w:val="00C53E27"/>
    <w:rsid w:val="00C53E3C"/>
    <w:rsid w:val="00C540B4"/>
    <w:rsid w:val="00C54371"/>
    <w:rsid w:val="00C54787"/>
    <w:rsid w:val="00C55717"/>
    <w:rsid w:val="00C55C1C"/>
    <w:rsid w:val="00C56848"/>
    <w:rsid w:val="00C5738B"/>
    <w:rsid w:val="00C574D4"/>
    <w:rsid w:val="00C6034E"/>
    <w:rsid w:val="00C60759"/>
    <w:rsid w:val="00C60A9A"/>
    <w:rsid w:val="00C60ECB"/>
    <w:rsid w:val="00C61928"/>
    <w:rsid w:val="00C61EF1"/>
    <w:rsid w:val="00C62B54"/>
    <w:rsid w:val="00C63A59"/>
    <w:rsid w:val="00C63A6D"/>
    <w:rsid w:val="00C650C7"/>
    <w:rsid w:val="00C652F1"/>
    <w:rsid w:val="00C6574C"/>
    <w:rsid w:val="00C660CB"/>
    <w:rsid w:val="00C662AC"/>
    <w:rsid w:val="00C663D9"/>
    <w:rsid w:val="00C6647A"/>
    <w:rsid w:val="00C66ABD"/>
    <w:rsid w:val="00C674B5"/>
    <w:rsid w:val="00C675CE"/>
    <w:rsid w:val="00C678BB"/>
    <w:rsid w:val="00C67900"/>
    <w:rsid w:val="00C679DE"/>
    <w:rsid w:val="00C67B01"/>
    <w:rsid w:val="00C67FD4"/>
    <w:rsid w:val="00C70013"/>
    <w:rsid w:val="00C70ED6"/>
    <w:rsid w:val="00C7102D"/>
    <w:rsid w:val="00C7132F"/>
    <w:rsid w:val="00C714CE"/>
    <w:rsid w:val="00C71650"/>
    <w:rsid w:val="00C72071"/>
    <w:rsid w:val="00C721E4"/>
    <w:rsid w:val="00C72BA1"/>
    <w:rsid w:val="00C72F79"/>
    <w:rsid w:val="00C73616"/>
    <w:rsid w:val="00C7448F"/>
    <w:rsid w:val="00C753CA"/>
    <w:rsid w:val="00C75796"/>
    <w:rsid w:val="00C75D05"/>
    <w:rsid w:val="00C760CF"/>
    <w:rsid w:val="00C7688E"/>
    <w:rsid w:val="00C76B1A"/>
    <w:rsid w:val="00C76BB6"/>
    <w:rsid w:val="00C76CCE"/>
    <w:rsid w:val="00C77540"/>
    <w:rsid w:val="00C77965"/>
    <w:rsid w:val="00C77C3D"/>
    <w:rsid w:val="00C77EA6"/>
    <w:rsid w:val="00C8068B"/>
    <w:rsid w:val="00C80885"/>
    <w:rsid w:val="00C809C9"/>
    <w:rsid w:val="00C80E04"/>
    <w:rsid w:val="00C80E92"/>
    <w:rsid w:val="00C80F25"/>
    <w:rsid w:val="00C810D8"/>
    <w:rsid w:val="00C813F7"/>
    <w:rsid w:val="00C818BF"/>
    <w:rsid w:val="00C822B4"/>
    <w:rsid w:val="00C829B0"/>
    <w:rsid w:val="00C82AE7"/>
    <w:rsid w:val="00C83889"/>
    <w:rsid w:val="00C84305"/>
    <w:rsid w:val="00C84ACC"/>
    <w:rsid w:val="00C85997"/>
    <w:rsid w:val="00C859B4"/>
    <w:rsid w:val="00C85D37"/>
    <w:rsid w:val="00C8691C"/>
    <w:rsid w:val="00C86B14"/>
    <w:rsid w:val="00C86EA9"/>
    <w:rsid w:val="00C8736B"/>
    <w:rsid w:val="00C87431"/>
    <w:rsid w:val="00C8755E"/>
    <w:rsid w:val="00C87ECB"/>
    <w:rsid w:val="00C904B3"/>
    <w:rsid w:val="00C90A4B"/>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9A7"/>
    <w:rsid w:val="00C97A6E"/>
    <w:rsid w:val="00CA043E"/>
    <w:rsid w:val="00CA0B44"/>
    <w:rsid w:val="00CA0F51"/>
    <w:rsid w:val="00CA18A7"/>
    <w:rsid w:val="00CA18F3"/>
    <w:rsid w:val="00CA1DF3"/>
    <w:rsid w:val="00CA236D"/>
    <w:rsid w:val="00CA24BB"/>
    <w:rsid w:val="00CA2B66"/>
    <w:rsid w:val="00CA2C8F"/>
    <w:rsid w:val="00CA3657"/>
    <w:rsid w:val="00CA3B08"/>
    <w:rsid w:val="00CA3DB0"/>
    <w:rsid w:val="00CA3EBF"/>
    <w:rsid w:val="00CA43C3"/>
    <w:rsid w:val="00CA49C4"/>
    <w:rsid w:val="00CA4A4C"/>
    <w:rsid w:val="00CA4F03"/>
    <w:rsid w:val="00CA5067"/>
    <w:rsid w:val="00CA51DF"/>
    <w:rsid w:val="00CA558A"/>
    <w:rsid w:val="00CA597B"/>
    <w:rsid w:val="00CA5D27"/>
    <w:rsid w:val="00CA6152"/>
    <w:rsid w:val="00CA6374"/>
    <w:rsid w:val="00CA6601"/>
    <w:rsid w:val="00CA6DB9"/>
    <w:rsid w:val="00CA6FFE"/>
    <w:rsid w:val="00CA708F"/>
    <w:rsid w:val="00CA76E5"/>
    <w:rsid w:val="00CA7AD3"/>
    <w:rsid w:val="00CA7D05"/>
    <w:rsid w:val="00CB1B95"/>
    <w:rsid w:val="00CB2042"/>
    <w:rsid w:val="00CB21E2"/>
    <w:rsid w:val="00CB263C"/>
    <w:rsid w:val="00CB2D84"/>
    <w:rsid w:val="00CB2DB9"/>
    <w:rsid w:val="00CB337A"/>
    <w:rsid w:val="00CB3431"/>
    <w:rsid w:val="00CB373E"/>
    <w:rsid w:val="00CB449F"/>
    <w:rsid w:val="00CB45C5"/>
    <w:rsid w:val="00CB489E"/>
    <w:rsid w:val="00CB4C0D"/>
    <w:rsid w:val="00CB4C82"/>
    <w:rsid w:val="00CB4CA7"/>
    <w:rsid w:val="00CB5098"/>
    <w:rsid w:val="00CB5329"/>
    <w:rsid w:val="00CB56C8"/>
    <w:rsid w:val="00CB57AC"/>
    <w:rsid w:val="00CB5AD2"/>
    <w:rsid w:val="00CB5CFC"/>
    <w:rsid w:val="00CB5F71"/>
    <w:rsid w:val="00CB648F"/>
    <w:rsid w:val="00CB6A74"/>
    <w:rsid w:val="00CB6B09"/>
    <w:rsid w:val="00CB7182"/>
    <w:rsid w:val="00CB7398"/>
    <w:rsid w:val="00CB7C77"/>
    <w:rsid w:val="00CB7F62"/>
    <w:rsid w:val="00CC0314"/>
    <w:rsid w:val="00CC146B"/>
    <w:rsid w:val="00CC1607"/>
    <w:rsid w:val="00CC1DAA"/>
    <w:rsid w:val="00CC1F79"/>
    <w:rsid w:val="00CC21E2"/>
    <w:rsid w:val="00CC25C4"/>
    <w:rsid w:val="00CC2871"/>
    <w:rsid w:val="00CC2A33"/>
    <w:rsid w:val="00CC2DF7"/>
    <w:rsid w:val="00CC3971"/>
    <w:rsid w:val="00CC3E4C"/>
    <w:rsid w:val="00CC405A"/>
    <w:rsid w:val="00CC4B35"/>
    <w:rsid w:val="00CC4C8B"/>
    <w:rsid w:val="00CC4EE0"/>
    <w:rsid w:val="00CC51C8"/>
    <w:rsid w:val="00CC5261"/>
    <w:rsid w:val="00CC54E1"/>
    <w:rsid w:val="00CC5A6D"/>
    <w:rsid w:val="00CC5D1D"/>
    <w:rsid w:val="00CC6282"/>
    <w:rsid w:val="00CC64CA"/>
    <w:rsid w:val="00CC64E4"/>
    <w:rsid w:val="00CC67EB"/>
    <w:rsid w:val="00CC73CD"/>
    <w:rsid w:val="00CC767B"/>
    <w:rsid w:val="00CC7A34"/>
    <w:rsid w:val="00CC7B19"/>
    <w:rsid w:val="00CC7BD6"/>
    <w:rsid w:val="00CC7CE2"/>
    <w:rsid w:val="00CC7D8B"/>
    <w:rsid w:val="00CD07EB"/>
    <w:rsid w:val="00CD0AD9"/>
    <w:rsid w:val="00CD1371"/>
    <w:rsid w:val="00CD1C1D"/>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5EB4"/>
    <w:rsid w:val="00CD65EB"/>
    <w:rsid w:val="00CD6E84"/>
    <w:rsid w:val="00CD76F2"/>
    <w:rsid w:val="00CE0428"/>
    <w:rsid w:val="00CE0788"/>
    <w:rsid w:val="00CE1D54"/>
    <w:rsid w:val="00CE2030"/>
    <w:rsid w:val="00CE245E"/>
    <w:rsid w:val="00CE263E"/>
    <w:rsid w:val="00CE3090"/>
    <w:rsid w:val="00CE3654"/>
    <w:rsid w:val="00CE365E"/>
    <w:rsid w:val="00CE3A55"/>
    <w:rsid w:val="00CE48C7"/>
    <w:rsid w:val="00CE4AE8"/>
    <w:rsid w:val="00CE4C8E"/>
    <w:rsid w:val="00CE4F3A"/>
    <w:rsid w:val="00CE5982"/>
    <w:rsid w:val="00CE62D9"/>
    <w:rsid w:val="00CE64CA"/>
    <w:rsid w:val="00CE6603"/>
    <w:rsid w:val="00CE6827"/>
    <w:rsid w:val="00CE6D68"/>
    <w:rsid w:val="00CE6FC2"/>
    <w:rsid w:val="00CE7785"/>
    <w:rsid w:val="00CE791A"/>
    <w:rsid w:val="00CE7C6F"/>
    <w:rsid w:val="00CE7FAE"/>
    <w:rsid w:val="00CF0699"/>
    <w:rsid w:val="00CF06BE"/>
    <w:rsid w:val="00CF0ED0"/>
    <w:rsid w:val="00CF177B"/>
    <w:rsid w:val="00CF1B6C"/>
    <w:rsid w:val="00CF1F45"/>
    <w:rsid w:val="00CF2467"/>
    <w:rsid w:val="00CF2518"/>
    <w:rsid w:val="00CF2812"/>
    <w:rsid w:val="00CF2CC0"/>
    <w:rsid w:val="00CF2CE0"/>
    <w:rsid w:val="00CF3F55"/>
    <w:rsid w:val="00CF553C"/>
    <w:rsid w:val="00CF5945"/>
    <w:rsid w:val="00CF5D11"/>
    <w:rsid w:val="00CF5D14"/>
    <w:rsid w:val="00CF65C9"/>
    <w:rsid w:val="00CF6BDB"/>
    <w:rsid w:val="00CF7507"/>
    <w:rsid w:val="00CF7586"/>
    <w:rsid w:val="00CF7617"/>
    <w:rsid w:val="00CF7C53"/>
    <w:rsid w:val="00CF7E94"/>
    <w:rsid w:val="00D004C7"/>
    <w:rsid w:val="00D01255"/>
    <w:rsid w:val="00D01D56"/>
    <w:rsid w:val="00D024BB"/>
    <w:rsid w:val="00D025E0"/>
    <w:rsid w:val="00D02C60"/>
    <w:rsid w:val="00D03ECB"/>
    <w:rsid w:val="00D042B8"/>
    <w:rsid w:val="00D04308"/>
    <w:rsid w:val="00D04315"/>
    <w:rsid w:val="00D04985"/>
    <w:rsid w:val="00D04DC8"/>
    <w:rsid w:val="00D04FC9"/>
    <w:rsid w:val="00D05669"/>
    <w:rsid w:val="00D06522"/>
    <w:rsid w:val="00D0682C"/>
    <w:rsid w:val="00D06935"/>
    <w:rsid w:val="00D07308"/>
    <w:rsid w:val="00D077DC"/>
    <w:rsid w:val="00D07920"/>
    <w:rsid w:val="00D07CEA"/>
    <w:rsid w:val="00D11C95"/>
    <w:rsid w:val="00D12044"/>
    <w:rsid w:val="00D12047"/>
    <w:rsid w:val="00D12A46"/>
    <w:rsid w:val="00D12A78"/>
    <w:rsid w:val="00D13915"/>
    <w:rsid w:val="00D13CAB"/>
    <w:rsid w:val="00D13E62"/>
    <w:rsid w:val="00D13FE1"/>
    <w:rsid w:val="00D141B0"/>
    <w:rsid w:val="00D14682"/>
    <w:rsid w:val="00D14D3A"/>
    <w:rsid w:val="00D14FF0"/>
    <w:rsid w:val="00D15302"/>
    <w:rsid w:val="00D15BC0"/>
    <w:rsid w:val="00D15FA3"/>
    <w:rsid w:val="00D16064"/>
    <w:rsid w:val="00D16382"/>
    <w:rsid w:val="00D16431"/>
    <w:rsid w:val="00D1651D"/>
    <w:rsid w:val="00D1669A"/>
    <w:rsid w:val="00D16733"/>
    <w:rsid w:val="00D171DB"/>
    <w:rsid w:val="00D175BD"/>
    <w:rsid w:val="00D17767"/>
    <w:rsid w:val="00D17B1B"/>
    <w:rsid w:val="00D17BEC"/>
    <w:rsid w:val="00D205AE"/>
    <w:rsid w:val="00D2065E"/>
    <w:rsid w:val="00D20A92"/>
    <w:rsid w:val="00D20EB7"/>
    <w:rsid w:val="00D21115"/>
    <w:rsid w:val="00D21188"/>
    <w:rsid w:val="00D2204F"/>
    <w:rsid w:val="00D224D4"/>
    <w:rsid w:val="00D22561"/>
    <w:rsid w:val="00D235DF"/>
    <w:rsid w:val="00D238FC"/>
    <w:rsid w:val="00D2423B"/>
    <w:rsid w:val="00D2491B"/>
    <w:rsid w:val="00D24E92"/>
    <w:rsid w:val="00D2521B"/>
    <w:rsid w:val="00D25FD7"/>
    <w:rsid w:val="00D26F55"/>
    <w:rsid w:val="00D2738D"/>
    <w:rsid w:val="00D27D91"/>
    <w:rsid w:val="00D3146F"/>
    <w:rsid w:val="00D3175C"/>
    <w:rsid w:val="00D31E6D"/>
    <w:rsid w:val="00D32166"/>
    <w:rsid w:val="00D32A18"/>
    <w:rsid w:val="00D32BCF"/>
    <w:rsid w:val="00D330D2"/>
    <w:rsid w:val="00D33D49"/>
    <w:rsid w:val="00D34490"/>
    <w:rsid w:val="00D345E5"/>
    <w:rsid w:val="00D3464C"/>
    <w:rsid w:val="00D34B33"/>
    <w:rsid w:val="00D34BFB"/>
    <w:rsid w:val="00D351A8"/>
    <w:rsid w:val="00D36226"/>
    <w:rsid w:val="00D36A5B"/>
    <w:rsid w:val="00D36CB1"/>
    <w:rsid w:val="00D373D5"/>
    <w:rsid w:val="00D375EA"/>
    <w:rsid w:val="00D377A4"/>
    <w:rsid w:val="00D37C1B"/>
    <w:rsid w:val="00D37D75"/>
    <w:rsid w:val="00D40665"/>
    <w:rsid w:val="00D4079C"/>
    <w:rsid w:val="00D408FF"/>
    <w:rsid w:val="00D41128"/>
    <w:rsid w:val="00D41165"/>
    <w:rsid w:val="00D4130E"/>
    <w:rsid w:val="00D415EF"/>
    <w:rsid w:val="00D42363"/>
    <w:rsid w:val="00D4275F"/>
    <w:rsid w:val="00D428CD"/>
    <w:rsid w:val="00D42945"/>
    <w:rsid w:val="00D42BA3"/>
    <w:rsid w:val="00D432B6"/>
    <w:rsid w:val="00D43F7E"/>
    <w:rsid w:val="00D440C2"/>
    <w:rsid w:val="00D448E4"/>
    <w:rsid w:val="00D455FE"/>
    <w:rsid w:val="00D45A35"/>
    <w:rsid w:val="00D45C91"/>
    <w:rsid w:val="00D461EE"/>
    <w:rsid w:val="00D463D5"/>
    <w:rsid w:val="00D4674E"/>
    <w:rsid w:val="00D4685F"/>
    <w:rsid w:val="00D4699A"/>
    <w:rsid w:val="00D46C39"/>
    <w:rsid w:val="00D50048"/>
    <w:rsid w:val="00D5039A"/>
    <w:rsid w:val="00D507D3"/>
    <w:rsid w:val="00D50A01"/>
    <w:rsid w:val="00D50AC9"/>
    <w:rsid w:val="00D50D86"/>
    <w:rsid w:val="00D51575"/>
    <w:rsid w:val="00D51702"/>
    <w:rsid w:val="00D51ACB"/>
    <w:rsid w:val="00D526EB"/>
    <w:rsid w:val="00D5279B"/>
    <w:rsid w:val="00D5285C"/>
    <w:rsid w:val="00D52E07"/>
    <w:rsid w:val="00D53911"/>
    <w:rsid w:val="00D53E62"/>
    <w:rsid w:val="00D53FC5"/>
    <w:rsid w:val="00D544A3"/>
    <w:rsid w:val="00D5450D"/>
    <w:rsid w:val="00D5472D"/>
    <w:rsid w:val="00D5581C"/>
    <w:rsid w:val="00D55876"/>
    <w:rsid w:val="00D567D1"/>
    <w:rsid w:val="00D56EE1"/>
    <w:rsid w:val="00D57032"/>
    <w:rsid w:val="00D5797A"/>
    <w:rsid w:val="00D60D7B"/>
    <w:rsid w:val="00D61016"/>
    <w:rsid w:val="00D611B6"/>
    <w:rsid w:val="00D61401"/>
    <w:rsid w:val="00D620CF"/>
    <w:rsid w:val="00D63667"/>
    <w:rsid w:val="00D6375C"/>
    <w:rsid w:val="00D642B2"/>
    <w:rsid w:val="00D64481"/>
    <w:rsid w:val="00D646CB"/>
    <w:rsid w:val="00D64766"/>
    <w:rsid w:val="00D64DEB"/>
    <w:rsid w:val="00D65210"/>
    <w:rsid w:val="00D6560D"/>
    <w:rsid w:val="00D65649"/>
    <w:rsid w:val="00D66738"/>
    <w:rsid w:val="00D66D46"/>
    <w:rsid w:val="00D6738E"/>
    <w:rsid w:val="00D67639"/>
    <w:rsid w:val="00D67CF2"/>
    <w:rsid w:val="00D67D79"/>
    <w:rsid w:val="00D67EAE"/>
    <w:rsid w:val="00D70030"/>
    <w:rsid w:val="00D705CE"/>
    <w:rsid w:val="00D70886"/>
    <w:rsid w:val="00D70C1D"/>
    <w:rsid w:val="00D70F56"/>
    <w:rsid w:val="00D71490"/>
    <w:rsid w:val="00D718FF"/>
    <w:rsid w:val="00D71DD9"/>
    <w:rsid w:val="00D72816"/>
    <w:rsid w:val="00D72B37"/>
    <w:rsid w:val="00D732A9"/>
    <w:rsid w:val="00D739B6"/>
    <w:rsid w:val="00D739E2"/>
    <w:rsid w:val="00D74FA8"/>
    <w:rsid w:val="00D75230"/>
    <w:rsid w:val="00D754C5"/>
    <w:rsid w:val="00D75601"/>
    <w:rsid w:val="00D75980"/>
    <w:rsid w:val="00D7638E"/>
    <w:rsid w:val="00D763E7"/>
    <w:rsid w:val="00D76559"/>
    <w:rsid w:val="00D77E94"/>
    <w:rsid w:val="00D803F3"/>
    <w:rsid w:val="00D80784"/>
    <w:rsid w:val="00D80AA9"/>
    <w:rsid w:val="00D80C79"/>
    <w:rsid w:val="00D81172"/>
    <w:rsid w:val="00D818DB"/>
    <w:rsid w:val="00D820F9"/>
    <w:rsid w:val="00D8295F"/>
    <w:rsid w:val="00D82A48"/>
    <w:rsid w:val="00D8305C"/>
    <w:rsid w:val="00D83E5C"/>
    <w:rsid w:val="00D83F88"/>
    <w:rsid w:val="00D847A6"/>
    <w:rsid w:val="00D8491D"/>
    <w:rsid w:val="00D85145"/>
    <w:rsid w:val="00D856C2"/>
    <w:rsid w:val="00D85C9F"/>
    <w:rsid w:val="00D85FBD"/>
    <w:rsid w:val="00D85FCF"/>
    <w:rsid w:val="00D861D0"/>
    <w:rsid w:val="00D86974"/>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C64"/>
    <w:rsid w:val="00D95EAD"/>
    <w:rsid w:val="00D966A7"/>
    <w:rsid w:val="00D96A78"/>
    <w:rsid w:val="00D9722D"/>
    <w:rsid w:val="00D976C8"/>
    <w:rsid w:val="00D97744"/>
    <w:rsid w:val="00D97D1C"/>
    <w:rsid w:val="00DA0290"/>
    <w:rsid w:val="00DA0867"/>
    <w:rsid w:val="00DA1236"/>
    <w:rsid w:val="00DA157F"/>
    <w:rsid w:val="00DA1C94"/>
    <w:rsid w:val="00DA1CD8"/>
    <w:rsid w:val="00DA2C84"/>
    <w:rsid w:val="00DA2D67"/>
    <w:rsid w:val="00DA36AC"/>
    <w:rsid w:val="00DA3EFE"/>
    <w:rsid w:val="00DA4065"/>
    <w:rsid w:val="00DA486D"/>
    <w:rsid w:val="00DA4CA3"/>
    <w:rsid w:val="00DA4F0C"/>
    <w:rsid w:val="00DA50C7"/>
    <w:rsid w:val="00DA5132"/>
    <w:rsid w:val="00DA57E7"/>
    <w:rsid w:val="00DA58AE"/>
    <w:rsid w:val="00DA5F09"/>
    <w:rsid w:val="00DA6D9A"/>
    <w:rsid w:val="00DA7C63"/>
    <w:rsid w:val="00DB0323"/>
    <w:rsid w:val="00DB06AA"/>
    <w:rsid w:val="00DB1357"/>
    <w:rsid w:val="00DB185E"/>
    <w:rsid w:val="00DB2092"/>
    <w:rsid w:val="00DB24B6"/>
    <w:rsid w:val="00DB2926"/>
    <w:rsid w:val="00DB29E6"/>
    <w:rsid w:val="00DB2AD0"/>
    <w:rsid w:val="00DB2D40"/>
    <w:rsid w:val="00DB30B6"/>
    <w:rsid w:val="00DB3196"/>
    <w:rsid w:val="00DB3813"/>
    <w:rsid w:val="00DB401B"/>
    <w:rsid w:val="00DB42CB"/>
    <w:rsid w:val="00DB51D8"/>
    <w:rsid w:val="00DB5348"/>
    <w:rsid w:val="00DB5CB9"/>
    <w:rsid w:val="00DB6162"/>
    <w:rsid w:val="00DB645E"/>
    <w:rsid w:val="00DB69E9"/>
    <w:rsid w:val="00DB76B8"/>
    <w:rsid w:val="00DB7B50"/>
    <w:rsid w:val="00DC02D4"/>
    <w:rsid w:val="00DC133C"/>
    <w:rsid w:val="00DC1779"/>
    <w:rsid w:val="00DC1BA9"/>
    <w:rsid w:val="00DC1F28"/>
    <w:rsid w:val="00DC2247"/>
    <w:rsid w:val="00DC23F6"/>
    <w:rsid w:val="00DC2AE4"/>
    <w:rsid w:val="00DC334D"/>
    <w:rsid w:val="00DC34E0"/>
    <w:rsid w:val="00DC3DBF"/>
    <w:rsid w:val="00DC3E3A"/>
    <w:rsid w:val="00DC48CD"/>
    <w:rsid w:val="00DC4AA0"/>
    <w:rsid w:val="00DC4B61"/>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386"/>
    <w:rsid w:val="00DD56CE"/>
    <w:rsid w:val="00DD5AD9"/>
    <w:rsid w:val="00DD5D3C"/>
    <w:rsid w:val="00DD67B8"/>
    <w:rsid w:val="00DD6B4C"/>
    <w:rsid w:val="00DD713B"/>
    <w:rsid w:val="00DD79AC"/>
    <w:rsid w:val="00DE072B"/>
    <w:rsid w:val="00DE1410"/>
    <w:rsid w:val="00DE184A"/>
    <w:rsid w:val="00DE26D1"/>
    <w:rsid w:val="00DE2BC6"/>
    <w:rsid w:val="00DE358B"/>
    <w:rsid w:val="00DE35D9"/>
    <w:rsid w:val="00DE3602"/>
    <w:rsid w:val="00DE393F"/>
    <w:rsid w:val="00DE5120"/>
    <w:rsid w:val="00DE5422"/>
    <w:rsid w:val="00DE57BC"/>
    <w:rsid w:val="00DE5824"/>
    <w:rsid w:val="00DE5976"/>
    <w:rsid w:val="00DE5F90"/>
    <w:rsid w:val="00DE639A"/>
    <w:rsid w:val="00DE64E0"/>
    <w:rsid w:val="00DE6B50"/>
    <w:rsid w:val="00DE7639"/>
    <w:rsid w:val="00DE769D"/>
    <w:rsid w:val="00DF002C"/>
    <w:rsid w:val="00DF0C69"/>
    <w:rsid w:val="00DF17B8"/>
    <w:rsid w:val="00DF1D19"/>
    <w:rsid w:val="00DF231F"/>
    <w:rsid w:val="00DF2442"/>
    <w:rsid w:val="00DF25F8"/>
    <w:rsid w:val="00DF2CB5"/>
    <w:rsid w:val="00DF2E0B"/>
    <w:rsid w:val="00DF2F8D"/>
    <w:rsid w:val="00DF2FE2"/>
    <w:rsid w:val="00DF3139"/>
    <w:rsid w:val="00DF40D6"/>
    <w:rsid w:val="00DF412D"/>
    <w:rsid w:val="00DF4414"/>
    <w:rsid w:val="00DF4FE8"/>
    <w:rsid w:val="00DF54C0"/>
    <w:rsid w:val="00DF5699"/>
    <w:rsid w:val="00DF71AC"/>
    <w:rsid w:val="00DF7532"/>
    <w:rsid w:val="00DF77A0"/>
    <w:rsid w:val="00DF7C60"/>
    <w:rsid w:val="00DF7E34"/>
    <w:rsid w:val="00E003B3"/>
    <w:rsid w:val="00E0128B"/>
    <w:rsid w:val="00E0138B"/>
    <w:rsid w:val="00E017EB"/>
    <w:rsid w:val="00E02E88"/>
    <w:rsid w:val="00E0327A"/>
    <w:rsid w:val="00E03642"/>
    <w:rsid w:val="00E03F33"/>
    <w:rsid w:val="00E04478"/>
    <w:rsid w:val="00E04D5A"/>
    <w:rsid w:val="00E04DED"/>
    <w:rsid w:val="00E04FBF"/>
    <w:rsid w:val="00E05B9B"/>
    <w:rsid w:val="00E05CB6"/>
    <w:rsid w:val="00E05CE4"/>
    <w:rsid w:val="00E06814"/>
    <w:rsid w:val="00E06ADD"/>
    <w:rsid w:val="00E070BE"/>
    <w:rsid w:val="00E07165"/>
    <w:rsid w:val="00E074B8"/>
    <w:rsid w:val="00E075A0"/>
    <w:rsid w:val="00E07A85"/>
    <w:rsid w:val="00E07FDF"/>
    <w:rsid w:val="00E10230"/>
    <w:rsid w:val="00E10BF7"/>
    <w:rsid w:val="00E10D17"/>
    <w:rsid w:val="00E113CD"/>
    <w:rsid w:val="00E121D0"/>
    <w:rsid w:val="00E12376"/>
    <w:rsid w:val="00E123FE"/>
    <w:rsid w:val="00E1253B"/>
    <w:rsid w:val="00E12850"/>
    <w:rsid w:val="00E13912"/>
    <w:rsid w:val="00E13A0D"/>
    <w:rsid w:val="00E141C7"/>
    <w:rsid w:val="00E14A92"/>
    <w:rsid w:val="00E14CBF"/>
    <w:rsid w:val="00E14DD7"/>
    <w:rsid w:val="00E15376"/>
    <w:rsid w:val="00E155CE"/>
    <w:rsid w:val="00E157F8"/>
    <w:rsid w:val="00E158CF"/>
    <w:rsid w:val="00E158DB"/>
    <w:rsid w:val="00E15EF4"/>
    <w:rsid w:val="00E174F6"/>
    <w:rsid w:val="00E179D8"/>
    <w:rsid w:val="00E20C37"/>
    <w:rsid w:val="00E212FF"/>
    <w:rsid w:val="00E21E3B"/>
    <w:rsid w:val="00E2258A"/>
    <w:rsid w:val="00E227E2"/>
    <w:rsid w:val="00E22997"/>
    <w:rsid w:val="00E22A35"/>
    <w:rsid w:val="00E2319F"/>
    <w:rsid w:val="00E237F9"/>
    <w:rsid w:val="00E23D16"/>
    <w:rsid w:val="00E23EEA"/>
    <w:rsid w:val="00E24657"/>
    <w:rsid w:val="00E24C15"/>
    <w:rsid w:val="00E25ED6"/>
    <w:rsid w:val="00E273B4"/>
    <w:rsid w:val="00E305ED"/>
    <w:rsid w:val="00E316A9"/>
    <w:rsid w:val="00E3298A"/>
    <w:rsid w:val="00E32C78"/>
    <w:rsid w:val="00E3346D"/>
    <w:rsid w:val="00E33BC8"/>
    <w:rsid w:val="00E33C88"/>
    <w:rsid w:val="00E33EB2"/>
    <w:rsid w:val="00E34382"/>
    <w:rsid w:val="00E344D1"/>
    <w:rsid w:val="00E34714"/>
    <w:rsid w:val="00E35077"/>
    <w:rsid w:val="00E355A0"/>
    <w:rsid w:val="00E35A6A"/>
    <w:rsid w:val="00E36558"/>
    <w:rsid w:val="00E3690A"/>
    <w:rsid w:val="00E3707D"/>
    <w:rsid w:val="00E37373"/>
    <w:rsid w:val="00E376E0"/>
    <w:rsid w:val="00E40C23"/>
    <w:rsid w:val="00E40CC1"/>
    <w:rsid w:val="00E41467"/>
    <w:rsid w:val="00E41750"/>
    <w:rsid w:val="00E41979"/>
    <w:rsid w:val="00E41A1A"/>
    <w:rsid w:val="00E41E5B"/>
    <w:rsid w:val="00E4276A"/>
    <w:rsid w:val="00E429B7"/>
    <w:rsid w:val="00E439FB"/>
    <w:rsid w:val="00E43B45"/>
    <w:rsid w:val="00E43FDB"/>
    <w:rsid w:val="00E44AE5"/>
    <w:rsid w:val="00E45C09"/>
    <w:rsid w:val="00E45EF4"/>
    <w:rsid w:val="00E46041"/>
    <w:rsid w:val="00E462BE"/>
    <w:rsid w:val="00E4665A"/>
    <w:rsid w:val="00E47082"/>
    <w:rsid w:val="00E4718C"/>
    <w:rsid w:val="00E479D4"/>
    <w:rsid w:val="00E47A47"/>
    <w:rsid w:val="00E47B2B"/>
    <w:rsid w:val="00E500B5"/>
    <w:rsid w:val="00E5062F"/>
    <w:rsid w:val="00E50CC9"/>
    <w:rsid w:val="00E50DC4"/>
    <w:rsid w:val="00E50F3F"/>
    <w:rsid w:val="00E5107A"/>
    <w:rsid w:val="00E513AD"/>
    <w:rsid w:val="00E51450"/>
    <w:rsid w:val="00E51A36"/>
    <w:rsid w:val="00E52AB3"/>
    <w:rsid w:val="00E52D66"/>
    <w:rsid w:val="00E53AFA"/>
    <w:rsid w:val="00E53F38"/>
    <w:rsid w:val="00E55531"/>
    <w:rsid w:val="00E5558E"/>
    <w:rsid w:val="00E556A5"/>
    <w:rsid w:val="00E55A03"/>
    <w:rsid w:val="00E55B92"/>
    <w:rsid w:val="00E55BAE"/>
    <w:rsid w:val="00E56700"/>
    <w:rsid w:val="00E5686F"/>
    <w:rsid w:val="00E56B49"/>
    <w:rsid w:val="00E5710A"/>
    <w:rsid w:val="00E57157"/>
    <w:rsid w:val="00E575F6"/>
    <w:rsid w:val="00E57EA3"/>
    <w:rsid w:val="00E603E9"/>
    <w:rsid w:val="00E6107E"/>
    <w:rsid w:val="00E612CA"/>
    <w:rsid w:val="00E614A9"/>
    <w:rsid w:val="00E620DC"/>
    <w:rsid w:val="00E62327"/>
    <w:rsid w:val="00E62688"/>
    <w:rsid w:val="00E6277B"/>
    <w:rsid w:val="00E628E6"/>
    <w:rsid w:val="00E62A84"/>
    <w:rsid w:val="00E62F04"/>
    <w:rsid w:val="00E6406B"/>
    <w:rsid w:val="00E654AC"/>
    <w:rsid w:val="00E657ED"/>
    <w:rsid w:val="00E658C9"/>
    <w:rsid w:val="00E659A5"/>
    <w:rsid w:val="00E66221"/>
    <w:rsid w:val="00E66F9A"/>
    <w:rsid w:val="00E67522"/>
    <w:rsid w:val="00E675B0"/>
    <w:rsid w:val="00E675D3"/>
    <w:rsid w:val="00E67B8E"/>
    <w:rsid w:val="00E67DED"/>
    <w:rsid w:val="00E67E77"/>
    <w:rsid w:val="00E70170"/>
    <w:rsid w:val="00E70BB3"/>
    <w:rsid w:val="00E70D33"/>
    <w:rsid w:val="00E70DF5"/>
    <w:rsid w:val="00E7187F"/>
    <w:rsid w:val="00E7197C"/>
    <w:rsid w:val="00E719DC"/>
    <w:rsid w:val="00E72135"/>
    <w:rsid w:val="00E7223A"/>
    <w:rsid w:val="00E7318A"/>
    <w:rsid w:val="00E73471"/>
    <w:rsid w:val="00E736ED"/>
    <w:rsid w:val="00E73C13"/>
    <w:rsid w:val="00E73F93"/>
    <w:rsid w:val="00E74804"/>
    <w:rsid w:val="00E74ADD"/>
    <w:rsid w:val="00E74D22"/>
    <w:rsid w:val="00E74D34"/>
    <w:rsid w:val="00E750FC"/>
    <w:rsid w:val="00E752CA"/>
    <w:rsid w:val="00E75386"/>
    <w:rsid w:val="00E75BE1"/>
    <w:rsid w:val="00E75FB8"/>
    <w:rsid w:val="00E76786"/>
    <w:rsid w:val="00E76D61"/>
    <w:rsid w:val="00E77350"/>
    <w:rsid w:val="00E7744A"/>
    <w:rsid w:val="00E80AD6"/>
    <w:rsid w:val="00E80DFE"/>
    <w:rsid w:val="00E820A6"/>
    <w:rsid w:val="00E826A9"/>
    <w:rsid w:val="00E82738"/>
    <w:rsid w:val="00E82767"/>
    <w:rsid w:val="00E82A8D"/>
    <w:rsid w:val="00E83056"/>
    <w:rsid w:val="00E83762"/>
    <w:rsid w:val="00E838F0"/>
    <w:rsid w:val="00E840F9"/>
    <w:rsid w:val="00E84151"/>
    <w:rsid w:val="00E847C9"/>
    <w:rsid w:val="00E847CE"/>
    <w:rsid w:val="00E8525D"/>
    <w:rsid w:val="00E85C5C"/>
    <w:rsid w:val="00E85DC2"/>
    <w:rsid w:val="00E85E4F"/>
    <w:rsid w:val="00E861FB"/>
    <w:rsid w:val="00E8623D"/>
    <w:rsid w:val="00E86A90"/>
    <w:rsid w:val="00E86EA2"/>
    <w:rsid w:val="00E87D37"/>
    <w:rsid w:val="00E90684"/>
    <w:rsid w:val="00E90724"/>
    <w:rsid w:val="00E91650"/>
    <w:rsid w:val="00E91AAC"/>
    <w:rsid w:val="00E922B2"/>
    <w:rsid w:val="00E9249F"/>
    <w:rsid w:val="00E93120"/>
    <w:rsid w:val="00E93357"/>
    <w:rsid w:val="00E93AA8"/>
    <w:rsid w:val="00E946D6"/>
    <w:rsid w:val="00E94E51"/>
    <w:rsid w:val="00E95249"/>
    <w:rsid w:val="00E958A4"/>
    <w:rsid w:val="00E95A6D"/>
    <w:rsid w:val="00E95E02"/>
    <w:rsid w:val="00E961C4"/>
    <w:rsid w:val="00E9684C"/>
    <w:rsid w:val="00E969F4"/>
    <w:rsid w:val="00E96E79"/>
    <w:rsid w:val="00E973B0"/>
    <w:rsid w:val="00E97E85"/>
    <w:rsid w:val="00EA061C"/>
    <w:rsid w:val="00EA102B"/>
    <w:rsid w:val="00EA1428"/>
    <w:rsid w:val="00EA326D"/>
    <w:rsid w:val="00EA3F98"/>
    <w:rsid w:val="00EA460C"/>
    <w:rsid w:val="00EA4896"/>
    <w:rsid w:val="00EA4AE9"/>
    <w:rsid w:val="00EA5053"/>
    <w:rsid w:val="00EA582A"/>
    <w:rsid w:val="00EA5A9C"/>
    <w:rsid w:val="00EA6049"/>
    <w:rsid w:val="00EA6669"/>
    <w:rsid w:val="00EA6EF6"/>
    <w:rsid w:val="00EA702D"/>
    <w:rsid w:val="00EA786D"/>
    <w:rsid w:val="00EA78ED"/>
    <w:rsid w:val="00EA791C"/>
    <w:rsid w:val="00EA7A4B"/>
    <w:rsid w:val="00EB0AA5"/>
    <w:rsid w:val="00EB1605"/>
    <w:rsid w:val="00EB1D92"/>
    <w:rsid w:val="00EB2782"/>
    <w:rsid w:val="00EB2A9A"/>
    <w:rsid w:val="00EB3241"/>
    <w:rsid w:val="00EB35D9"/>
    <w:rsid w:val="00EB38C3"/>
    <w:rsid w:val="00EB3DDC"/>
    <w:rsid w:val="00EB4344"/>
    <w:rsid w:val="00EB455A"/>
    <w:rsid w:val="00EB4A4C"/>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274"/>
    <w:rsid w:val="00EC231C"/>
    <w:rsid w:val="00EC25B7"/>
    <w:rsid w:val="00EC2801"/>
    <w:rsid w:val="00EC2AFB"/>
    <w:rsid w:val="00EC311A"/>
    <w:rsid w:val="00EC342D"/>
    <w:rsid w:val="00EC4642"/>
    <w:rsid w:val="00EC4B88"/>
    <w:rsid w:val="00EC5E24"/>
    <w:rsid w:val="00EC60F0"/>
    <w:rsid w:val="00EC659C"/>
    <w:rsid w:val="00EC6903"/>
    <w:rsid w:val="00EC6997"/>
    <w:rsid w:val="00EC6E4B"/>
    <w:rsid w:val="00ED020E"/>
    <w:rsid w:val="00ED0525"/>
    <w:rsid w:val="00ED0A2B"/>
    <w:rsid w:val="00ED0AF8"/>
    <w:rsid w:val="00ED0EFF"/>
    <w:rsid w:val="00ED13BB"/>
    <w:rsid w:val="00ED16D5"/>
    <w:rsid w:val="00ED1C1E"/>
    <w:rsid w:val="00ED1E15"/>
    <w:rsid w:val="00ED2E59"/>
    <w:rsid w:val="00ED2E62"/>
    <w:rsid w:val="00ED334F"/>
    <w:rsid w:val="00ED341D"/>
    <w:rsid w:val="00ED34E2"/>
    <w:rsid w:val="00ED39F7"/>
    <w:rsid w:val="00ED42EB"/>
    <w:rsid w:val="00ED4822"/>
    <w:rsid w:val="00ED5623"/>
    <w:rsid w:val="00ED5648"/>
    <w:rsid w:val="00ED5D97"/>
    <w:rsid w:val="00ED5E8F"/>
    <w:rsid w:val="00ED67DD"/>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225"/>
    <w:rsid w:val="00EE3617"/>
    <w:rsid w:val="00EE3B1C"/>
    <w:rsid w:val="00EE417F"/>
    <w:rsid w:val="00EE4254"/>
    <w:rsid w:val="00EE4814"/>
    <w:rsid w:val="00EE4AC4"/>
    <w:rsid w:val="00EE4C93"/>
    <w:rsid w:val="00EE5086"/>
    <w:rsid w:val="00EE547F"/>
    <w:rsid w:val="00EE6055"/>
    <w:rsid w:val="00EE6C74"/>
    <w:rsid w:val="00EE6C7F"/>
    <w:rsid w:val="00EE701D"/>
    <w:rsid w:val="00EE7147"/>
    <w:rsid w:val="00EE78C3"/>
    <w:rsid w:val="00EE7E4B"/>
    <w:rsid w:val="00EF0287"/>
    <w:rsid w:val="00EF048F"/>
    <w:rsid w:val="00EF1324"/>
    <w:rsid w:val="00EF19DB"/>
    <w:rsid w:val="00EF1C05"/>
    <w:rsid w:val="00EF1D85"/>
    <w:rsid w:val="00EF1EF3"/>
    <w:rsid w:val="00EF200C"/>
    <w:rsid w:val="00EF2134"/>
    <w:rsid w:val="00EF2C02"/>
    <w:rsid w:val="00EF2C5D"/>
    <w:rsid w:val="00EF2D83"/>
    <w:rsid w:val="00EF304F"/>
    <w:rsid w:val="00EF3154"/>
    <w:rsid w:val="00EF344D"/>
    <w:rsid w:val="00EF4F4B"/>
    <w:rsid w:val="00EF5CBA"/>
    <w:rsid w:val="00EF62D2"/>
    <w:rsid w:val="00EF6F0D"/>
    <w:rsid w:val="00EF7911"/>
    <w:rsid w:val="00EF7C84"/>
    <w:rsid w:val="00EF7D17"/>
    <w:rsid w:val="00F00901"/>
    <w:rsid w:val="00F00C9A"/>
    <w:rsid w:val="00F0149A"/>
    <w:rsid w:val="00F01F5D"/>
    <w:rsid w:val="00F0203C"/>
    <w:rsid w:val="00F0257D"/>
    <w:rsid w:val="00F02A13"/>
    <w:rsid w:val="00F02F65"/>
    <w:rsid w:val="00F03EC7"/>
    <w:rsid w:val="00F040E9"/>
    <w:rsid w:val="00F04289"/>
    <w:rsid w:val="00F04533"/>
    <w:rsid w:val="00F04762"/>
    <w:rsid w:val="00F052EA"/>
    <w:rsid w:val="00F05C15"/>
    <w:rsid w:val="00F05C1D"/>
    <w:rsid w:val="00F05C70"/>
    <w:rsid w:val="00F06798"/>
    <w:rsid w:val="00F06B4E"/>
    <w:rsid w:val="00F070B8"/>
    <w:rsid w:val="00F0796F"/>
    <w:rsid w:val="00F1010A"/>
    <w:rsid w:val="00F104AF"/>
    <w:rsid w:val="00F111CC"/>
    <w:rsid w:val="00F1225E"/>
    <w:rsid w:val="00F122B6"/>
    <w:rsid w:val="00F12387"/>
    <w:rsid w:val="00F12D02"/>
    <w:rsid w:val="00F13400"/>
    <w:rsid w:val="00F1361A"/>
    <w:rsid w:val="00F139C5"/>
    <w:rsid w:val="00F144F7"/>
    <w:rsid w:val="00F14580"/>
    <w:rsid w:val="00F1495E"/>
    <w:rsid w:val="00F14D62"/>
    <w:rsid w:val="00F15BD6"/>
    <w:rsid w:val="00F15C64"/>
    <w:rsid w:val="00F15DF8"/>
    <w:rsid w:val="00F16179"/>
    <w:rsid w:val="00F16732"/>
    <w:rsid w:val="00F1763F"/>
    <w:rsid w:val="00F17679"/>
    <w:rsid w:val="00F17B6B"/>
    <w:rsid w:val="00F17D33"/>
    <w:rsid w:val="00F17D88"/>
    <w:rsid w:val="00F200B5"/>
    <w:rsid w:val="00F2047B"/>
    <w:rsid w:val="00F20518"/>
    <w:rsid w:val="00F20A04"/>
    <w:rsid w:val="00F2122C"/>
    <w:rsid w:val="00F212F5"/>
    <w:rsid w:val="00F2183D"/>
    <w:rsid w:val="00F22702"/>
    <w:rsid w:val="00F2279A"/>
    <w:rsid w:val="00F227BC"/>
    <w:rsid w:val="00F22C8B"/>
    <w:rsid w:val="00F2334E"/>
    <w:rsid w:val="00F239A7"/>
    <w:rsid w:val="00F23B3C"/>
    <w:rsid w:val="00F24883"/>
    <w:rsid w:val="00F25026"/>
    <w:rsid w:val="00F25A98"/>
    <w:rsid w:val="00F26164"/>
    <w:rsid w:val="00F26425"/>
    <w:rsid w:val="00F26438"/>
    <w:rsid w:val="00F269CA"/>
    <w:rsid w:val="00F26D70"/>
    <w:rsid w:val="00F27254"/>
    <w:rsid w:val="00F27652"/>
    <w:rsid w:val="00F278CE"/>
    <w:rsid w:val="00F27953"/>
    <w:rsid w:val="00F30275"/>
    <w:rsid w:val="00F30793"/>
    <w:rsid w:val="00F30917"/>
    <w:rsid w:val="00F30A50"/>
    <w:rsid w:val="00F30FFE"/>
    <w:rsid w:val="00F3130A"/>
    <w:rsid w:val="00F31966"/>
    <w:rsid w:val="00F31A33"/>
    <w:rsid w:val="00F3245F"/>
    <w:rsid w:val="00F33841"/>
    <w:rsid w:val="00F338CA"/>
    <w:rsid w:val="00F33B04"/>
    <w:rsid w:val="00F33F81"/>
    <w:rsid w:val="00F34349"/>
    <w:rsid w:val="00F34427"/>
    <w:rsid w:val="00F3503A"/>
    <w:rsid w:val="00F354C6"/>
    <w:rsid w:val="00F356B1"/>
    <w:rsid w:val="00F358DD"/>
    <w:rsid w:val="00F35F2C"/>
    <w:rsid w:val="00F36174"/>
    <w:rsid w:val="00F365C0"/>
    <w:rsid w:val="00F36797"/>
    <w:rsid w:val="00F369AC"/>
    <w:rsid w:val="00F36D09"/>
    <w:rsid w:val="00F36E89"/>
    <w:rsid w:val="00F372A4"/>
    <w:rsid w:val="00F379FA"/>
    <w:rsid w:val="00F37BC6"/>
    <w:rsid w:val="00F419AF"/>
    <w:rsid w:val="00F41F16"/>
    <w:rsid w:val="00F43B2E"/>
    <w:rsid w:val="00F43E72"/>
    <w:rsid w:val="00F44773"/>
    <w:rsid w:val="00F4488A"/>
    <w:rsid w:val="00F454ED"/>
    <w:rsid w:val="00F455B8"/>
    <w:rsid w:val="00F45729"/>
    <w:rsid w:val="00F45938"/>
    <w:rsid w:val="00F45D0A"/>
    <w:rsid w:val="00F46081"/>
    <w:rsid w:val="00F461D7"/>
    <w:rsid w:val="00F46E85"/>
    <w:rsid w:val="00F4742C"/>
    <w:rsid w:val="00F477FC"/>
    <w:rsid w:val="00F50014"/>
    <w:rsid w:val="00F502A4"/>
    <w:rsid w:val="00F50692"/>
    <w:rsid w:val="00F50D80"/>
    <w:rsid w:val="00F5114B"/>
    <w:rsid w:val="00F512A6"/>
    <w:rsid w:val="00F51AF3"/>
    <w:rsid w:val="00F51CDF"/>
    <w:rsid w:val="00F51CFD"/>
    <w:rsid w:val="00F52493"/>
    <w:rsid w:val="00F527EB"/>
    <w:rsid w:val="00F52C59"/>
    <w:rsid w:val="00F5331E"/>
    <w:rsid w:val="00F53E49"/>
    <w:rsid w:val="00F53E4B"/>
    <w:rsid w:val="00F545CD"/>
    <w:rsid w:val="00F54823"/>
    <w:rsid w:val="00F54890"/>
    <w:rsid w:val="00F55F69"/>
    <w:rsid w:val="00F562F3"/>
    <w:rsid w:val="00F56A7A"/>
    <w:rsid w:val="00F56CAD"/>
    <w:rsid w:val="00F57232"/>
    <w:rsid w:val="00F57B2A"/>
    <w:rsid w:val="00F600E7"/>
    <w:rsid w:val="00F60F16"/>
    <w:rsid w:val="00F61053"/>
    <w:rsid w:val="00F616C6"/>
    <w:rsid w:val="00F624F2"/>
    <w:rsid w:val="00F63769"/>
    <w:rsid w:val="00F639F1"/>
    <w:rsid w:val="00F649BB"/>
    <w:rsid w:val="00F65E93"/>
    <w:rsid w:val="00F66C7E"/>
    <w:rsid w:val="00F6758C"/>
    <w:rsid w:val="00F67CB2"/>
    <w:rsid w:val="00F70864"/>
    <w:rsid w:val="00F70D31"/>
    <w:rsid w:val="00F70E65"/>
    <w:rsid w:val="00F70F20"/>
    <w:rsid w:val="00F7103E"/>
    <w:rsid w:val="00F71654"/>
    <w:rsid w:val="00F716A5"/>
    <w:rsid w:val="00F71756"/>
    <w:rsid w:val="00F71ADC"/>
    <w:rsid w:val="00F71C50"/>
    <w:rsid w:val="00F72772"/>
    <w:rsid w:val="00F72A0C"/>
    <w:rsid w:val="00F72BEF"/>
    <w:rsid w:val="00F730B5"/>
    <w:rsid w:val="00F73168"/>
    <w:rsid w:val="00F736B1"/>
    <w:rsid w:val="00F73D0C"/>
    <w:rsid w:val="00F73E3B"/>
    <w:rsid w:val="00F74007"/>
    <w:rsid w:val="00F74530"/>
    <w:rsid w:val="00F74B98"/>
    <w:rsid w:val="00F74FE3"/>
    <w:rsid w:val="00F757DA"/>
    <w:rsid w:val="00F7618A"/>
    <w:rsid w:val="00F76FE4"/>
    <w:rsid w:val="00F77D4B"/>
    <w:rsid w:val="00F77F0D"/>
    <w:rsid w:val="00F80A5C"/>
    <w:rsid w:val="00F81709"/>
    <w:rsid w:val="00F81A41"/>
    <w:rsid w:val="00F81B70"/>
    <w:rsid w:val="00F81D9D"/>
    <w:rsid w:val="00F827F4"/>
    <w:rsid w:val="00F82A04"/>
    <w:rsid w:val="00F82B52"/>
    <w:rsid w:val="00F82B90"/>
    <w:rsid w:val="00F82E44"/>
    <w:rsid w:val="00F83238"/>
    <w:rsid w:val="00F83D53"/>
    <w:rsid w:val="00F84A9E"/>
    <w:rsid w:val="00F85569"/>
    <w:rsid w:val="00F85AD6"/>
    <w:rsid w:val="00F85F95"/>
    <w:rsid w:val="00F869A3"/>
    <w:rsid w:val="00F87AF8"/>
    <w:rsid w:val="00F87F19"/>
    <w:rsid w:val="00F900EA"/>
    <w:rsid w:val="00F9028B"/>
    <w:rsid w:val="00F90BDB"/>
    <w:rsid w:val="00F90DD1"/>
    <w:rsid w:val="00F90F80"/>
    <w:rsid w:val="00F91225"/>
    <w:rsid w:val="00F9187D"/>
    <w:rsid w:val="00F91BEE"/>
    <w:rsid w:val="00F92604"/>
    <w:rsid w:val="00F92644"/>
    <w:rsid w:val="00F9275D"/>
    <w:rsid w:val="00F92A30"/>
    <w:rsid w:val="00F92AC1"/>
    <w:rsid w:val="00F92D60"/>
    <w:rsid w:val="00F9388C"/>
    <w:rsid w:val="00F93AC6"/>
    <w:rsid w:val="00F94B79"/>
    <w:rsid w:val="00F95193"/>
    <w:rsid w:val="00F954C1"/>
    <w:rsid w:val="00F95E4F"/>
    <w:rsid w:val="00F9619D"/>
    <w:rsid w:val="00F96E77"/>
    <w:rsid w:val="00F97042"/>
    <w:rsid w:val="00F97509"/>
    <w:rsid w:val="00F976E4"/>
    <w:rsid w:val="00F978F8"/>
    <w:rsid w:val="00FA12D7"/>
    <w:rsid w:val="00FA1658"/>
    <w:rsid w:val="00FA2937"/>
    <w:rsid w:val="00FA2CB8"/>
    <w:rsid w:val="00FA3102"/>
    <w:rsid w:val="00FA35BE"/>
    <w:rsid w:val="00FA378B"/>
    <w:rsid w:val="00FA37AD"/>
    <w:rsid w:val="00FA3A19"/>
    <w:rsid w:val="00FA3A2A"/>
    <w:rsid w:val="00FA3CC1"/>
    <w:rsid w:val="00FA3EFB"/>
    <w:rsid w:val="00FA436E"/>
    <w:rsid w:val="00FA4AAD"/>
    <w:rsid w:val="00FA4DE5"/>
    <w:rsid w:val="00FA5422"/>
    <w:rsid w:val="00FA596B"/>
    <w:rsid w:val="00FA681E"/>
    <w:rsid w:val="00FA719D"/>
    <w:rsid w:val="00FA72E7"/>
    <w:rsid w:val="00FB03B6"/>
    <w:rsid w:val="00FB03EC"/>
    <w:rsid w:val="00FB0DC3"/>
    <w:rsid w:val="00FB10ED"/>
    <w:rsid w:val="00FB249A"/>
    <w:rsid w:val="00FB24FE"/>
    <w:rsid w:val="00FB2545"/>
    <w:rsid w:val="00FB2BF2"/>
    <w:rsid w:val="00FB2CD4"/>
    <w:rsid w:val="00FB2FF2"/>
    <w:rsid w:val="00FB3EDF"/>
    <w:rsid w:val="00FB41AB"/>
    <w:rsid w:val="00FB4961"/>
    <w:rsid w:val="00FB49E2"/>
    <w:rsid w:val="00FB526B"/>
    <w:rsid w:val="00FB5902"/>
    <w:rsid w:val="00FB5D6F"/>
    <w:rsid w:val="00FB60DF"/>
    <w:rsid w:val="00FB65B9"/>
    <w:rsid w:val="00FB6732"/>
    <w:rsid w:val="00FB687D"/>
    <w:rsid w:val="00FB6E34"/>
    <w:rsid w:val="00FB70CE"/>
    <w:rsid w:val="00FB7782"/>
    <w:rsid w:val="00FB79FA"/>
    <w:rsid w:val="00FC0FE9"/>
    <w:rsid w:val="00FC10E3"/>
    <w:rsid w:val="00FC13E2"/>
    <w:rsid w:val="00FC1B3B"/>
    <w:rsid w:val="00FC1C05"/>
    <w:rsid w:val="00FC1F0F"/>
    <w:rsid w:val="00FC2145"/>
    <w:rsid w:val="00FC25B7"/>
    <w:rsid w:val="00FC2ABF"/>
    <w:rsid w:val="00FC315C"/>
    <w:rsid w:val="00FC33CE"/>
    <w:rsid w:val="00FC3C3D"/>
    <w:rsid w:val="00FC49BA"/>
    <w:rsid w:val="00FC4F5E"/>
    <w:rsid w:val="00FC5CBB"/>
    <w:rsid w:val="00FC5E05"/>
    <w:rsid w:val="00FC6A7C"/>
    <w:rsid w:val="00FC737A"/>
    <w:rsid w:val="00FC7743"/>
    <w:rsid w:val="00FC7A28"/>
    <w:rsid w:val="00FC7B22"/>
    <w:rsid w:val="00FC7C4A"/>
    <w:rsid w:val="00FC7EBF"/>
    <w:rsid w:val="00FD0978"/>
    <w:rsid w:val="00FD0B36"/>
    <w:rsid w:val="00FD0B50"/>
    <w:rsid w:val="00FD0D9E"/>
    <w:rsid w:val="00FD0DE5"/>
    <w:rsid w:val="00FD0F6F"/>
    <w:rsid w:val="00FD157A"/>
    <w:rsid w:val="00FD1755"/>
    <w:rsid w:val="00FD190E"/>
    <w:rsid w:val="00FD1E47"/>
    <w:rsid w:val="00FD1E6C"/>
    <w:rsid w:val="00FD290E"/>
    <w:rsid w:val="00FD2998"/>
    <w:rsid w:val="00FD2C21"/>
    <w:rsid w:val="00FD3049"/>
    <w:rsid w:val="00FD3D43"/>
    <w:rsid w:val="00FD44FB"/>
    <w:rsid w:val="00FD4E6F"/>
    <w:rsid w:val="00FD4EFD"/>
    <w:rsid w:val="00FD4FC5"/>
    <w:rsid w:val="00FD540E"/>
    <w:rsid w:val="00FD548C"/>
    <w:rsid w:val="00FD555E"/>
    <w:rsid w:val="00FD594B"/>
    <w:rsid w:val="00FD5CBE"/>
    <w:rsid w:val="00FD60E2"/>
    <w:rsid w:val="00FD69F6"/>
    <w:rsid w:val="00FD6E5E"/>
    <w:rsid w:val="00FD6EC4"/>
    <w:rsid w:val="00FD6F77"/>
    <w:rsid w:val="00FD7126"/>
    <w:rsid w:val="00FD7581"/>
    <w:rsid w:val="00FD7964"/>
    <w:rsid w:val="00FE077B"/>
    <w:rsid w:val="00FE0C47"/>
    <w:rsid w:val="00FE0CFA"/>
    <w:rsid w:val="00FE1160"/>
    <w:rsid w:val="00FE17D4"/>
    <w:rsid w:val="00FE1BB6"/>
    <w:rsid w:val="00FE21DE"/>
    <w:rsid w:val="00FE23AB"/>
    <w:rsid w:val="00FE23FB"/>
    <w:rsid w:val="00FE2619"/>
    <w:rsid w:val="00FE27C5"/>
    <w:rsid w:val="00FE2B22"/>
    <w:rsid w:val="00FE2DFA"/>
    <w:rsid w:val="00FE305E"/>
    <w:rsid w:val="00FE30DC"/>
    <w:rsid w:val="00FE30F6"/>
    <w:rsid w:val="00FE324D"/>
    <w:rsid w:val="00FE3A0C"/>
    <w:rsid w:val="00FE3B48"/>
    <w:rsid w:val="00FE3EBA"/>
    <w:rsid w:val="00FE4D1E"/>
    <w:rsid w:val="00FE4F0F"/>
    <w:rsid w:val="00FE52CD"/>
    <w:rsid w:val="00FE52D5"/>
    <w:rsid w:val="00FE5324"/>
    <w:rsid w:val="00FE59F4"/>
    <w:rsid w:val="00FE6E20"/>
    <w:rsid w:val="00FE6FE1"/>
    <w:rsid w:val="00FE763E"/>
    <w:rsid w:val="00FF0B01"/>
    <w:rsid w:val="00FF0B6E"/>
    <w:rsid w:val="00FF0F40"/>
    <w:rsid w:val="00FF2213"/>
    <w:rsid w:val="00FF2336"/>
    <w:rsid w:val="00FF28BC"/>
    <w:rsid w:val="00FF2964"/>
    <w:rsid w:val="00FF2AD7"/>
    <w:rsid w:val="00FF3939"/>
    <w:rsid w:val="00FF4470"/>
    <w:rsid w:val="00FF44DD"/>
    <w:rsid w:val="00FF4A1A"/>
    <w:rsid w:val="00FF5237"/>
    <w:rsid w:val="00FF5421"/>
    <w:rsid w:val="00FF54B0"/>
    <w:rsid w:val="00FF58F1"/>
    <w:rsid w:val="00FF594F"/>
    <w:rsid w:val="00FF64B0"/>
    <w:rsid w:val="00FF677B"/>
    <w:rsid w:val="00FF7161"/>
    <w:rsid w:val="00FF78C5"/>
    <w:rsid w:val="00FF7A4F"/>
    <w:rsid w:val="00FF7DF3"/>
    <w:rsid w:val="0ACD3AD0"/>
    <w:rsid w:val="0D1830E2"/>
    <w:rsid w:val="0D1E1778"/>
    <w:rsid w:val="0F43FE7D"/>
    <w:rsid w:val="109257B1"/>
    <w:rsid w:val="116BDECF"/>
    <w:rsid w:val="178CC75D"/>
    <w:rsid w:val="186DD20F"/>
    <w:rsid w:val="22D21E9A"/>
    <w:rsid w:val="23EF2ADA"/>
    <w:rsid w:val="28DC60E5"/>
    <w:rsid w:val="28FF3DC3"/>
    <w:rsid w:val="29C1342E"/>
    <w:rsid w:val="2E3C4E7C"/>
    <w:rsid w:val="373C0CA1"/>
    <w:rsid w:val="389B72D7"/>
    <w:rsid w:val="3CC395CD"/>
    <w:rsid w:val="3E7CA3D7"/>
    <w:rsid w:val="42173516"/>
    <w:rsid w:val="43D3779A"/>
    <w:rsid w:val="476C0868"/>
    <w:rsid w:val="4A605FA4"/>
    <w:rsid w:val="527E49F3"/>
    <w:rsid w:val="5C46833E"/>
    <w:rsid w:val="5D8C2BB6"/>
    <w:rsid w:val="6242D03F"/>
    <w:rsid w:val="64788623"/>
    <w:rsid w:val="65DBE34C"/>
    <w:rsid w:val="6A4CF78D"/>
    <w:rsid w:val="6ACC5372"/>
    <w:rsid w:val="6EE2D582"/>
    <w:rsid w:val="714EC33E"/>
    <w:rsid w:val="75DB2ECF"/>
    <w:rsid w:val="7A9C06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756E6AC"/>
  <w15:docId w15:val="{BCF7F6BD-365E-4D31-9CE1-BD86B998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BED"/>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521F32"/>
    <w:pPr>
      <w:keepNext/>
      <w:keepLines/>
      <w:numPr>
        <w:ilvl w:val="1"/>
        <w:numId w:val="8"/>
      </w:numPr>
      <w:spacing w:before="200"/>
      <w:outlineLvl w:val="1"/>
    </w:pPr>
    <w:rPr>
      <w:rFonts w:asciiTheme="majorHAnsi" w:eastAsiaTheme="majorEastAsia" w:hAnsiTheme="majorHAnsi" w:cstheme="majorBidi"/>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553B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3BED"/>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53315E"/>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列出段落,リスト段"/>
    <w:basedOn w:val="Normal"/>
    <w:link w:val="ListParagraphChar1"/>
    <w:uiPriority w:val="34"/>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rsid w:val="0053315E"/>
    <w:rPr>
      <w:rFonts w:asciiTheme="minorHAnsi" w:eastAsiaTheme="minorHAnsi" w:hAnsiTheme="minorHAnsi" w:cstheme="minorBidi"/>
      <w:b/>
      <w:bCs/>
      <w:kern w:val="2"/>
      <w:sz w:val="18"/>
      <w:szCs w:val="18"/>
      <w:lang w:val="en-GB" w:eastAsia="en-US"/>
      <w14:ligatures w14:val="standardContextual"/>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kern w:val="2"/>
      <w:sz w:val="32"/>
      <w:szCs w:val="32"/>
      <w:lang w:val="en-GB" w:eastAsia="en-US"/>
      <w14:ligatures w14:val="standardContextual"/>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521F32"/>
    <w:rPr>
      <w:rFonts w:asciiTheme="majorHAnsi" w:eastAsiaTheme="majorEastAsia" w:hAnsiTheme="majorHAnsi" w:cstheme="majorBidi"/>
      <w:i/>
      <w:iCs/>
      <w:kern w:val="2"/>
      <w:sz w:val="28"/>
      <w:szCs w:val="28"/>
      <w:lang w:val="en-GB" w:eastAsia="en-US"/>
    </w:rPr>
  </w:style>
  <w:style w:type="character" w:customStyle="1" w:styleId="Heading5Char">
    <w:name w:val="Heading 5 Char"/>
    <w:aliases w:val="h5 Char,Heading5 Char,H5 Char,5 Char,mh2 Char,Module heading 2 Char"/>
    <w:basedOn w:val="DefaultParagraphFont"/>
    <w:link w:val="Heading5"/>
    <w:uiPriority w:val="9"/>
    <w:rsid w:val="00FD6F77"/>
    <w:rPr>
      <w:rFonts w:asciiTheme="majorHAnsi" w:eastAsiaTheme="majorEastAsia" w:hAnsiTheme="majorHAnsi" w:cstheme="majorBidi"/>
      <w:b/>
      <w:bCs/>
      <w:iCs/>
      <w:kern w:val="2"/>
      <w:sz w:val="22"/>
      <w:szCs w:val="22"/>
      <w:lang w:val="en-GB" w:eastAsia="en-US"/>
      <w14:ligatures w14:val="standardContextual"/>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kern w:val="2"/>
      <w:sz w:val="22"/>
      <w:lang w:val="en-GB" w:eastAsia="en-US"/>
      <w14:ligatures w14:val="standardContextual"/>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kern w:val="2"/>
      <w:sz w:val="18"/>
      <w:szCs w:val="18"/>
      <w:lang w:val="en-GB" w:eastAsia="en-US"/>
      <w14:ligatures w14:val="standardContextual"/>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kern w:val="2"/>
      <w:sz w:val="18"/>
      <w:szCs w:val="18"/>
      <w:lang w:val="en-GB" w:eastAsia="en-US"/>
      <w14:ligatures w14:val="standardContextual"/>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kern w:val="2"/>
      <w:sz w:val="26"/>
      <w:szCs w:val="26"/>
      <w:lang w:val="en-GB" w:eastAsia="en-US"/>
      <w14:ligatures w14:val="standardContextual"/>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34"/>
    <w:qFormat/>
    <w:locked/>
    <w:rsid w:val="004040E7"/>
    <w:rPr>
      <w:rFonts w:ascii="Arial" w:hAnsi="Arial" w:cs="Arial"/>
      <w:lang w:eastAsia="de-DE"/>
    </w:rPr>
  </w:style>
  <w:style w:type="character" w:customStyle="1" w:styleId="ui-provider">
    <w:name w:val="ui-provider"/>
    <w:basedOn w:val="DefaultParagraphFont"/>
    <w:rsid w:val="00A334A0"/>
  </w:style>
  <w:style w:type="character" w:customStyle="1" w:styleId="0MaintextChar">
    <w:name w:val="0 Main text Char"/>
    <w:link w:val="0Maintext"/>
    <w:qFormat/>
    <w:locked/>
    <w:rsid w:val="007357B4"/>
    <w:rPr>
      <w:lang w:eastAsia="en-US"/>
    </w:rPr>
  </w:style>
  <w:style w:type="paragraph" w:customStyle="1" w:styleId="0Maintext">
    <w:name w:val="0 Main text"/>
    <w:basedOn w:val="Normal"/>
    <w:link w:val="0MaintextChar"/>
    <w:qFormat/>
    <w:rsid w:val="007357B4"/>
    <w:pPr>
      <w:spacing w:after="0" w:line="240" w:lineRule="auto"/>
      <w:jc w:val="both"/>
    </w:pPr>
    <w:rPr>
      <w:rFonts w:ascii="Times New Roman" w:eastAsia="MS Mincho" w:hAnsi="Times New Roman" w:cs="Times New Roman"/>
      <w:kern w:val="0"/>
      <w:sz w:val="20"/>
      <w:szCs w:val="20"/>
      <w:lang w:val="sv-SE"/>
    </w:rPr>
  </w:style>
  <w:style w:type="character" w:customStyle="1" w:styleId="WW8Num1z0">
    <w:name w:val="WW8Num1z0"/>
    <w:rsid w:val="00D2204F"/>
  </w:style>
  <w:style w:type="character" w:styleId="PlaceholderText">
    <w:name w:val="Placeholder Text"/>
    <w:basedOn w:val="DefaultParagraphFont"/>
    <w:uiPriority w:val="99"/>
    <w:semiHidden/>
    <w:rsid w:val="005B19CC"/>
    <w:rPr>
      <w:color w:val="666666"/>
    </w:rPr>
  </w:style>
  <w:style w:type="character" w:customStyle="1" w:styleId="BodyTextChar">
    <w:name w:val="Body Text Char"/>
    <w:aliases w:val="bt Char"/>
    <w:basedOn w:val="DefaultParagraphFont"/>
    <w:link w:val="BodyText"/>
    <w:rsid w:val="00510576"/>
    <w:rPr>
      <w:rFonts w:asciiTheme="minorHAnsi" w:eastAsiaTheme="minorHAnsi" w:hAnsiTheme="minorHAnsi" w:cstheme="minorBidi"/>
      <w:kern w:val="2"/>
      <w:sz w:val="22"/>
      <w:szCs w:val="22"/>
      <w:lang w:val="en-GB" w:eastAsia="en-US"/>
    </w:rPr>
  </w:style>
  <w:style w:type="character" w:customStyle="1" w:styleId="d9fyld">
    <w:name w:val="d9fyld"/>
    <w:basedOn w:val="DefaultParagraphFont"/>
    <w:rsid w:val="004844B2"/>
  </w:style>
  <w:style w:type="character" w:styleId="UnresolvedMention">
    <w:name w:val="Unresolved Mention"/>
    <w:basedOn w:val="DefaultParagraphFont"/>
    <w:uiPriority w:val="99"/>
    <w:semiHidden/>
    <w:unhideWhenUsed/>
    <w:rsid w:val="00150494"/>
    <w:rPr>
      <w:color w:val="605E5C"/>
      <w:shd w:val="clear" w:color="auto" w:fill="E1DFDD"/>
    </w:rPr>
  </w:style>
  <w:style w:type="paragraph" w:customStyle="1" w:styleId="p1">
    <w:name w:val="p1"/>
    <w:basedOn w:val="Normal"/>
    <w:rsid w:val="008B56F5"/>
    <w:pPr>
      <w:spacing w:after="0" w:line="240" w:lineRule="auto"/>
    </w:pPr>
    <w:rPr>
      <w:rFonts w:ascii="Helvetica" w:eastAsia="Times New Roman" w:hAnsi="Helvetica" w:cs="Times New Roman"/>
      <w:color w:val="000000"/>
      <w:kern w:val="0"/>
      <w:sz w:val="26"/>
      <w:szCs w:val="26"/>
    </w:rPr>
  </w:style>
  <w:style w:type="character" w:customStyle="1" w:styleId="normaltextrun">
    <w:name w:val="normaltextrun"/>
    <w:basedOn w:val="DefaultParagraphFont"/>
    <w:rsid w:val="006A3496"/>
  </w:style>
  <w:style w:type="character" w:customStyle="1" w:styleId="eop">
    <w:name w:val="eop"/>
    <w:basedOn w:val="DefaultParagraphFont"/>
    <w:rsid w:val="006A3496"/>
  </w:style>
  <w:style w:type="paragraph" w:customStyle="1" w:styleId="paragraph">
    <w:name w:val="paragraph"/>
    <w:basedOn w:val="Normal"/>
    <w:rsid w:val="003D3F5F"/>
    <w:pPr>
      <w:spacing w:before="100" w:beforeAutospacing="1" w:after="100" w:afterAutospacing="1" w:line="240" w:lineRule="auto"/>
    </w:pPr>
    <w:rPr>
      <w:rFonts w:ascii="Times New Roman" w:eastAsia="Times New Roman" w:hAnsi="Times New Roman" w:cs="Times New Roman"/>
      <w:kern w:val="0"/>
    </w:rPr>
  </w:style>
  <w:style w:type="character" w:customStyle="1" w:styleId="wacimagecontainer">
    <w:name w:val="wacimagecontainer"/>
    <w:basedOn w:val="DefaultParagraphFont"/>
    <w:rsid w:val="003D3F5F"/>
  </w:style>
  <w:style w:type="character" w:customStyle="1" w:styleId="tabchar">
    <w:name w:val="tabchar"/>
    <w:basedOn w:val="DefaultParagraphFont"/>
    <w:rsid w:val="003D3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32">
      <w:bodyDiv w:val="1"/>
      <w:marLeft w:val="0"/>
      <w:marRight w:val="0"/>
      <w:marTop w:val="0"/>
      <w:marBottom w:val="0"/>
      <w:divBdr>
        <w:top w:val="none" w:sz="0" w:space="0" w:color="auto"/>
        <w:left w:val="none" w:sz="0" w:space="0" w:color="auto"/>
        <w:bottom w:val="none" w:sz="0" w:space="0" w:color="auto"/>
        <w:right w:val="none" w:sz="0" w:space="0" w:color="auto"/>
      </w:divBdr>
    </w:div>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7221284">
      <w:bodyDiv w:val="1"/>
      <w:marLeft w:val="0"/>
      <w:marRight w:val="0"/>
      <w:marTop w:val="0"/>
      <w:marBottom w:val="0"/>
      <w:divBdr>
        <w:top w:val="none" w:sz="0" w:space="0" w:color="auto"/>
        <w:left w:val="none" w:sz="0" w:space="0" w:color="auto"/>
        <w:bottom w:val="none" w:sz="0" w:space="0" w:color="auto"/>
        <w:right w:val="none" w:sz="0" w:space="0" w:color="auto"/>
      </w:divBdr>
    </w:div>
    <w:div w:id="17391755">
      <w:bodyDiv w:val="1"/>
      <w:marLeft w:val="0"/>
      <w:marRight w:val="0"/>
      <w:marTop w:val="0"/>
      <w:marBottom w:val="0"/>
      <w:divBdr>
        <w:top w:val="none" w:sz="0" w:space="0" w:color="auto"/>
        <w:left w:val="none" w:sz="0" w:space="0" w:color="auto"/>
        <w:bottom w:val="none" w:sz="0" w:space="0" w:color="auto"/>
        <w:right w:val="none" w:sz="0" w:space="0" w:color="auto"/>
      </w:divBdr>
    </w:div>
    <w:div w:id="21244687">
      <w:bodyDiv w:val="1"/>
      <w:marLeft w:val="0"/>
      <w:marRight w:val="0"/>
      <w:marTop w:val="0"/>
      <w:marBottom w:val="0"/>
      <w:divBdr>
        <w:top w:val="none" w:sz="0" w:space="0" w:color="auto"/>
        <w:left w:val="none" w:sz="0" w:space="0" w:color="auto"/>
        <w:bottom w:val="none" w:sz="0" w:space="0" w:color="auto"/>
        <w:right w:val="none" w:sz="0" w:space="0" w:color="auto"/>
      </w:divBdr>
    </w:div>
    <w:div w:id="24451862">
      <w:bodyDiv w:val="1"/>
      <w:marLeft w:val="0"/>
      <w:marRight w:val="0"/>
      <w:marTop w:val="0"/>
      <w:marBottom w:val="0"/>
      <w:divBdr>
        <w:top w:val="none" w:sz="0" w:space="0" w:color="auto"/>
        <w:left w:val="none" w:sz="0" w:space="0" w:color="auto"/>
        <w:bottom w:val="none" w:sz="0" w:space="0" w:color="auto"/>
        <w:right w:val="none" w:sz="0" w:space="0" w:color="auto"/>
      </w:divBdr>
    </w:div>
    <w:div w:id="32997080">
      <w:bodyDiv w:val="1"/>
      <w:marLeft w:val="0"/>
      <w:marRight w:val="0"/>
      <w:marTop w:val="0"/>
      <w:marBottom w:val="0"/>
      <w:divBdr>
        <w:top w:val="none" w:sz="0" w:space="0" w:color="auto"/>
        <w:left w:val="none" w:sz="0" w:space="0" w:color="auto"/>
        <w:bottom w:val="none" w:sz="0" w:space="0" w:color="auto"/>
        <w:right w:val="none" w:sz="0" w:space="0" w:color="auto"/>
      </w:divBdr>
    </w:div>
    <w:div w:id="3781952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71783681">
      <w:bodyDiv w:val="1"/>
      <w:marLeft w:val="0"/>
      <w:marRight w:val="0"/>
      <w:marTop w:val="0"/>
      <w:marBottom w:val="0"/>
      <w:divBdr>
        <w:top w:val="none" w:sz="0" w:space="0" w:color="auto"/>
        <w:left w:val="none" w:sz="0" w:space="0" w:color="auto"/>
        <w:bottom w:val="none" w:sz="0" w:space="0" w:color="auto"/>
        <w:right w:val="none" w:sz="0" w:space="0" w:color="auto"/>
      </w:divBdr>
    </w:div>
    <w:div w:id="75172139">
      <w:bodyDiv w:val="1"/>
      <w:marLeft w:val="0"/>
      <w:marRight w:val="0"/>
      <w:marTop w:val="0"/>
      <w:marBottom w:val="0"/>
      <w:divBdr>
        <w:top w:val="none" w:sz="0" w:space="0" w:color="auto"/>
        <w:left w:val="none" w:sz="0" w:space="0" w:color="auto"/>
        <w:bottom w:val="none" w:sz="0" w:space="0" w:color="auto"/>
        <w:right w:val="none" w:sz="0" w:space="0" w:color="auto"/>
      </w:divBdr>
    </w:div>
    <w:div w:id="105973907">
      <w:bodyDiv w:val="1"/>
      <w:marLeft w:val="0"/>
      <w:marRight w:val="0"/>
      <w:marTop w:val="0"/>
      <w:marBottom w:val="0"/>
      <w:divBdr>
        <w:top w:val="none" w:sz="0" w:space="0" w:color="auto"/>
        <w:left w:val="none" w:sz="0" w:space="0" w:color="auto"/>
        <w:bottom w:val="none" w:sz="0" w:space="0" w:color="auto"/>
        <w:right w:val="none" w:sz="0" w:space="0" w:color="auto"/>
      </w:divBdr>
    </w:div>
    <w:div w:id="11090484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0610480">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00749094">
      <w:bodyDiv w:val="1"/>
      <w:marLeft w:val="0"/>
      <w:marRight w:val="0"/>
      <w:marTop w:val="0"/>
      <w:marBottom w:val="0"/>
      <w:divBdr>
        <w:top w:val="none" w:sz="0" w:space="0" w:color="auto"/>
        <w:left w:val="none" w:sz="0" w:space="0" w:color="auto"/>
        <w:bottom w:val="none" w:sz="0" w:space="0" w:color="auto"/>
        <w:right w:val="none" w:sz="0" w:space="0" w:color="auto"/>
      </w:divBdr>
    </w:div>
    <w:div w:id="211115684">
      <w:bodyDiv w:val="1"/>
      <w:marLeft w:val="0"/>
      <w:marRight w:val="0"/>
      <w:marTop w:val="0"/>
      <w:marBottom w:val="0"/>
      <w:divBdr>
        <w:top w:val="none" w:sz="0" w:space="0" w:color="auto"/>
        <w:left w:val="none" w:sz="0" w:space="0" w:color="auto"/>
        <w:bottom w:val="none" w:sz="0" w:space="0" w:color="auto"/>
        <w:right w:val="none" w:sz="0" w:space="0" w:color="auto"/>
      </w:divBdr>
    </w:div>
    <w:div w:id="215437140">
      <w:bodyDiv w:val="1"/>
      <w:marLeft w:val="0"/>
      <w:marRight w:val="0"/>
      <w:marTop w:val="0"/>
      <w:marBottom w:val="0"/>
      <w:divBdr>
        <w:top w:val="none" w:sz="0" w:space="0" w:color="auto"/>
        <w:left w:val="none" w:sz="0" w:space="0" w:color="auto"/>
        <w:bottom w:val="none" w:sz="0" w:space="0" w:color="auto"/>
        <w:right w:val="none" w:sz="0" w:space="0" w:color="auto"/>
      </w:divBdr>
      <w:divsChild>
        <w:div w:id="294023304">
          <w:marLeft w:val="0"/>
          <w:marRight w:val="0"/>
          <w:marTop w:val="0"/>
          <w:marBottom w:val="0"/>
          <w:divBdr>
            <w:top w:val="none" w:sz="0" w:space="0" w:color="auto"/>
            <w:left w:val="none" w:sz="0" w:space="0" w:color="auto"/>
            <w:bottom w:val="none" w:sz="0" w:space="0" w:color="auto"/>
            <w:right w:val="none" w:sz="0" w:space="0" w:color="auto"/>
          </w:divBdr>
        </w:div>
        <w:div w:id="766927053">
          <w:marLeft w:val="0"/>
          <w:marRight w:val="0"/>
          <w:marTop w:val="0"/>
          <w:marBottom w:val="0"/>
          <w:divBdr>
            <w:top w:val="none" w:sz="0" w:space="0" w:color="auto"/>
            <w:left w:val="none" w:sz="0" w:space="0" w:color="auto"/>
            <w:bottom w:val="none" w:sz="0" w:space="0" w:color="auto"/>
            <w:right w:val="none" w:sz="0" w:space="0" w:color="auto"/>
          </w:divBdr>
        </w:div>
        <w:div w:id="1022633212">
          <w:marLeft w:val="0"/>
          <w:marRight w:val="0"/>
          <w:marTop w:val="0"/>
          <w:marBottom w:val="0"/>
          <w:divBdr>
            <w:top w:val="none" w:sz="0" w:space="0" w:color="auto"/>
            <w:left w:val="none" w:sz="0" w:space="0" w:color="auto"/>
            <w:bottom w:val="none" w:sz="0" w:space="0" w:color="auto"/>
            <w:right w:val="none" w:sz="0" w:space="0" w:color="auto"/>
          </w:divBdr>
        </w:div>
        <w:div w:id="1103458939">
          <w:marLeft w:val="0"/>
          <w:marRight w:val="0"/>
          <w:marTop w:val="0"/>
          <w:marBottom w:val="0"/>
          <w:divBdr>
            <w:top w:val="none" w:sz="0" w:space="0" w:color="auto"/>
            <w:left w:val="none" w:sz="0" w:space="0" w:color="auto"/>
            <w:bottom w:val="none" w:sz="0" w:space="0" w:color="auto"/>
            <w:right w:val="none" w:sz="0" w:space="0" w:color="auto"/>
          </w:divBdr>
        </w:div>
        <w:div w:id="1135486654">
          <w:marLeft w:val="0"/>
          <w:marRight w:val="0"/>
          <w:marTop w:val="0"/>
          <w:marBottom w:val="0"/>
          <w:divBdr>
            <w:top w:val="none" w:sz="0" w:space="0" w:color="auto"/>
            <w:left w:val="none" w:sz="0" w:space="0" w:color="auto"/>
            <w:bottom w:val="none" w:sz="0" w:space="0" w:color="auto"/>
            <w:right w:val="none" w:sz="0" w:space="0" w:color="auto"/>
          </w:divBdr>
        </w:div>
        <w:div w:id="1365248986">
          <w:marLeft w:val="0"/>
          <w:marRight w:val="0"/>
          <w:marTop w:val="0"/>
          <w:marBottom w:val="0"/>
          <w:divBdr>
            <w:top w:val="none" w:sz="0" w:space="0" w:color="auto"/>
            <w:left w:val="none" w:sz="0" w:space="0" w:color="auto"/>
            <w:bottom w:val="none" w:sz="0" w:space="0" w:color="auto"/>
            <w:right w:val="none" w:sz="0" w:space="0" w:color="auto"/>
          </w:divBdr>
        </w:div>
        <w:div w:id="1423063918">
          <w:marLeft w:val="0"/>
          <w:marRight w:val="0"/>
          <w:marTop w:val="0"/>
          <w:marBottom w:val="0"/>
          <w:divBdr>
            <w:top w:val="none" w:sz="0" w:space="0" w:color="auto"/>
            <w:left w:val="none" w:sz="0" w:space="0" w:color="auto"/>
            <w:bottom w:val="none" w:sz="0" w:space="0" w:color="auto"/>
            <w:right w:val="none" w:sz="0" w:space="0" w:color="auto"/>
          </w:divBdr>
        </w:div>
        <w:div w:id="1483035277">
          <w:marLeft w:val="0"/>
          <w:marRight w:val="0"/>
          <w:marTop w:val="0"/>
          <w:marBottom w:val="0"/>
          <w:divBdr>
            <w:top w:val="none" w:sz="0" w:space="0" w:color="auto"/>
            <w:left w:val="none" w:sz="0" w:space="0" w:color="auto"/>
            <w:bottom w:val="none" w:sz="0" w:space="0" w:color="auto"/>
            <w:right w:val="none" w:sz="0" w:space="0" w:color="auto"/>
          </w:divBdr>
        </w:div>
        <w:div w:id="1758017516">
          <w:marLeft w:val="0"/>
          <w:marRight w:val="0"/>
          <w:marTop w:val="0"/>
          <w:marBottom w:val="0"/>
          <w:divBdr>
            <w:top w:val="none" w:sz="0" w:space="0" w:color="auto"/>
            <w:left w:val="none" w:sz="0" w:space="0" w:color="auto"/>
            <w:bottom w:val="none" w:sz="0" w:space="0" w:color="auto"/>
            <w:right w:val="none" w:sz="0" w:space="0" w:color="auto"/>
          </w:divBdr>
        </w:div>
      </w:divsChild>
    </w:div>
    <w:div w:id="237329872">
      <w:bodyDiv w:val="1"/>
      <w:marLeft w:val="0"/>
      <w:marRight w:val="0"/>
      <w:marTop w:val="0"/>
      <w:marBottom w:val="0"/>
      <w:divBdr>
        <w:top w:val="none" w:sz="0" w:space="0" w:color="auto"/>
        <w:left w:val="none" w:sz="0" w:space="0" w:color="auto"/>
        <w:bottom w:val="none" w:sz="0" w:space="0" w:color="auto"/>
        <w:right w:val="none" w:sz="0" w:space="0" w:color="auto"/>
      </w:divBdr>
    </w:div>
    <w:div w:id="239368117">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0742803">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3367424">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09749220">
      <w:bodyDiv w:val="1"/>
      <w:marLeft w:val="0"/>
      <w:marRight w:val="0"/>
      <w:marTop w:val="0"/>
      <w:marBottom w:val="0"/>
      <w:divBdr>
        <w:top w:val="none" w:sz="0" w:space="0" w:color="auto"/>
        <w:left w:val="none" w:sz="0" w:space="0" w:color="auto"/>
        <w:bottom w:val="none" w:sz="0" w:space="0" w:color="auto"/>
        <w:right w:val="none" w:sz="0" w:space="0" w:color="auto"/>
      </w:divBdr>
    </w:div>
    <w:div w:id="331761454">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3023426">
      <w:bodyDiv w:val="1"/>
      <w:marLeft w:val="0"/>
      <w:marRight w:val="0"/>
      <w:marTop w:val="0"/>
      <w:marBottom w:val="0"/>
      <w:divBdr>
        <w:top w:val="none" w:sz="0" w:space="0" w:color="auto"/>
        <w:left w:val="none" w:sz="0" w:space="0" w:color="auto"/>
        <w:bottom w:val="none" w:sz="0" w:space="0" w:color="auto"/>
        <w:right w:val="none" w:sz="0" w:space="0" w:color="auto"/>
      </w:divBdr>
    </w:div>
    <w:div w:id="36517833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68647272">
      <w:bodyDiv w:val="1"/>
      <w:marLeft w:val="0"/>
      <w:marRight w:val="0"/>
      <w:marTop w:val="0"/>
      <w:marBottom w:val="0"/>
      <w:divBdr>
        <w:top w:val="none" w:sz="0" w:space="0" w:color="auto"/>
        <w:left w:val="none" w:sz="0" w:space="0" w:color="auto"/>
        <w:bottom w:val="none" w:sz="0" w:space="0" w:color="auto"/>
        <w:right w:val="none" w:sz="0" w:space="0" w:color="auto"/>
      </w:divBdr>
    </w:div>
    <w:div w:id="382949670">
      <w:bodyDiv w:val="1"/>
      <w:marLeft w:val="0"/>
      <w:marRight w:val="0"/>
      <w:marTop w:val="0"/>
      <w:marBottom w:val="0"/>
      <w:divBdr>
        <w:top w:val="none" w:sz="0" w:space="0" w:color="auto"/>
        <w:left w:val="none" w:sz="0" w:space="0" w:color="auto"/>
        <w:bottom w:val="none" w:sz="0" w:space="0" w:color="auto"/>
        <w:right w:val="none" w:sz="0" w:space="0" w:color="auto"/>
      </w:divBdr>
    </w:div>
    <w:div w:id="387413098">
      <w:bodyDiv w:val="1"/>
      <w:marLeft w:val="0"/>
      <w:marRight w:val="0"/>
      <w:marTop w:val="0"/>
      <w:marBottom w:val="0"/>
      <w:divBdr>
        <w:top w:val="none" w:sz="0" w:space="0" w:color="auto"/>
        <w:left w:val="none" w:sz="0" w:space="0" w:color="auto"/>
        <w:bottom w:val="none" w:sz="0" w:space="0" w:color="auto"/>
        <w:right w:val="none" w:sz="0" w:space="0" w:color="auto"/>
      </w:divBdr>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739846">
      <w:bodyDiv w:val="1"/>
      <w:marLeft w:val="0"/>
      <w:marRight w:val="0"/>
      <w:marTop w:val="0"/>
      <w:marBottom w:val="0"/>
      <w:divBdr>
        <w:top w:val="none" w:sz="0" w:space="0" w:color="auto"/>
        <w:left w:val="none" w:sz="0" w:space="0" w:color="auto"/>
        <w:bottom w:val="none" w:sz="0" w:space="0" w:color="auto"/>
        <w:right w:val="none" w:sz="0" w:space="0" w:color="auto"/>
      </w:divBdr>
    </w:div>
    <w:div w:id="426124535">
      <w:bodyDiv w:val="1"/>
      <w:marLeft w:val="0"/>
      <w:marRight w:val="0"/>
      <w:marTop w:val="0"/>
      <w:marBottom w:val="0"/>
      <w:divBdr>
        <w:top w:val="none" w:sz="0" w:space="0" w:color="auto"/>
        <w:left w:val="none" w:sz="0" w:space="0" w:color="auto"/>
        <w:bottom w:val="none" w:sz="0" w:space="0" w:color="auto"/>
        <w:right w:val="none" w:sz="0" w:space="0" w:color="auto"/>
      </w:divBdr>
    </w:div>
    <w:div w:id="433017032">
      <w:bodyDiv w:val="1"/>
      <w:marLeft w:val="0"/>
      <w:marRight w:val="0"/>
      <w:marTop w:val="0"/>
      <w:marBottom w:val="0"/>
      <w:divBdr>
        <w:top w:val="none" w:sz="0" w:space="0" w:color="auto"/>
        <w:left w:val="none" w:sz="0" w:space="0" w:color="auto"/>
        <w:bottom w:val="none" w:sz="0" w:space="0" w:color="auto"/>
        <w:right w:val="none" w:sz="0" w:space="0" w:color="auto"/>
      </w:divBdr>
    </w:div>
    <w:div w:id="433522877">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63428740">
      <w:bodyDiv w:val="1"/>
      <w:marLeft w:val="0"/>
      <w:marRight w:val="0"/>
      <w:marTop w:val="0"/>
      <w:marBottom w:val="0"/>
      <w:divBdr>
        <w:top w:val="none" w:sz="0" w:space="0" w:color="auto"/>
        <w:left w:val="none" w:sz="0" w:space="0" w:color="auto"/>
        <w:bottom w:val="none" w:sz="0" w:space="0" w:color="auto"/>
        <w:right w:val="none" w:sz="0" w:space="0" w:color="auto"/>
      </w:divBdr>
    </w:div>
    <w:div w:id="476148892">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67252246">
          <w:marLeft w:val="547"/>
          <w:marRight w:val="0"/>
          <w:marTop w:val="0"/>
          <w:marBottom w:val="0"/>
          <w:divBdr>
            <w:top w:val="none" w:sz="0" w:space="0" w:color="auto"/>
            <w:left w:val="none" w:sz="0" w:space="0" w:color="auto"/>
            <w:bottom w:val="none" w:sz="0" w:space="0" w:color="auto"/>
            <w:right w:val="none" w:sz="0" w:space="0" w:color="auto"/>
          </w:divBdr>
        </w:div>
        <w:div w:id="1089887494">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sChild>
    </w:div>
    <w:div w:id="487290360">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211497">
      <w:bodyDiv w:val="1"/>
      <w:marLeft w:val="0"/>
      <w:marRight w:val="0"/>
      <w:marTop w:val="0"/>
      <w:marBottom w:val="0"/>
      <w:divBdr>
        <w:top w:val="none" w:sz="0" w:space="0" w:color="auto"/>
        <w:left w:val="none" w:sz="0" w:space="0" w:color="auto"/>
        <w:bottom w:val="none" w:sz="0" w:space="0" w:color="auto"/>
        <w:right w:val="none" w:sz="0" w:space="0" w:color="auto"/>
      </w:divBdr>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44879400">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583952525">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5309408">
      <w:bodyDiv w:val="1"/>
      <w:marLeft w:val="0"/>
      <w:marRight w:val="0"/>
      <w:marTop w:val="0"/>
      <w:marBottom w:val="0"/>
      <w:divBdr>
        <w:top w:val="none" w:sz="0" w:space="0" w:color="auto"/>
        <w:left w:val="none" w:sz="0" w:space="0" w:color="auto"/>
        <w:bottom w:val="none" w:sz="0" w:space="0" w:color="auto"/>
        <w:right w:val="none" w:sz="0" w:space="0" w:color="auto"/>
      </w:divBdr>
    </w:div>
    <w:div w:id="629018266">
      <w:bodyDiv w:val="1"/>
      <w:marLeft w:val="0"/>
      <w:marRight w:val="0"/>
      <w:marTop w:val="0"/>
      <w:marBottom w:val="0"/>
      <w:divBdr>
        <w:top w:val="none" w:sz="0" w:space="0" w:color="auto"/>
        <w:left w:val="none" w:sz="0" w:space="0" w:color="auto"/>
        <w:bottom w:val="none" w:sz="0" w:space="0" w:color="auto"/>
        <w:right w:val="none" w:sz="0" w:space="0" w:color="auto"/>
      </w:divBdr>
    </w:div>
    <w:div w:id="629867548">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635256657">
      <w:bodyDiv w:val="1"/>
      <w:marLeft w:val="0"/>
      <w:marRight w:val="0"/>
      <w:marTop w:val="0"/>
      <w:marBottom w:val="0"/>
      <w:divBdr>
        <w:top w:val="none" w:sz="0" w:space="0" w:color="auto"/>
        <w:left w:val="none" w:sz="0" w:space="0" w:color="auto"/>
        <w:bottom w:val="none" w:sz="0" w:space="0" w:color="auto"/>
        <w:right w:val="none" w:sz="0" w:space="0" w:color="auto"/>
      </w:divBdr>
    </w:div>
    <w:div w:id="664942805">
      <w:bodyDiv w:val="1"/>
      <w:marLeft w:val="0"/>
      <w:marRight w:val="0"/>
      <w:marTop w:val="0"/>
      <w:marBottom w:val="0"/>
      <w:divBdr>
        <w:top w:val="none" w:sz="0" w:space="0" w:color="auto"/>
        <w:left w:val="none" w:sz="0" w:space="0" w:color="auto"/>
        <w:bottom w:val="none" w:sz="0" w:space="0" w:color="auto"/>
        <w:right w:val="none" w:sz="0" w:space="0" w:color="auto"/>
      </w:divBdr>
    </w:div>
    <w:div w:id="669991740">
      <w:bodyDiv w:val="1"/>
      <w:marLeft w:val="0"/>
      <w:marRight w:val="0"/>
      <w:marTop w:val="0"/>
      <w:marBottom w:val="0"/>
      <w:divBdr>
        <w:top w:val="none" w:sz="0" w:space="0" w:color="auto"/>
        <w:left w:val="none" w:sz="0" w:space="0" w:color="auto"/>
        <w:bottom w:val="none" w:sz="0" w:space="0" w:color="auto"/>
        <w:right w:val="none" w:sz="0" w:space="0" w:color="auto"/>
      </w:divBdr>
    </w:div>
    <w:div w:id="671955971">
      <w:bodyDiv w:val="1"/>
      <w:marLeft w:val="0"/>
      <w:marRight w:val="0"/>
      <w:marTop w:val="0"/>
      <w:marBottom w:val="0"/>
      <w:divBdr>
        <w:top w:val="none" w:sz="0" w:space="0" w:color="auto"/>
        <w:left w:val="none" w:sz="0" w:space="0" w:color="auto"/>
        <w:bottom w:val="none" w:sz="0" w:space="0" w:color="auto"/>
        <w:right w:val="none" w:sz="0" w:space="0" w:color="auto"/>
      </w:divBdr>
      <w:divsChild>
        <w:div w:id="166750599">
          <w:marLeft w:val="0"/>
          <w:marRight w:val="0"/>
          <w:marTop w:val="0"/>
          <w:marBottom w:val="0"/>
          <w:divBdr>
            <w:top w:val="none" w:sz="0" w:space="0" w:color="auto"/>
            <w:left w:val="none" w:sz="0" w:space="0" w:color="auto"/>
            <w:bottom w:val="none" w:sz="0" w:space="0" w:color="auto"/>
            <w:right w:val="none" w:sz="0" w:space="0" w:color="auto"/>
          </w:divBdr>
        </w:div>
        <w:div w:id="605817541">
          <w:marLeft w:val="0"/>
          <w:marRight w:val="0"/>
          <w:marTop w:val="0"/>
          <w:marBottom w:val="0"/>
          <w:divBdr>
            <w:top w:val="none" w:sz="0" w:space="0" w:color="auto"/>
            <w:left w:val="none" w:sz="0" w:space="0" w:color="auto"/>
            <w:bottom w:val="none" w:sz="0" w:space="0" w:color="auto"/>
            <w:right w:val="none" w:sz="0" w:space="0" w:color="auto"/>
          </w:divBdr>
        </w:div>
        <w:div w:id="887912343">
          <w:marLeft w:val="0"/>
          <w:marRight w:val="0"/>
          <w:marTop w:val="0"/>
          <w:marBottom w:val="0"/>
          <w:divBdr>
            <w:top w:val="none" w:sz="0" w:space="0" w:color="auto"/>
            <w:left w:val="none" w:sz="0" w:space="0" w:color="auto"/>
            <w:bottom w:val="none" w:sz="0" w:space="0" w:color="auto"/>
            <w:right w:val="none" w:sz="0" w:space="0" w:color="auto"/>
          </w:divBdr>
        </w:div>
        <w:div w:id="1043944154">
          <w:marLeft w:val="0"/>
          <w:marRight w:val="0"/>
          <w:marTop w:val="0"/>
          <w:marBottom w:val="0"/>
          <w:divBdr>
            <w:top w:val="none" w:sz="0" w:space="0" w:color="auto"/>
            <w:left w:val="none" w:sz="0" w:space="0" w:color="auto"/>
            <w:bottom w:val="none" w:sz="0" w:space="0" w:color="auto"/>
            <w:right w:val="none" w:sz="0" w:space="0" w:color="auto"/>
          </w:divBdr>
        </w:div>
        <w:div w:id="1064451147">
          <w:marLeft w:val="0"/>
          <w:marRight w:val="0"/>
          <w:marTop w:val="0"/>
          <w:marBottom w:val="0"/>
          <w:divBdr>
            <w:top w:val="none" w:sz="0" w:space="0" w:color="auto"/>
            <w:left w:val="none" w:sz="0" w:space="0" w:color="auto"/>
            <w:bottom w:val="none" w:sz="0" w:space="0" w:color="auto"/>
            <w:right w:val="none" w:sz="0" w:space="0" w:color="auto"/>
          </w:divBdr>
        </w:div>
        <w:div w:id="1523587505">
          <w:marLeft w:val="0"/>
          <w:marRight w:val="0"/>
          <w:marTop w:val="0"/>
          <w:marBottom w:val="0"/>
          <w:divBdr>
            <w:top w:val="none" w:sz="0" w:space="0" w:color="auto"/>
            <w:left w:val="none" w:sz="0" w:space="0" w:color="auto"/>
            <w:bottom w:val="none" w:sz="0" w:space="0" w:color="auto"/>
            <w:right w:val="none" w:sz="0" w:space="0" w:color="auto"/>
          </w:divBdr>
        </w:div>
        <w:div w:id="1611429815">
          <w:marLeft w:val="0"/>
          <w:marRight w:val="0"/>
          <w:marTop w:val="0"/>
          <w:marBottom w:val="0"/>
          <w:divBdr>
            <w:top w:val="none" w:sz="0" w:space="0" w:color="auto"/>
            <w:left w:val="none" w:sz="0" w:space="0" w:color="auto"/>
            <w:bottom w:val="none" w:sz="0" w:space="0" w:color="auto"/>
            <w:right w:val="none" w:sz="0" w:space="0" w:color="auto"/>
          </w:divBdr>
        </w:div>
        <w:div w:id="1978795450">
          <w:marLeft w:val="0"/>
          <w:marRight w:val="0"/>
          <w:marTop w:val="0"/>
          <w:marBottom w:val="0"/>
          <w:divBdr>
            <w:top w:val="none" w:sz="0" w:space="0" w:color="auto"/>
            <w:left w:val="none" w:sz="0" w:space="0" w:color="auto"/>
            <w:bottom w:val="none" w:sz="0" w:space="0" w:color="auto"/>
            <w:right w:val="none" w:sz="0" w:space="0" w:color="auto"/>
          </w:divBdr>
        </w:div>
        <w:div w:id="1979728114">
          <w:marLeft w:val="0"/>
          <w:marRight w:val="0"/>
          <w:marTop w:val="0"/>
          <w:marBottom w:val="0"/>
          <w:divBdr>
            <w:top w:val="none" w:sz="0" w:space="0" w:color="auto"/>
            <w:left w:val="none" w:sz="0" w:space="0" w:color="auto"/>
            <w:bottom w:val="none" w:sz="0" w:space="0" w:color="auto"/>
            <w:right w:val="none" w:sz="0" w:space="0" w:color="auto"/>
          </w:divBdr>
        </w:div>
      </w:divsChild>
    </w:div>
    <w:div w:id="680352607">
      <w:bodyDiv w:val="1"/>
      <w:marLeft w:val="0"/>
      <w:marRight w:val="0"/>
      <w:marTop w:val="0"/>
      <w:marBottom w:val="0"/>
      <w:divBdr>
        <w:top w:val="none" w:sz="0" w:space="0" w:color="auto"/>
        <w:left w:val="none" w:sz="0" w:space="0" w:color="auto"/>
        <w:bottom w:val="none" w:sz="0" w:space="0" w:color="auto"/>
        <w:right w:val="none" w:sz="0" w:space="0" w:color="auto"/>
      </w:divBdr>
    </w:div>
    <w:div w:id="683092598">
      <w:bodyDiv w:val="1"/>
      <w:marLeft w:val="0"/>
      <w:marRight w:val="0"/>
      <w:marTop w:val="0"/>
      <w:marBottom w:val="0"/>
      <w:divBdr>
        <w:top w:val="none" w:sz="0" w:space="0" w:color="auto"/>
        <w:left w:val="none" w:sz="0" w:space="0" w:color="auto"/>
        <w:bottom w:val="none" w:sz="0" w:space="0" w:color="auto"/>
        <w:right w:val="none" w:sz="0" w:space="0" w:color="auto"/>
      </w:divBdr>
    </w:div>
    <w:div w:id="691999933">
      <w:bodyDiv w:val="1"/>
      <w:marLeft w:val="0"/>
      <w:marRight w:val="0"/>
      <w:marTop w:val="0"/>
      <w:marBottom w:val="0"/>
      <w:divBdr>
        <w:top w:val="none" w:sz="0" w:space="0" w:color="auto"/>
        <w:left w:val="none" w:sz="0" w:space="0" w:color="auto"/>
        <w:bottom w:val="none" w:sz="0" w:space="0" w:color="auto"/>
        <w:right w:val="none" w:sz="0" w:space="0" w:color="auto"/>
      </w:divBdr>
    </w:div>
    <w:div w:id="714693464">
      <w:bodyDiv w:val="1"/>
      <w:marLeft w:val="0"/>
      <w:marRight w:val="0"/>
      <w:marTop w:val="0"/>
      <w:marBottom w:val="0"/>
      <w:divBdr>
        <w:top w:val="none" w:sz="0" w:space="0" w:color="auto"/>
        <w:left w:val="none" w:sz="0" w:space="0" w:color="auto"/>
        <w:bottom w:val="none" w:sz="0" w:space="0" w:color="auto"/>
        <w:right w:val="none" w:sz="0" w:space="0" w:color="auto"/>
      </w:divBdr>
    </w:div>
    <w:div w:id="716316508">
      <w:bodyDiv w:val="1"/>
      <w:marLeft w:val="0"/>
      <w:marRight w:val="0"/>
      <w:marTop w:val="0"/>
      <w:marBottom w:val="0"/>
      <w:divBdr>
        <w:top w:val="none" w:sz="0" w:space="0" w:color="auto"/>
        <w:left w:val="none" w:sz="0" w:space="0" w:color="auto"/>
        <w:bottom w:val="none" w:sz="0" w:space="0" w:color="auto"/>
        <w:right w:val="none" w:sz="0" w:space="0" w:color="auto"/>
      </w:divBdr>
    </w:div>
    <w:div w:id="719549728">
      <w:bodyDiv w:val="1"/>
      <w:marLeft w:val="0"/>
      <w:marRight w:val="0"/>
      <w:marTop w:val="0"/>
      <w:marBottom w:val="0"/>
      <w:divBdr>
        <w:top w:val="none" w:sz="0" w:space="0" w:color="auto"/>
        <w:left w:val="none" w:sz="0" w:space="0" w:color="auto"/>
        <w:bottom w:val="none" w:sz="0" w:space="0" w:color="auto"/>
        <w:right w:val="none" w:sz="0" w:space="0" w:color="auto"/>
      </w:divBdr>
    </w:div>
    <w:div w:id="727532149">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41834128">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093892049">
          <w:marLeft w:val="806"/>
          <w:marRight w:val="0"/>
          <w:marTop w:val="75"/>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926182179">
          <w:marLeft w:val="274"/>
          <w:marRight w:val="0"/>
          <w:marTop w:val="150"/>
          <w:marBottom w:val="0"/>
          <w:divBdr>
            <w:top w:val="none" w:sz="0" w:space="0" w:color="auto"/>
            <w:left w:val="none" w:sz="0" w:space="0" w:color="auto"/>
            <w:bottom w:val="none" w:sz="0" w:space="0" w:color="auto"/>
            <w:right w:val="none" w:sz="0" w:space="0" w:color="auto"/>
          </w:divBdr>
        </w:div>
      </w:divsChild>
    </w:div>
    <w:div w:id="766465922">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795874029">
      <w:bodyDiv w:val="1"/>
      <w:marLeft w:val="0"/>
      <w:marRight w:val="0"/>
      <w:marTop w:val="0"/>
      <w:marBottom w:val="0"/>
      <w:divBdr>
        <w:top w:val="none" w:sz="0" w:space="0" w:color="auto"/>
        <w:left w:val="none" w:sz="0" w:space="0" w:color="auto"/>
        <w:bottom w:val="none" w:sz="0" w:space="0" w:color="auto"/>
        <w:right w:val="none" w:sz="0" w:space="0" w:color="auto"/>
      </w:divBdr>
    </w:div>
    <w:div w:id="798034387">
      <w:bodyDiv w:val="1"/>
      <w:marLeft w:val="0"/>
      <w:marRight w:val="0"/>
      <w:marTop w:val="0"/>
      <w:marBottom w:val="0"/>
      <w:divBdr>
        <w:top w:val="none" w:sz="0" w:space="0" w:color="auto"/>
        <w:left w:val="none" w:sz="0" w:space="0" w:color="auto"/>
        <w:bottom w:val="none" w:sz="0" w:space="0" w:color="auto"/>
        <w:right w:val="none" w:sz="0" w:space="0" w:color="auto"/>
      </w:divBdr>
    </w:div>
    <w:div w:id="811823540">
      <w:bodyDiv w:val="1"/>
      <w:marLeft w:val="0"/>
      <w:marRight w:val="0"/>
      <w:marTop w:val="0"/>
      <w:marBottom w:val="0"/>
      <w:divBdr>
        <w:top w:val="none" w:sz="0" w:space="0" w:color="auto"/>
        <w:left w:val="none" w:sz="0" w:space="0" w:color="auto"/>
        <w:bottom w:val="none" w:sz="0" w:space="0" w:color="auto"/>
        <w:right w:val="none" w:sz="0" w:space="0" w:color="auto"/>
      </w:divBdr>
    </w:div>
    <w:div w:id="819006627">
      <w:bodyDiv w:val="1"/>
      <w:marLeft w:val="0"/>
      <w:marRight w:val="0"/>
      <w:marTop w:val="0"/>
      <w:marBottom w:val="0"/>
      <w:divBdr>
        <w:top w:val="none" w:sz="0" w:space="0" w:color="auto"/>
        <w:left w:val="none" w:sz="0" w:space="0" w:color="auto"/>
        <w:bottom w:val="none" w:sz="0" w:space="0" w:color="auto"/>
        <w:right w:val="none" w:sz="0" w:space="0" w:color="auto"/>
      </w:divBdr>
    </w:div>
    <w:div w:id="826409038">
      <w:bodyDiv w:val="1"/>
      <w:marLeft w:val="0"/>
      <w:marRight w:val="0"/>
      <w:marTop w:val="0"/>
      <w:marBottom w:val="0"/>
      <w:divBdr>
        <w:top w:val="none" w:sz="0" w:space="0" w:color="auto"/>
        <w:left w:val="none" w:sz="0" w:space="0" w:color="auto"/>
        <w:bottom w:val="none" w:sz="0" w:space="0" w:color="auto"/>
        <w:right w:val="none" w:sz="0" w:space="0" w:color="auto"/>
      </w:divBdr>
    </w:div>
    <w:div w:id="829101613">
      <w:bodyDiv w:val="1"/>
      <w:marLeft w:val="0"/>
      <w:marRight w:val="0"/>
      <w:marTop w:val="0"/>
      <w:marBottom w:val="0"/>
      <w:divBdr>
        <w:top w:val="none" w:sz="0" w:space="0" w:color="auto"/>
        <w:left w:val="none" w:sz="0" w:space="0" w:color="auto"/>
        <w:bottom w:val="none" w:sz="0" w:space="0" w:color="auto"/>
        <w:right w:val="none" w:sz="0" w:space="0" w:color="auto"/>
      </w:divBdr>
    </w:div>
    <w:div w:id="834227442">
      <w:bodyDiv w:val="1"/>
      <w:marLeft w:val="0"/>
      <w:marRight w:val="0"/>
      <w:marTop w:val="0"/>
      <w:marBottom w:val="0"/>
      <w:divBdr>
        <w:top w:val="none" w:sz="0" w:space="0" w:color="auto"/>
        <w:left w:val="none" w:sz="0" w:space="0" w:color="auto"/>
        <w:bottom w:val="none" w:sz="0" w:space="0" w:color="auto"/>
        <w:right w:val="none" w:sz="0" w:space="0" w:color="auto"/>
      </w:divBdr>
    </w:div>
    <w:div w:id="841315476">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56574867">
      <w:bodyDiv w:val="1"/>
      <w:marLeft w:val="0"/>
      <w:marRight w:val="0"/>
      <w:marTop w:val="0"/>
      <w:marBottom w:val="0"/>
      <w:divBdr>
        <w:top w:val="none" w:sz="0" w:space="0" w:color="auto"/>
        <w:left w:val="none" w:sz="0" w:space="0" w:color="auto"/>
        <w:bottom w:val="none" w:sz="0" w:space="0" w:color="auto"/>
        <w:right w:val="none" w:sz="0" w:space="0" w:color="auto"/>
      </w:divBdr>
    </w:div>
    <w:div w:id="857474401">
      <w:bodyDiv w:val="1"/>
      <w:marLeft w:val="0"/>
      <w:marRight w:val="0"/>
      <w:marTop w:val="0"/>
      <w:marBottom w:val="0"/>
      <w:divBdr>
        <w:top w:val="none" w:sz="0" w:space="0" w:color="auto"/>
        <w:left w:val="none" w:sz="0" w:space="0" w:color="auto"/>
        <w:bottom w:val="none" w:sz="0" w:space="0" w:color="auto"/>
        <w:right w:val="none" w:sz="0" w:space="0" w:color="auto"/>
      </w:divBdr>
    </w:div>
    <w:div w:id="860243460">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0940964">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894043227">
      <w:bodyDiv w:val="1"/>
      <w:marLeft w:val="0"/>
      <w:marRight w:val="0"/>
      <w:marTop w:val="0"/>
      <w:marBottom w:val="0"/>
      <w:divBdr>
        <w:top w:val="none" w:sz="0" w:space="0" w:color="auto"/>
        <w:left w:val="none" w:sz="0" w:space="0" w:color="auto"/>
        <w:bottom w:val="none" w:sz="0" w:space="0" w:color="auto"/>
        <w:right w:val="none" w:sz="0" w:space="0" w:color="auto"/>
      </w:divBdr>
    </w:div>
    <w:div w:id="898593304">
      <w:bodyDiv w:val="1"/>
      <w:marLeft w:val="0"/>
      <w:marRight w:val="0"/>
      <w:marTop w:val="0"/>
      <w:marBottom w:val="0"/>
      <w:divBdr>
        <w:top w:val="none" w:sz="0" w:space="0" w:color="auto"/>
        <w:left w:val="none" w:sz="0" w:space="0" w:color="auto"/>
        <w:bottom w:val="none" w:sz="0" w:space="0" w:color="auto"/>
        <w:right w:val="none" w:sz="0" w:space="0" w:color="auto"/>
      </w:divBdr>
    </w:div>
    <w:div w:id="905646608">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31233678">
      <w:bodyDiv w:val="1"/>
      <w:marLeft w:val="0"/>
      <w:marRight w:val="0"/>
      <w:marTop w:val="0"/>
      <w:marBottom w:val="0"/>
      <w:divBdr>
        <w:top w:val="none" w:sz="0" w:space="0" w:color="auto"/>
        <w:left w:val="none" w:sz="0" w:space="0" w:color="auto"/>
        <w:bottom w:val="none" w:sz="0" w:space="0" w:color="auto"/>
        <w:right w:val="none" w:sz="0" w:space="0" w:color="auto"/>
      </w:divBdr>
    </w:div>
    <w:div w:id="931357415">
      <w:bodyDiv w:val="1"/>
      <w:marLeft w:val="0"/>
      <w:marRight w:val="0"/>
      <w:marTop w:val="0"/>
      <w:marBottom w:val="0"/>
      <w:divBdr>
        <w:top w:val="none" w:sz="0" w:space="0" w:color="auto"/>
        <w:left w:val="none" w:sz="0" w:space="0" w:color="auto"/>
        <w:bottom w:val="none" w:sz="0" w:space="0" w:color="auto"/>
        <w:right w:val="none" w:sz="0" w:space="0" w:color="auto"/>
      </w:divBdr>
    </w:div>
    <w:div w:id="940650143">
      <w:bodyDiv w:val="1"/>
      <w:marLeft w:val="0"/>
      <w:marRight w:val="0"/>
      <w:marTop w:val="0"/>
      <w:marBottom w:val="0"/>
      <w:divBdr>
        <w:top w:val="none" w:sz="0" w:space="0" w:color="auto"/>
        <w:left w:val="none" w:sz="0" w:space="0" w:color="auto"/>
        <w:bottom w:val="none" w:sz="0" w:space="0" w:color="auto"/>
        <w:right w:val="none" w:sz="0" w:space="0" w:color="auto"/>
      </w:divBdr>
    </w:div>
    <w:div w:id="942153132">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4634707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65090283">
      <w:bodyDiv w:val="1"/>
      <w:marLeft w:val="0"/>
      <w:marRight w:val="0"/>
      <w:marTop w:val="0"/>
      <w:marBottom w:val="0"/>
      <w:divBdr>
        <w:top w:val="none" w:sz="0" w:space="0" w:color="auto"/>
        <w:left w:val="none" w:sz="0" w:space="0" w:color="auto"/>
        <w:bottom w:val="none" w:sz="0" w:space="0" w:color="auto"/>
        <w:right w:val="none" w:sz="0" w:space="0" w:color="auto"/>
      </w:divBdr>
    </w:div>
    <w:div w:id="967005372">
      <w:bodyDiv w:val="1"/>
      <w:marLeft w:val="0"/>
      <w:marRight w:val="0"/>
      <w:marTop w:val="0"/>
      <w:marBottom w:val="0"/>
      <w:divBdr>
        <w:top w:val="none" w:sz="0" w:space="0" w:color="auto"/>
        <w:left w:val="none" w:sz="0" w:space="0" w:color="auto"/>
        <w:bottom w:val="none" w:sz="0" w:space="0" w:color="auto"/>
        <w:right w:val="none" w:sz="0" w:space="0" w:color="auto"/>
      </w:divBdr>
    </w:div>
    <w:div w:id="974336371">
      <w:bodyDiv w:val="1"/>
      <w:marLeft w:val="0"/>
      <w:marRight w:val="0"/>
      <w:marTop w:val="0"/>
      <w:marBottom w:val="0"/>
      <w:divBdr>
        <w:top w:val="none" w:sz="0" w:space="0" w:color="auto"/>
        <w:left w:val="none" w:sz="0" w:space="0" w:color="auto"/>
        <w:bottom w:val="none" w:sz="0" w:space="0" w:color="auto"/>
        <w:right w:val="none" w:sz="0" w:space="0" w:color="auto"/>
      </w:divBdr>
    </w:div>
    <w:div w:id="977491912">
      <w:bodyDiv w:val="1"/>
      <w:marLeft w:val="0"/>
      <w:marRight w:val="0"/>
      <w:marTop w:val="0"/>
      <w:marBottom w:val="0"/>
      <w:divBdr>
        <w:top w:val="none" w:sz="0" w:space="0" w:color="auto"/>
        <w:left w:val="none" w:sz="0" w:space="0" w:color="auto"/>
        <w:bottom w:val="none" w:sz="0" w:space="0" w:color="auto"/>
        <w:right w:val="none" w:sz="0" w:space="0" w:color="auto"/>
      </w:divBdr>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979383815">
      <w:bodyDiv w:val="1"/>
      <w:marLeft w:val="0"/>
      <w:marRight w:val="0"/>
      <w:marTop w:val="0"/>
      <w:marBottom w:val="0"/>
      <w:divBdr>
        <w:top w:val="none" w:sz="0" w:space="0" w:color="auto"/>
        <w:left w:val="none" w:sz="0" w:space="0" w:color="auto"/>
        <w:bottom w:val="none" w:sz="0" w:space="0" w:color="auto"/>
        <w:right w:val="none" w:sz="0" w:space="0" w:color="auto"/>
      </w:divBdr>
    </w:div>
    <w:div w:id="981933983">
      <w:bodyDiv w:val="1"/>
      <w:marLeft w:val="0"/>
      <w:marRight w:val="0"/>
      <w:marTop w:val="0"/>
      <w:marBottom w:val="0"/>
      <w:divBdr>
        <w:top w:val="none" w:sz="0" w:space="0" w:color="auto"/>
        <w:left w:val="none" w:sz="0" w:space="0" w:color="auto"/>
        <w:bottom w:val="none" w:sz="0" w:space="0" w:color="auto"/>
        <w:right w:val="none" w:sz="0" w:space="0" w:color="auto"/>
      </w:divBdr>
    </w:div>
    <w:div w:id="1001197176">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505246659">
          <w:marLeft w:val="806"/>
          <w:marRight w:val="0"/>
          <w:marTop w:val="75"/>
          <w:marBottom w:val="0"/>
          <w:divBdr>
            <w:top w:val="none" w:sz="0" w:space="0" w:color="auto"/>
            <w:left w:val="none" w:sz="0" w:space="0" w:color="auto"/>
            <w:bottom w:val="none" w:sz="0" w:space="0" w:color="auto"/>
            <w:right w:val="none" w:sz="0" w:space="0" w:color="auto"/>
          </w:divBdr>
        </w:div>
        <w:div w:id="1251087928">
          <w:marLeft w:val="274"/>
          <w:marRight w:val="0"/>
          <w:marTop w:val="150"/>
          <w:marBottom w:val="0"/>
          <w:divBdr>
            <w:top w:val="none" w:sz="0" w:space="0" w:color="auto"/>
            <w:left w:val="none" w:sz="0" w:space="0" w:color="auto"/>
            <w:bottom w:val="none" w:sz="0" w:space="0" w:color="auto"/>
            <w:right w:val="none" w:sz="0" w:space="0" w:color="auto"/>
          </w:divBdr>
        </w:div>
      </w:divsChild>
    </w:div>
    <w:div w:id="1010258805">
      <w:bodyDiv w:val="1"/>
      <w:marLeft w:val="0"/>
      <w:marRight w:val="0"/>
      <w:marTop w:val="0"/>
      <w:marBottom w:val="0"/>
      <w:divBdr>
        <w:top w:val="none" w:sz="0" w:space="0" w:color="auto"/>
        <w:left w:val="none" w:sz="0" w:space="0" w:color="auto"/>
        <w:bottom w:val="none" w:sz="0" w:space="0" w:color="auto"/>
        <w:right w:val="none" w:sz="0" w:space="0" w:color="auto"/>
      </w:divBdr>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33073676">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48340880">
      <w:bodyDiv w:val="1"/>
      <w:marLeft w:val="0"/>
      <w:marRight w:val="0"/>
      <w:marTop w:val="0"/>
      <w:marBottom w:val="0"/>
      <w:divBdr>
        <w:top w:val="none" w:sz="0" w:space="0" w:color="auto"/>
        <w:left w:val="none" w:sz="0" w:space="0" w:color="auto"/>
        <w:bottom w:val="none" w:sz="0" w:space="0" w:color="auto"/>
        <w:right w:val="none" w:sz="0" w:space="0" w:color="auto"/>
      </w:divBdr>
    </w:div>
    <w:div w:id="1048845750">
      <w:bodyDiv w:val="1"/>
      <w:marLeft w:val="0"/>
      <w:marRight w:val="0"/>
      <w:marTop w:val="0"/>
      <w:marBottom w:val="0"/>
      <w:divBdr>
        <w:top w:val="none" w:sz="0" w:space="0" w:color="auto"/>
        <w:left w:val="none" w:sz="0" w:space="0" w:color="auto"/>
        <w:bottom w:val="none" w:sz="0" w:space="0" w:color="auto"/>
        <w:right w:val="none" w:sz="0" w:space="0" w:color="auto"/>
      </w:divBdr>
    </w:div>
    <w:div w:id="1058019124">
      <w:bodyDiv w:val="1"/>
      <w:marLeft w:val="0"/>
      <w:marRight w:val="0"/>
      <w:marTop w:val="0"/>
      <w:marBottom w:val="0"/>
      <w:divBdr>
        <w:top w:val="none" w:sz="0" w:space="0" w:color="auto"/>
        <w:left w:val="none" w:sz="0" w:space="0" w:color="auto"/>
        <w:bottom w:val="none" w:sz="0" w:space="0" w:color="auto"/>
        <w:right w:val="none" w:sz="0" w:space="0" w:color="auto"/>
      </w:divBdr>
    </w:div>
    <w:div w:id="1064840812">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76585665">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092820628">
      <w:bodyDiv w:val="1"/>
      <w:marLeft w:val="0"/>
      <w:marRight w:val="0"/>
      <w:marTop w:val="0"/>
      <w:marBottom w:val="0"/>
      <w:divBdr>
        <w:top w:val="none" w:sz="0" w:space="0" w:color="auto"/>
        <w:left w:val="none" w:sz="0" w:space="0" w:color="auto"/>
        <w:bottom w:val="none" w:sz="0" w:space="0" w:color="auto"/>
        <w:right w:val="none" w:sz="0" w:space="0" w:color="auto"/>
      </w:divBdr>
    </w:div>
    <w:div w:id="1143502300">
      <w:bodyDiv w:val="1"/>
      <w:marLeft w:val="0"/>
      <w:marRight w:val="0"/>
      <w:marTop w:val="0"/>
      <w:marBottom w:val="0"/>
      <w:divBdr>
        <w:top w:val="none" w:sz="0" w:space="0" w:color="auto"/>
        <w:left w:val="none" w:sz="0" w:space="0" w:color="auto"/>
        <w:bottom w:val="none" w:sz="0" w:space="0" w:color="auto"/>
        <w:right w:val="none" w:sz="0" w:space="0" w:color="auto"/>
      </w:divBdr>
    </w:div>
    <w:div w:id="1154183340">
      <w:bodyDiv w:val="1"/>
      <w:marLeft w:val="0"/>
      <w:marRight w:val="0"/>
      <w:marTop w:val="0"/>
      <w:marBottom w:val="0"/>
      <w:divBdr>
        <w:top w:val="none" w:sz="0" w:space="0" w:color="auto"/>
        <w:left w:val="none" w:sz="0" w:space="0" w:color="auto"/>
        <w:bottom w:val="none" w:sz="0" w:space="0" w:color="auto"/>
        <w:right w:val="none" w:sz="0" w:space="0" w:color="auto"/>
      </w:divBdr>
    </w:div>
    <w:div w:id="1186670315">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098519">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2845121">
      <w:bodyDiv w:val="1"/>
      <w:marLeft w:val="0"/>
      <w:marRight w:val="0"/>
      <w:marTop w:val="0"/>
      <w:marBottom w:val="0"/>
      <w:divBdr>
        <w:top w:val="none" w:sz="0" w:space="0" w:color="auto"/>
        <w:left w:val="none" w:sz="0" w:space="0" w:color="auto"/>
        <w:bottom w:val="none" w:sz="0" w:space="0" w:color="auto"/>
        <w:right w:val="none" w:sz="0" w:space="0" w:color="auto"/>
      </w:divBdr>
    </w:div>
    <w:div w:id="1194227521">
      <w:bodyDiv w:val="1"/>
      <w:marLeft w:val="0"/>
      <w:marRight w:val="0"/>
      <w:marTop w:val="0"/>
      <w:marBottom w:val="0"/>
      <w:divBdr>
        <w:top w:val="none" w:sz="0" w:space="0" w:color="auto"/>
        <w:left w:val="none" w:sz="0" w:space="0" w:color="auto"/>
        <w:bottom w:val="none" w:sz="0" w:space="0" w:color="auto"/>
        <w:right w:val="none" w:sz="0" w:space="0" w:color="auto"/>
      </w:divBdr>
    </w:div>
    <w:div w:id="1197501429">
      <w:bodyDiv w:val="1"/>
      <w:marLeft w:val="0"/>
      <w:marRight w:val="0"/>
      <w:marTop w:val="0"/>
      <w:marBottom w:val="0"/>
      <w:divBdr>
        <w:top w:val="none" w:sz="0" w:space="0" w:color="auto"/>
        <w:left w:val="none" w:sz="0" w:space="0" w:color="auto"/>
        <w:bottom w:val="none" w:sz="0" w:space="0" w:color="auto"/>
        <w:right w:val="none" w:sz="0" w:space="0" w:color="auto"/>
      </w:divBdr>
    </w:div>
    <w:div w:id="1206867627">
      <w:bodyDiv w:val="1"/>
      <w:marLeft w:val="0"/>
      <w:marRight w:val="0"/>
      <w:marTop w:val="0"/>
      <w:marBottom w:val="0"/>
      <w:divBdr>
        <w:top w:val="none" w:sz="0" w:space="0" w:color="auto"/>
        <w:left w:val="none" w:sz="0" w:space="0" w:color="auto"/>
        <w:bottom w:val="none" w:sz="0" w:space="0" w:color="auto"/>
        <w:right w:val="none" w:sz="0" w:space="0" w:color="auto"/>
      </w:divBdr>
    </w:div>
    <w:div w:id="1212032574">
      <w:bodyDiv w:val="1"/>
      <w:marLeft w:val="0"/>
      <w:marRight w:val="0"/>
      <w:marTop w:val="0"/>
      <w:marBottom w:val="0"/>
      <w:divBdr>
        <w:top w:val="none" w:sz="0" w:space="0" w:color="auto"/>
        <w:left w:val="none" w:sz="0" w:space="0" w:color="auto"/>
        <w:bottom w:val="none" w:sz="0" w:space="0" w:color="auto"/>
        <w:right w:val="none" w:sz="0" w:space="0" w:color="auto"/>
      </w:divBdr>
    </w:div>
    <w:div w:id="1218668570">
      <w:bodyDiv w:val="1"/>
      <w:marLeft w:val="0"/>
      <w:marRight w:val="0"/>
      <w:marTop w:val="0"/>
      <w:marBottom w:val="0"/>
      <w:divBdr>
        <w:top w:val="none" w:sz="0" w:space="0" w:color="auto"/>
        <w:left w:val="none" w:sz="0" w:space="0" w:color="auto"/>
        <w:bottom w:val="none" w:sz="0" w:space="0" w:color="auto"/>
        <w:right w:val="none" w:sz="0" w:space="0" w:color="auto"/>
      </w:divBdr>
    </w:div>
    <w:div w:id="1224683396">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1408">
      <w:bodyDiv w:val="1"/>
      <w:marLeft w:val="0"/>
      <w:marRight w:val="0"/>
      <w:marTop w:val="0"/>
      <w:marBottom w:val="0"/>
      <w:divBdr>
        <w:top w:val="none" w:sz="0" w:space="0" w:color="auto"/>
        <w:left w:val="none" w:sz="0" w:space="0" w:color="auto"/>
        <w:bottom w:val="none" w:sz="0" w:space="0" w:color="auto"/>
        <w:right w:val="none" w:sz="0" w:space="0" w:color="auto"/>
      </w:divBdr>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0060805">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316141">
      <w:bodyDiv w:val="1"/>
      <w:marLeft w:val="0"/>
      <w:marRight w:val="0"/>
      <w:marTop w:val="0"/>
      <w:marBottom w:val="0"/>
      <w:divBdr>
        <w:top w:val="none" w:sz="0" w:space="0" w:color="auto"/>
        <w:left w:val="none" w:sz="0" w:space="0" w:color="auto"/>
        <w:bottom w:val="none" w:sz="0" w:space="0" w:color="auto"/>
        <w:right w:val="none" w:sz="0" w:space="0" w:color="auto"/>
      </w:divBdr>
    </w:div>
    <w:div w:id="1304309960">
      <w:bodyDiv w:val="1"/>
      <w:marLeft w:val="0"/>
      <w:marRight w:val="0"/>
      <w:marTop w:val="0"/>
      <w:marBottom w:val="0"/>
      <w:divBdr>
        <w:top w:val="none" w:sz="0" w:space="0" w:color="auto"/>
        <w:left w:val="none" w:sz="0" w:space="0" w:color="auto"/>
        <w:bottom w:val="none" w:sz="0" w:space="0" w:color="auto"/>
        <w:right w:val="none" w:sz="0" w:space="0" w:color="auto"/>
      </w:divBdr>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06273315">
      <w:bodyDiv w:val="1"/>
      <w:marLeft w:val="0"/>
      <w:marRight w:val="0"/>
      <w:marTop w:val="0"/>
      <w:marBottom w:val="0"/>
      <w:divBdr>
        <w:top w:val="none" w:sz="0" w:space="0" w:color="auto"/>
        <w:left w:val="none" w:sz="0" w:space="0" w:color="auto"/>
        <w:bottom w:val="none" w:sz="0" w:space="0" w:color="auto"/>
        <w:right w:val="none" w:sz="0" w:space="0" w:color="auto"/>
      </w:divBdr>
    </w:div>
    <w:div w:id="1309480080">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21806350">
      <w:bodyDiv w:val="1"/>
      <w:marLeft w:val="0"/>
      <w:marRight w:val="0"/>
      <w:marTop w:val="0"/>
      <w:marBottom w:val="0"/>
      <w:divBdr>
        <w:top w:val="none" w:sz="0" w:space="0" w:color="auto"/>
        <w:left w:val="none" w:sz="0" w:space="0" w:color="auto"/>
        <w:bottom w:val="none" w:sz="0" w:space="0" w:color="auto"/>
        <w:right w:val="none" w:sz="0" w:space="0" w:color="auto"/>
      </w:divBdr>
    </w:div>
    <w:div w:id="1326015144">
      <w:bodyDiv w:val="1"/>
      <w:marLeft w:val="0"/>
      <w:marRight w:val="0"/>
      <w:marTop w:val="0"/>
      <w:marBottom w:val="0"/>
      <w:divBdr>
        <w:top w:val="none" w:sz="0" w:space="0" w:color="auto"/>
        <w:left w:val="none" w:sz="0" w:space="0" w:color="auto"/>
        <w:bottom w:val="none" w:sz="0" w:space="0" w:color="auto"/>
        <w:right w:val="none" w:sz="0" w:space="0" w:color="auto"/>
      </w:divBdr>
    </w:div>
    <w:div w:id="1351564979">
      <w:bodyDiv w:val="1"/>
      <w:marLeft w:val="0"/>
      <w:marRight w:val="0"/>
      <w:marTop w:val="0"/>
      <w:marBottom w:val="0"/>
      <w:divBdr>
        <w:top w:val="none" w:sz="0" w:space="0" w:color="auto"/>
        <w:left w:val="none" w:sz="0" w:space="0" w:color="auto"/>
        <w:bottom w:val="none" w:sz="0" w:space="0" w:color="auto"/>
        <w:right w:val="none" w:sz="0" w:space="0" w:color="auto"/>
      </w:divBdr>
    </w:div>
    <w:div w:id="135248592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8261759">
      <w:bodyDiv w:val="1"/>
      <w:marLeft w:val="0"/>
      <w:marRight w:val="0"/>
      <w:marTop w:val="0"/>
      <w:marBottom w:val="0"/>
      <w:divBdr>
        <w:top w:val="none" w:sz="0" w:space="0" w:color="auto"/>
        <w:left w:val="none" w:sz="0" w:space="0" w:color="auto"/>
        <w:bottom w:val="none" w:sz="0" w:space="0" w:color="auto"/>
        <w:right w:val="none" w:sz="0" w:space="0" w:color="auto"/>
      </w:divBdr>
    </w:div>
    <w:div w:id="1401636585">
      <w:bodyDiv w:val="1"/>
      <w:marLeft w:val="0"/>
      <w:marRight w:val="0"/>
      <w:marTop w:val="0"/>
      <w:marBottom w:val="0"/>
      <w:divBdr>
        <w:top w:val="none" w:sz="0" w:space="0" w:color="auto"/>
        <w:left w:val="none" w:sz="0" w:space="0" w:color="auto"/>
        <w:bottom w:val="none" w:sz="0" w:space="0" w:color="auto"/>
        <w:right w:val="none" w:sz="0" w:space="0" w:color="auto"/>
      </w:divBdr>
    </w:div>
    <w:div w:id="1408769455">
      <w:bodyDiv w:val="1"/>
      <w:marLeft w:val="0"/>
      <w:marRight w:val="0"/>
      <w:marTop w:val="0"/>
      <w:marBottom w:val="0"/>
      <w:divBdr>
        <w:top w:val="none" w:sz="0" w:space="0" w:color="auto"/>
        <w:left w:val="none" w:sz="0" w:space="0" w:color="auto"/>
        <w:bottom w:val="none" w:sz="0" w:space="0" w:color="auto"/>
        <w:right w:val="none" w:sz="0" w:space="0" w:color="auto"/>
      </w:divBdr>
    </w:div>
    <w:div w:id="1412660906">
      <w:bodyDiv w:val="1"/>
      <w:marLeft w:val="0"/>
      <w:marRight w:val="0"/>
      <w:marTop w:val="0"/>
      <w:marBottom w:val="0"/>
      <w:divBdr>
        <w:top w:val="none" w:sz="0" w:space="0" w:color="auto"/>
        <w:left w:val="none" w:sz="0" w:space="0" w:color="auto"/>
        <w:bottom w:val="none" w:sz="0" w:space="0" w:color="auto"/>
        <w:right w:val="none" w:sz="0" w:space="0" w:color="auto"/>
      </w:divBdr>
    </w:div>
    <w:div w:id="1430278958">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32970790">
      <w:bodyDiv w:val="1"/>
      <w:marLeft w:val="0"/>
      <w:marRight w:val="0"/>
      <w:marTop w:val="0"/>
      <w:marBottom w:val="0"/>
      <w:divBdr>
        <w:top w:val="none" w:sz="0" w:space="0" w:color="auto"/>
        <w:left w:val="none" w:sz="0" w:space="0" w:color="auto"/>
        <w:bottom w:val="none" w:sz="0" w:space="0" w:color="auto"/>
        <w:right w:val="none" w:sz="0" w:space="0" w:color="auto"/>
      </w:divBdr>
    </w:div>
    <w:div w:id="1441798535">
      <w:bodyDiv w:val="1"/>
      <w:marLeft w:val="0"/>
      <w:marRight w:val="0"/>
      <w:marTop w:val="0"/>
      <w:marBottom w:val="0"/>
      <w:divBdr>
        <w:top w:val="none" w:sz="0" w:space="0" w:color="auto"/>
        <w:left w:val="none" w:sz="0" w:space="0" w:color="auto"/>
        <w:bottom w:val="none" w:sz="0" w:space="0" w:color="auto"/>
        <w:right w:val="none" w:sz="0" w:space="0" w:color="auto"/>
      </w:divBdr>
    </w:div>
    <w:div w:id="1462069844">
      <w:bodyDiv w:val="1"/>
      <w:marLeft w:val="0"/>
      <w:marRight w:val="0"/>
      <w:marTop w:val="0"/>
      <w:marBottom w:val="0"/>
      <w:divBdr>
        <w:top w:val="none" w:sz="0" w:space="0" w:color="auto"/>
        <w:left w:val="none" w:sz="0" w:space="0" w:color="auto"/>
        <w:bottom w:val="none" w:sz="0" w:space="0" w:color="auto"/>
        <w:right w:val="none" w:sz="0" w:space="0" w:color="auto"/>
      </w:divBdr>
    </w:div>
    <w:div w:id="1465927863">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491167499">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33422756">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66211960">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4119161">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581258254">
      <w:bodyDiv w:val="1"/>
      <w:marLeft w:val="0"/>
      <w:marRight w:val="0"/>
      <w:marTop w:val="0"/>
      <w:marBottom w:val="0"/>
      <w:divBdr>
        <w:top w:val="none" w:sz="0" w:space="0" w:color="auto"/>
        <w:left w:val="none" w:sz="0" w:space="0" w:color="auto"/>
        <w:bottom w:val="none" w:sz="0" w:space="0" w:color="auto"/>
        <w:right w:val="none" w:sz="0" w:space="0" w:color="auto"/>
      </w:divBdr>
    </w:div>
    <w:div w:id="1581869103">
      <w:bodyDiv w:val="1"/>
      <w:marLeft w:val="0"/>
      <w:marRight w:val="0"/>
      <w:marTop w:val="0"/>
      <w:marBottom w:val="0"/>
      <w:divBdr>
        <w:top w:val="none" w:sz="0" w:space="0" w:color="auto"/>
        <w:left w:val="none" w:sz="0" w:space="0" w:color="auto"/>
        <w:bottom w:val="none" w:sz="0" w:space="0" w:color="auto"/>
        <w:right w:val="none" w:sz="0" w:space="0" w:color="auto"/>
      </w:divBdr>
    </w:div>
    <w:div w:id="1583947211">
      <w:bodyDiv w:val="1"/>
      <w:marLeft w:val="0"/>
      <w:marRight w:val="0"/>
      <w:marTop w:val="0"/>
      <w:marBottom w:val="0"/>
      <w:divBdr>
        <w:top w:val="none" w:sz="0" w:space="0" w:color="auto"/>
        <w:left w:val="none" w:sz="0" w:space="0" w:color="auto"/>
        <w:bottom w:val="none" w:sz="0" w:space="0" w:color="auto"/>
        <w:right w:val="none" w:sz="0" w:space="0" w:color="auto"/>
      </w:divBdr>
    </w:div>
    <w:div w:id="1589581621">
      <w:bodyDiv w:val="1"/>
      <w:marLeft w:val="0"/>
      <w:marRight w:val="0"/>
      <w:marTop w:val="0"/>
      <w:marBottom w:val="0"/>
      <w:divBdr>
        <w:top w:val="none" w:sz="0" w:space="0" w:color="auto"/>
        <w:left w:val="none" w:sz="0" w:space="0" w:color="auto"/>
        <w:bottom w:val="none" w:sz="0" w:space="0" w:color="auto"/>
        <w:right w:val="none" w:sz="0" w:space="0" w:color="auto"/>
      </w:divBdr>
    </w:div>
    <w:div w:id="1605918929">
      <w:bodyDiv w:val="1"/>
      <w:marLeft w:val="0"/>
      <w:marRight w:val="0"/>
      <w:marTop w:val="0"/>
      <w:marBottom w:val="0"/>
      <w:divBdr>
        <w:top w:val="none" w:sz="0" w:space="0" w:color="auto"/>
        <w:left w:val="none" w:sz="0" w:space="0" w:color="auto"/>
        <w:bottom w:val="none" w:sz="0" w:space="0" w:color="auto"/>
        <w:right w:val="none" w:sz="0" w:space="0" w:color="auto"/>
      </w:divBdr>
    </w:div>
    <w:div w:id="1606228980">
      <w:bodyDiv w:val="1"/>
      <w:marLeft w:val="0"/>
      <w:marRight w:val="0"/>
      <w:marTop w:val="0"/>
      <w:marBottom w:val="0"/>
      <w:divBdr>
        <w:top w:val="none" w:sz="0" w:space="0" w:color="auto"/>
        <w:left w:val="none" w:sz="0" w:space="0" w:color="auto"/>
        <w:bottom w:val="none" w:sz="0" w:space="0" w:color="auto"/>
        <w:right w:val="none" w:sz="0" w:space="0" w:color="auto"/>
      </w:divBdr>
    </w:div>
    <w:div w:id="1606690564">
      <w:bodyDiv w:val="1"/>
      <w:marLeft w:val="0"/>
      <w:marRight w:val="0"/>
      <w:marTop w:val="0"/>
      <w:marBottom w:val="0"/>
      <w:divBdr>
        <w:top w:val="none" w:sz="0" w:space="0" w:color="auto"/>
        <w:left w:val="none" w:sz="0" w:space="0" w:color="auto"/>
        <w:bottom w:val="none" w:sz="0" w:space="0" w:color="auto"/>
        <w:right w:val="none" w:sz="0" w:space="0" w:color="auto"/>
      </w:divBdr>
    </w:div>
    <w:div w:id="1631782445">
      <w:bodyDiv w:val="1"/>
      <w:marLeft w:val="0"/>
      <w:marRight w:val="0"/>
      <w:marTop w:val="0"/>
      <w:marBottom w:val="0"/>
      <w:divBdr>
        <w:top w:val="none" w:sz="0" w:space="0" w:color="auto"/>
        <w:left w:val="none" w:sz="0" w:space="0" w:color="auto"/>
        <w:bottom w:val="none" w:sz="0" w:space="0" w:color="auto"/>
        <w:right w:val="none" w:sz="0" w:space="0" w:color="auto"/>
      </w:divBdr>
    </w:div>
    <w:div w:id="1653675036">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66274343">
      <w:bodyDiv w:val="1"/>
      <w:marLeft w:val="0"/>
      <w:marRight w:val="0"/>
      <w:marTop w:val="0"/>
      <w:marBottom w:val="0"/>
      <w:divBdr>
        <w:top w:val="none" w:sz="0" w:space="0" w:color="auto"/>
        <w:left w:val="none" w:sz="0" w:space="0" w:color="auto"/>
        <w:bottom w:val="none" w:sz="0" w:space="0" w:color="auto"/>
        <w:right w:val="none" w:sz="0" w:space="0" w:color="auto"/>
      </w:divBdr>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4887768">
      <w:bodyDiv w:val="1"/>
      <w:marLeft w:val="0"/>
      <w:marRight w:val="0"/>
      <w:marTop w:val="0"/>
      <w:marBottom w:val="0"/>
      <w:divBdr>
        <w:top w:val="none" w:sz="0" w:space="0" w:color="auto"/>
        <w:left w:val="none" w:sz="0" w:space="0" w:color="auto"/>
        <w:bottom w:val="none" w:sz="0" w:space="0" w:color="auto"/>
        <w:right w:val="none" w:sz="0" w:space="0" w:color="auto"/>
      </w:divBdr>
    </w:div>
    <w:div w:id="1742556077">
      <w:bodyDiv w:val="1"/>
      <w:marLeft w:val="0"/>
      <w:marRight w:val="0"/>
      <w:marTop w:val="0"/>
      <w:marBottom w:val="0"/>
      <w:divBdr>
        <w:top w:val="none" w:sz="0" w:space="0" w:color="auto"/>
        <w:left w:val="none" w:sz="0" w:space="0" w:color="auto"/>
        <w:bottom w:val="none" w:sz="0" w:space="0" w:color="auto"/>
        <w:right w:val="none" w:sz="0" w:space="0" w:color="auto"/>
      </w:divBdr>
    </w:div>
    <w:div w:id="1756978660">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920678511">
          <w:marLeft w:val="1080"/>
          <w:marRight w:val="0"/>
          <w:marTop w:val="1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1541360463">
          <w:marLeft w:val="360"/>
          <w:marRight w:val="0"/>
          <w:marTop w:val="2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20414151">
      <w:bodyDiv w:val="1"/>
      <w:marLeft w:val="0"/>
      <w:marRight w:val="0"/>
      <w:marTop w:val="0"/>
      <w:marBottom w:val="0"/>
      <w:divBdr>
        <w:top w:val="none" w:sz="0" w:space="0" w:color="auto"/>
        <w:left w:val="none" w:sz="0" w:space="0" w:color="auto"/>
        <w:bottom w:val="none" w:sz="0" w:space="0" w:color="auto"/>
        <w:right w:val="none" w:sz="0" w:space="0" w:color="auto"/>
      </w:divBdr>
    </w:div>
    <w:div w:id="1831170770">
      <w:bodyDiv w:val="1"/>
      <w:marLeft w:val="0"/>
      <w:marRight w:val="0"/>
      <w:marTop w:val="0"/>
      <w:marBottom w:val="0"/>
      <w:divBdr>
        <w:top w:val="none" w:sz="0" w:space="0" w:color="auto"/>
        <w:left w:val="none" w:sz="0" w:space="0" w:color="auto"/>
        <w:bottom w:val="none" w:sz="0" w:space="0" w:color="auto"/>
        <w:right w:val="none" w:sz="0" w:space="0" w:color="auto"/>
      </w:divBdr>
    </w:div>
    <w:div w:id="1850827001">
      <w:bodyDiv w:val="1"/>
      <w:marLeft w:val="0"/>
      <w:marRight w:val="0"/>
      <w:marTop w:val="0"/>
      <w:marBottom w:val="0"/>
      <w:divBdr>
        <w:top w:val="none" w:sz="0" w:space="0" w:color="auto"/>
        <w:left w:val="none" w:sz="0" w:space="0" w:color="auto"/>
        <w:bottom w:val="none" w:sz="0" w:space="0" w:color="auto"/>
        <w:right w:val="none" w:sz="0" w:space="0" w:color="auto"/>
      </w:divBdr>
    </w:div>
    <w:div w:id="1851989061">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38321917">
      <w:bodyDiv w:val="1"/>
      <w:marLeft w:val="0"/>
      <w:marRight w:val="0"/>
      <w:marTop w:val="0"/>
      <w:marBottom w:val="0"/>
      <w:divBdr>
        <w:top w:val="none" w:sz="0" w:space="0" w:color="auto"/>
        <w:left w:val="none" w:sz="0" w:space="0" w:color="auto"/>
        <w:bottom w:val="none" w:sz="0" w:space="0" w:color="auto"/>
        <w:right w:val="none" w:sz="0" w:space="0" w:color="auto"/>
      </w:divBdr>
    </w:div>
    <w:div w:id="1939026494">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84771689">
      <w:bodyDiv w:val="1"/>
      <w:marLeft w:val="0"/>
      <w:marRight w:val="0"/>
      <w:marTop w:val="0"/>
      <w:marBottom w:val="0"/>
      <w:divBdr>
        <w:top w:val="none" w:sz="0" w:space="0" w:color="auto"/>
        <w:left w:val="none" w:sz="0" w:space="0" w:color="auto"/>
        <w:bottom w:val="none" w:sz="0" w:space="0" w:color="auto"/>
        <w:right w:val="none" w:sz="0" w:space="0" w:color="auto"/>
      </w:divBdr>
    </w:div>
    <w:div w:id="2005862833">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31750646">
          <w:marLeft w:val="274"/>
          <w:marRight w:val="0"/>
          <w:marTop w:val="150"/>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183015354">
          <w:marLeft w:val="274"/>
          <w:marRight w:val="0"/>
          <w:marTop w:val="150"/>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45593141">
      <w:bodyDiv w:val="1"/>
      <w:marLeft w:val="0"/>
      <w:marRight w:val="0"/>
      <w:marTop w:val="0"/>
      <w:marBottom w:val="0"/>
      <w:divBdr>
        <w:top w:val="none" w:sz="0" w:space="0" w:color="auto"/>
        <w:left w:val="none" w:sz="0" w:space="0" w:color="auto"/>
        <w:bottom w:val="none" w:sz="0" w:space="0" w:color="auto"/>
        <w:right w:val="none" w:sz="0" w:space="0" w:color="auto"/>
      </w:divBdr>
    </w:div>
    <w:div w:id="2057510828">
      <w:bodyDiv w:val="1"/>
      <w:marLeft w:val="0"/>
      <w:marRight w:val="0"/>
      <w:marTop w:val="0"/>
      <w:marBottom w:val="0"/>
      <w:divBdr>
        <w:top w:val="none" w:sz="0" w:space="0" w:color="auto"/>
        <w:left w:val="none" w:sz="0" w:space="0" w:color="auto"/>
        <w:bottom w:val="none" w:sz="0" w:space="0" w:color="auto"/>
        <w:right w:val="none" w:sz="0" w:space="0" w:color="auto"/>
      </w:divBdr>
    </w:div>
    <w:div w:id="2069646013">
      <w:bodyDiv w:val="1"/>
      <w:marLeft w:val="0"/>
      <w:marRight w:val="0"/>
      <w:marTop w:val="0"/>
      <w:marBottom w:val="0"/>
      <w:divBdr>
        <w:top w:val="none" w:sz="0" w:space="0" w:color="auto"/>
        <w:left w:val="none" w:sz="0" w:space="0" w:color="auto"/>
        <w:bottom w:val="none" w:sz="0" w:space="0" w:color="auto"/>
        <w:right w:val="none" w:sz="0" w:space="0" w:color="auto"/>
      </w:divBdr>
    </w:div>
    <w:div w:id="2074503159">
      <w:bodyDiv w:val="1"/>
      <w:marLeft w:val="0"/>
      <w:marRight w:val="0"/>
      <w:marTop w:val="0"/>
      <w:marBottom w:val="0"/>
      <w:divBdr>
        <w:top w:val="none" w:sz="0" w:space="0" w:color="auto"/>
        <w:left w:val="none" w:sz="0" w:space="0" w:color="auto"/>
        <w:bottom w:val="none" w:sz="0" w:space="0" w:color="auto"/>
        <w:right w:val="none" w:sz="0" w:space="0" w:color="auto"/>
      </w:divBdr>
    </w:div>
    <w:div w:id="2080667755">
      <w:bodyDiv w:val="1"/>
      <w:marLeft w:val="0"/>
      <w:marRight w:val="0"/>
      <w:marTop w:val="0"/>
      <w:marBottom w:val="0"/>
      <w:divBdr>
        <w:top w:val="none" w:sz="0" w:space="0" w:color="auto"/>
        <w:left w:val="none" w:sz="0" w:space="0" w:color="auto"/>
        <w:bottom w:val="none" w:sz="0" w:space="0" w:color="auto"/>
        <w:right w:val="none" w:sz="0" w:space="0" w:color="auto"/>
      </w:divBdr>
    </w:div>
    <w:div w:id="2084060680">
      <w:bodyDiv w:val="1"/>
      <w:marLeft w:val="0"/>
      <w:marRight w:val="0"/>
      <w:marTop w:val="0"/>
      <w:marBottom w:val="0"/>
      <w:divBdr>
        <w:top w:val="none" w:sz="0" w:space="0" w:color="auto"/>
        <w:left w:val="none" w:sz="0" w:space="0" w:color="auto"/>
        <w:bottom w:val="none" w:sz="0" w:space="0" w:color="auto"/>
        <w:right w:val="none" w:sz="0" w:space="0" w:color="auto"/>
      </w:divBdr>
    </w:div>
    <w:div w:id="2093047389">
      <w:bodyDiv w:val="1"/>
      <w:marLeft w:val="0"/>
      <w:marRight w:val="0"/>
      <w:marTop w:val="0"/>
      <w:marBottom w:val="0"/>
      <w:divBdr>
        <w:top w:val="none" w:sz="0" w:space="0" w:color="auto"/>
        <w:left w:val="none" w:sz="0" w:space="0" w:color="auto"/>
        <w:bottom w:val="none" w:sz="0" w:space="0" w:color="auto"/>
        <w:right w:val="none" w:sz="0" w:space="0" w:color="auto"/>
      </w:divBdr>
    </w:div>
    <w:div w:id="210340810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21952577">
      <w:bodyDiv w:val="1"/>
      <w:marLeft w:val="0"/>
      <w:marRight w:val="0"/>
      <w:marTop w:val="0"/>
      <w:marBottom w:val="0"/>
      <w:divBdr>
        <w:top w:val="none" w:sz="0" w:space="0" w:color="auto"/>
        <w:left w:val="none" w:sz="0" w:space="0" w:color="auto"/>
        <w:bottom w:val="none" w:sz="0" w:space="0" w:color="auto"/>
        <w:right w:val="none" w:sz="0" w:space="0" w:color="auto"/>
      </w:divBdr>
    </w:div>
    <w:div w:id="2141873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b:Source>
    <b:Tag>363401</b:Tag>
    <b:SourceType>Report</b:SourceType>
    <b:Guid>{A1508103-D7B1-466A-BD29-9DC895D69536}</b:Guid>
    <b:Author>
      <b:Author>
        <b:NameList>
          <b:Person>
            <b:Last>36.331</b:Last>
          </b:Person>
        </b:NameList>
      </b:Author>
    </b:Author>
    <b:Title>Radio Resource Control (RRC) Protocol Specification</b:Title>
    <b:Year>18.1.0</b:Year>
    <b:RefOrder>1</b:RefOrder>
  </b:Source>
  <b:Source>
    <b:Tag>36121</b:Tag>
    <b:SourceType>Report</b:SourceType>
    <b:Guid>{50D16789-D490-44BB-BAB8-AE58EC985D3B}</b:Guid>
    <b:Author>
      <b:Author>
        <b:NameList>
          <b:Person>
            <b:Last>36.133</b:Last>
          </b:Person>
        </b:NameList>
      </b:Author>
    </b:Author>
    <b:Title>Requirements for support of radio resource management</b:Title>
    <b:Year>18.5.0</b:Year>
    <b:RefOrder>2</b:RefOrder>
  </b:Source>
  <b:Source>
    <b:Tag>36250</b:Tag>
    <b:SourceType>Report</b:SourceType>
    <b:Guid>{EF6EC754-AD2E-4FBC-8082-EA7DC8B585E0}</b:Guid>
    <b:Author>
      <b:Author>
        <b:NameList>
          <b:Person>
            <b:Last>36.213</b:Last>
          </b:Person>
        </b:NameList>
      </b:Author>
    </b:Author>
    <b:Title>Physical layer procedures</b:Title>
    <b:Year>18.2.0</b:Year>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4" ma:contentTypeDescription="Create a new document." ma:contentTypeScope="" ma:versionID="93da430cc57bfe56ef2e3e1332fa909e">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d7f3d2cf7542318cc929acfeb2176a83"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FCC99-3355-4C6C-A671-5C2D6A7DE941}">
  <ds:schemaRefs>
    <ds:schemaRef ds:uri="http://schemas.openxmlformats.org/officeDocument/2006/bibliography"/>
  </ds:schemaRefs>
</ds:datastoreItem>
</file>

<file path=customXml/itemProps2.xml><?xml version="1.0" encoding="utf-8"?>
<ds:datastoreItem xmlns:ds="http://schemas.openxmlformats.org/officeDocument/2006/customXml" ds:itemID="{759E4EAE-59D0-4C4E-AA1C-91CA81EC7969}">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3.xml><?xml version="1.0" encoding="utf-8"?>
<ds:datastoreItem xmlns:ds="http://schemas.openxmlformats.org/officeDocument/2006/customXml" ds:itemID="{A67E3BB1-04D3-472F-A948-9BCC2C0B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ECD002-B7AC-4099-AB84-6E12064472E7}">
  <ds:schemaRefs>
    <ds:schemaRef ds:uri="http://schemas.microsoft.com/sharepoint/v3/contenttype/forms"/>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Normal.dotm</Template>
  <TotalTime>118</TotalTime>
  <Pages>18</Pages>
  <Words>6739</Words>
  <Characters>33227</Characters>
  <Application>Microsoft Office Word</Application>
  <DocSecurity>0</DocSecurity>
  <Lines>1444</Lines>
  <Paragraphs>1289</Paragraphs>
  <ScaleCrop>false</ScaleCrop>
  <HeadingPairs>
    <vt:vector size="6" baseType="variant">
      <vt:variant>
        <vt:lpstr>Title</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Manager/>
  <Company>IRDM</Company>
  <LinksUpToDate>false</LinksUpToDate>
  <CharactersWithSpaces>38677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IRDM</dc:creator>
  <cp:keywords>P5453-3GPP-011_R2129bis v0.3</cp:keywords>
  <dc:description/>
  <cp:lastModifiedBy>Andjela Ilic-Savoia</cp:lastModifiedBy>
  <cp:revision>22</cp:revision>
  <dcterms:created xsi:type="dcterms:W3CDTF">2025-03-25T06:25:00Z</dcterms:created>
  <dcterms:modified xsi:type="dcterms:W3CDTF">2025-03-27T20:47:00Z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CCopyrightYear">
    <vt:lpwstr>2025</vt:lpwstr>
  </property>
  <property fmtid="{D5CDD505-2E9C-101B-9397-08002B2CF9AE}" pid="21" name="ContentTypeId">
    <vt:lpwstr>0x0101008D576B664F7F1540AA017FDEC6EDC72E</vt:lpwstr>
  </property>
  <property fmtid="{D5CDD505-2E9C-101B-9397-08002B2CF9AE}" pid="22" name="MediaServiceImageTags">
    <vt:lpwstr/>
  </property>
</Properties>
</file>