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C4B97" w14:textId="249E2B1A" w:rsidR="007237A3" w:rsidRPr="00215562" w:rsidRDefault="007237A3" w:rsidP="007237A3">
      <w:pPr>
        <w:tabs>
          <w:tab w:val="left" w:pos="1701"/>
          <w:tab w:val="right" w:pos="9639"/>
        </w:tabs>
        <w:rPr>
          <w:rFonts w:ascii="Arial" w:hAnsi="Arial" w:cs="Arial"/>
          <w:b/>
          <w:sz w:val="22"/>
          <w:lang w:val="en-US"/>
        </w:rPr>
      </w:pPr>
      <w:r w:rsidRPr="00215562">
        <w:rPr>
          <w:rFonts w:ascii="Arial" w:hAnsi="Arial" w:cs="Arial"/>
          <w:b/>
          <w:sz w:val="22"/>
          <w:lang w:val="en-US"/>
        </w:rPr>
        <w:t>3GPP TSG-RAN WG2 Meeting #12</w:t>
      </w:r>
      <w:r w:rsidR="00C92146">
        <w:rPr>
          <w:rFonts w:ascii="Arial" w:hAnsi="Arial" w:cs="Arial"/>
          <w:b/>
          <w:sz w:val="22"/>
          <w:lang w:val="en-US"/>
        </w:rPr>
        <w:t>9bis</w:t>
      </w:r>
      <w:r w:rsidRPr="00215562">
        <w:rPr>
          <w:rFonts w:ascii="Arial" w:hAnsi="Arial" w:cs="Arial"/>
          <w:b/>
          <w:sz w:val="22"/>
          <w:lang w:val="en-US"/>
        </w:rPr>
        <w:tab/>
      </w:r>
      <w:r w:rsidRPr="00215562">
        <w:rPr>
          <w:rFonts w:ascii="Arial" w:hAnsi="Arial" w:cs="Arial"/>
          <w:b/>
          <w:i/>
          <w:iCs/>
          <w:sz w:val="22"/>
          <w:lang w:val="en-US"/>
        </w:rPr>
        <w:t>R2-2</w:t>
      </w:r>
      <w:r w:rsidR="00B16E3B">
        <w:rPr>
          <w:rFonts w:ascii="Arial" w:hAnsi="Arial" w:cs="Arial"/>
          <w:b/>
          <w:i/>
          <w:iCs/>
          <w:sz w:val="22"/>
          <w:lang w:val="en-US"/>
        </w:rPr>
        <w:t>5</w:t>
      </w:r>
      <w:r w:rsidR="00734CBA">
        <w:rPr>
          <w:rFonts w:ascii="Arial" w:hAnsi="Arial" w:cs="Arial"/>
          <w:b/>
          <w:i/>
          <w:iCs/>
          <w:sz w:val="22"/>
          <w:lang w:val="en-US"/>
        </w:rPr>
        <w:t>01862</w:t>
      </w:r>
    </w:p>
    <w:p w14:paraId="2F7CDE09" w14:textId="74010508" w:rsidR="007237A3" w:rsidRDefault="00A67E14" w:rsidP="007237A3">
      <w:pPr>
        <w:overflowPunct w:val="0"/>
        <w:autoSpaceDE w:val="0"/>
        <w:autoSpaceDN w:val="0"/>
        <w:adjustRightInd w:val="0"/>
        <w:jc w:val="left"/>
        <w:textAlignment w:val="baseline"/>
        <w:rPr>
          <w:rFonts w:ascii="Arial" w:hAnsi="Arial" w:cs="Arial"/>
          <w:b/>
          <w:sz w:val="22"/>
        </w:rPr>
      </w:pPr>
      <w:r w:rsidRPr="00A67E14">
        <w:rPr>
          <w:rFonts w:ascii="Arial" w:hAnsi="Arial" w:cs="Arial"/>
          <w:b/>
          <w:sz w:val="22"/>
        </w:rPr>
        <w:t>Wuhan</w:t>
      </w:r>
      <w:r w:rsidR="00D9013F" w:rsidRPr="00D9013F">
        <w:rPr>
          <w:rFonts w:ascii="Arial" w:hAnsi="Arial" w:cs="Arial"/>
          <w:b/>
          <w:sz w:val="22"/>
        </w:rPr>
        <w:t>, Ch</w:t>
      </w:r>
      <w:r w:rsidR="00502848">
        <w:rPr>
          <w:rFonts w:ascii="Arial" w:hAnsi="Arial" w:cs="Arial"/>
          <w:b/>
          <w:sz w:val="22"/>
        </w:rPr>
        <w:t>ina</w:t>
      </w:r>
      <w:r w:rsidR="00D9013F" w:rsidRPr="00D9013F">
        <w:rPr>
          <w:rFonts w:ascii="Arial" w:hAnsi="Arial" w:cs="Arial"/>
          <w:b/>
          <w:sz w:val="22"/>
        </w:rPr>
        <w:t>,</w:t>
      </w:r>
      <w:r w:rsidR="00D9013F">
        <w:rPr>
          <w:rFonts w:ascii="Arial" w:hAnsi="Arial" w:cs="Arial"/>
          <w:b/>
          <w:sz w:val="22"/>
        </w:rPr>
        <w:t xml:space="preserve"> April</w:t>
      </w:r>
      <w:r w:rsidR="007237A3" w:rsidRPr="00A05383">
        <w:rPr>
          <w:rFonts w:ascii="Arial" w:hAnsi="Arial" w:cs="Arial"/>
          <w:b/>
          <w:sz w:val="22"/>
        </w:rPr>
        <w:t xml:space="preserve"> </w:t>
      </w:r>
      <w:r w:rsidR="00D9013F">
        <w:rPr>
          <w:rFonts w:ascii="Arial" w:hAnsi="Arial" w:cs="Arial"/>
          <w:b/>
          <w:sz w:val="22"/>
        </w:rPr>
        <w:t>7</w:t>
      </w:r>
      <w:r w:rsidR="007237A3" w:rsidRPr="00A05383">
        <w:rPr>
          <w:rFonts w:ascii="Arial" w:hAnsi="Arial" w:cs="Arial"/>
          <w:b/>
          <w:sz w:val="22"/>
        </w:rPr>
        <w:t>th –</w:t>
      </w:r>
      <w:r w:rsidR="00D9013F">
        <w:rPr>
          <w:rFonts w:ascii="Arial" w:hAnsi="Arial" w:cs="Arial"/>
          <w:b/>
          <w:sz w:val="22"/>
        </w:rPr>
        <w:t>11</w:t>
      </w:r>
      <w:r w:rsidR="007237A3" w:rsidRPr="00A05383">
        <w:rPr>
          <w:rFonts w:ascii="Arial" w:hAnsi="Arial" w:cs="Arial"/>
          <w:b/>
          <w:sz w:val="22"/>
        </w:rPr>
        <w:t>th,202</w:t>
      </w:r>
      <w:r w:rsidR="00D9013F">
        <w:rPr>
          <w:rFonts w:ascii="Arial" w:hAnsi="Arial" w:cs="Arial"/>
          <w:b/>
          <w:sz w:val="22"/>
        </w:rPr>
        <w:t>5</w:t>
      </w:r>
    </w:p>
    <w:p w14:paraId="645ED49C" w14:textId="77777777" w:rsidR="007237A3" w:rsidRPr="00215562" w:rsidRDefault="007237A3" w:rsidP="007237A3">
      <w:pPr>
        <w:overflowPunct w:val="0"/>
        <w:autoSpaceDE w:val="0"/>
        <w:autoSpaceDN w:val="0"/>
        <w:adjustRightInd w:val="0"/>
        <w:jc w:val="left"/>
        <w:textAlignment w:val="baseline"/>
        <w:rPr>
          <w:rFonts w:ascii="Arial" w:eastAsia="Yu Gothic Medium" w:hAnsi="Arial" w:cs="Arial"/>
          <w:b/>
          <w:bCs/>
          <w:kern w:val="0"/>
          <w:sz w:val="24"/>
          <w:szCs w:val="20"/>
          <w:lang w:val="pt-PT"/>
          <w:rPrChange w:id="0" w:author="Xuelong Wang" w:date="2024-09-24T09:08:00Z">
            <w:rPr>
              <w:rFonts w:ascii="Arial" w:eastAsia="Yu Gothic Medium" w:hAnsi="Arial"/>
              <w:b/>
              <w:bCs/>
              <w:kern w:val="0"/>
              <w:sz w:val="24"/>
              <w:szCs w:val="20"/>
            </w:rPr>
          </w:rPrChange>
        </w:rPr>
      </w:pPr>
    </w:p>
    <w:p w14:paraId="250F609B" w14:textId="5A54C043" w:rsidR="007237A3" w:rsidRPr="00961A8E" w:rsidRDefault="007237A3" w:rsidP="007237A3">
      <w:pPr>
        <w:widowControl/>
        <w:spacing w:after="120"/>
        <w:jc w:val="left"/>
        <w:rPr>
          <w:rFonts w:ascii="Arial" w:eastAsia="Yu Gothic Medium" w:hAnsi="Arial" w:cs="Arial"/>
          <w:b/>
          <w:bCs/>
          <w:kern w:val="0"/>
          <w:sz w:val="24"/>
          <w:szCs w:val="20"/>
          <w:lang w:val="pt-PT"/>
        </w:rPr>
      </w:pPr>
      <w:r w:rsidRPr="00215562">
        <w:rPr>
          <w:rFonts w:ascii="Arial" w:eastAsia="Yu Gothic Medium" w:hAnsi="Arial" w:cs="Arial"/>
          <w:b/>
          <w:bCs/>
          <w:kern w:val="0"/>
          <w:sz w:val="24"/>
          <w:szCs w:val="20"/>
          <w:lang w:val="pt-PT" w:eastAsia="en-US"/>
          <w:rPrChange w:id="1" w:author="Xuelong Wang" w:date="2024-09-24T09:08:00Z">
            <w:rPr>
              <w:rFonts w:ascii="Arial" w:eastAsia="Yu Gothic Medium" w:hAnsi="Arial" w:cs="Arial"/>
              <w:b/>
              <w:bCs/>
              <w:kern w:val="0"/>
              <w:sz w:val="24"/>
              <w:szCs w:val="20"/>
              <w:lang w:eastAsia="en-US"/>
            </w:rPr>
          </w:rPrChange>
        </w:rPr>
        <w:t>Agenda item:</w:t>
      </w:r>
      <w:r w:rsidR="00961A8E">
        <w:rPr>
          <w:rFonts w:ascii="Arial" w:eastAsia="Yu Gothic Medium" w:hAnsi="Arial" w:cs="Arial"/>
          <w:b/>
          <w:bCs/>
          <w:kern w:val="0"/>
          <w:sz w:val="24"/>
          <w:szCs w:val="20"/>
          <w:lang w:val="pt-PT"/>
        </w:rPr>
        <w:t xml:space="preserve">       </w:t>
      </w:r>
      <w:r w:rsidR="00961A8E" w:rsidRPr="00961A8E">
        <w:rPr>
          <w:rFonts w:ascii="Arial" w:eastAsia="Yu Gothic Medium" w:hAnsi="Arial" w:cs="Arial"/>
          <w:b/>
          <w:bCs/>
          <w:kern w:val="0"/>
          <w:sz w:val="24"/>
          <w:szCs w:val="20"/>
          <w:lang w:val="pt-PT"/>
        </w:rPr>
        <w:t>8.3.2.1</w:t>
      </w:r>
    </w:p>
    <w:p w14:paraId="59F9DE6B" w14:textId="7ABD6EEA" w:rsidR="007237A3" w:rsidRPr="00215562" w:rsidRDefault="007237A3" w:rsidP="007237A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Title:</w:t>
      </w:r>
      <w:r w:rsidRPr="00215562">
        <w:rPr>
          <w:rFonts w:ascii="Arial" w:eastAsia="Yu Gothic Medium" w:hAnsi="Arial" w:cs="Arial"/>
          <w:b/>
          <w:bCs/>
          <w:kern w:val="0"/>
          <w:sz w:val="24"/>
          <w:szCs w:val="20"/>
        </w:rPr>
        <w:tab/>
      </w:r>
      <w:r w:rsidR="00481CCC">
        <w:rPr>
          <w:rFonts w:ascii="Arial" w:eastAsia="Yu Gothic Medium" w:hAnsi="Arial" w:cs="Arial"/>
          <w:b/>
          <w:bCs/>
          <w:kern w:val="0"/>
          <w:sz w:val="24"/>
          <w:szCs w:val="20"/>
        </w:rPr>
        <w:t xml:space="preserve">RRM measurement prediction specification impact discussion </w:t>
      </w:r>
    </w:p>
    <w:p w14:paraId="61D68CFB" w14:textId="77777777" w:rsidR="007237A3" w:rsidRPr="00215562" w:rsidRDefault="007237A3" w:rsidP="007237A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Source: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NEC</w:t>
      </w:r>
    </w:p>
    <w:p w14:paraId="7EEB586A" w14:textId="77777777" w:rsidR="007237A3" w:rsidRPr="00215562" w:rsidRDefault="007237A3" w:rsidP="007237A3">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Document for:</w:t>
      </w:r>
      <w:r>
        <w:rPr>
          <w:rFonts w:ascii="Arial" w:eastAsia="Yu Gothic Medium" w:hAnsi="Arial" w:cs="Arial"/>
          <w:b/>
          <w:bCs/>
          <w:kern w:val="0"/>
          <w:sz w:val="24"/>
          <w:szCs w:val="20"/>
        </w:rPr>
        <w:t xml:space="preserve">     </w:t>
      </w:r>
      <w:r w:rsidRPr="00215562">
        <w:rPr>
          <w:rFonts w:ascii="Arial" w:eastAsia="Yu Gothic Medium" w:hAnsi="Arial" w:cs="Arial"/>
          <w:b/>
          <w:bCs/>
          <w:kern w:val="0"/>
          <w:sz w:val="24"/>
          <w:szCs w:val="20"/>
          <w:lang w:eastAsia="en-US"/>
        </w:rPr>
        <w:t>Discussion</w:t>
      </w:r>
      <w:r w:rsidRPr="00215562">
        <w:rPr>
          <w:rFonts w:ascii="Arial" w:eastAsia="Yu Gothic Medium" w:hAnsi="Arial" w:cs="Arial"/>
          <w:b/>
          <w:bCs/>
          <w:kern w:val="0"/>
          <w:sz w:val="24"/>
          <w:szCs w:val="20"/>
        </w:rPr>
        <w:t xml:space="preserve"> and Decision</w:t>
      </w:r>
    </w:p>
    <w:p w14:paraId="25ABD58B" w14:textId="77777777" w:rsidR="007237A3" w:rsidRDefault="007237A3" w:rsidP="007237A3">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lang w:eastAsia="en-US"/>
        </w:rPr>
      </w:pPr>
      <w:r w:rsidRPr="00215562">
        <w:rPr>
          <w:rFonts w:ascii="Arial" w:eastAsia="Yu Gothic Medium" w:hAnsi="Arial" w:cs="Arial"/>
          <w:kern w:val="0"/>
          <w:sz w:val="32"/>
          <w:szCs w:val="20"/>
          <w:lang w:eastAsia="en-US"/>
        </w:rPr>
        <w:t>1. Introduction</w:t>
      </w:r>
    </w:p>
    <w:p w14:paraId="602BA2AF" w14:textId="77777777" w:rsidR="00281D5A" w:rsidRDefault="00281D5A" w:rsidP="00281D5A">
      <w:pPr>
        <w:rPr>
          <w:rFonts w:eastAsia="SimSun"/>
          <w:lang w:val="en-US" w:eastAsia="zh-CN"/>
        </w:rPr>
      </w:pPr>
      <w:r>
        <w:rPr>
          <w:rFonts w:eastAsia="SimSun"/>
          <w:lang w:val="en-US" w:eastAsia="zh-CN"/>
        </w:rPr>
        <w:t xml:space="preserve">In </w:t>
      </w:r>
      <w:r>
        <w:rPr>
          <w:rFonts w:eastAsia="SimSun" w:hint="eastAsia"/>
          <w:lang w:val="en-US" w:eastAsia="zh-CN"/>
        </w:rPr>
        <w:t>the previous RAN2</w:t>
      </w:r>
      <w:r>
        <w:rPr>
          <w:rFonts w:eastAsia="SimSun"/>
          <w:lang w:val="en-US" w:eastAsia="zh-CN"/>
        </w:rPr>
        <w:t xml:space="preserve"> </w:t>
      </w:r>
      <w:r>
        <w:rPr>
          <w:rFonts w:eastAsia="SimSun" w:hint="eastAsia"/>
          <w:lang w:eastAsia="zh-CN"/>
        </w:rPr>
        <w:t>meeting</w:t>
      </w:r>
      <w:r>
        <w:rPr>
          <w:rFonts w:eastAsia="SimSun"/>
          <w:lang w:val="en-US" w:eastAsia="zh-CN"/>
        </w:rPr>
        <w:t>,</w:t>
      </w:r>
      <w:r>
        <w:rPr>
          <w:rFonts w:eastAsia="SimSun" w:hint="eastAsia"/>
          <w:lang w:val="en-US" w:eastAsia="zh-CN"/>
        </w:rPr>
        <w:t xml:space="preserve"> there were </w:t>
      </w:r>
      <w:r>
        <w:rPr>
          <w:rFonts w:eastAsia="SimSun"/>
          <w:lang w:val="en-US" w:eastAsia="zh-CN"/>
        </w:rPr>
        <w:t>discussion</w:t>
      </w:r>
      <w:r>
        <w:rPr>
          <w:rFonts w:eastAsia="SimSun" w:hint="eastAsia"/>
          <w:lang w:val="en-US" w:eastAsia="zh-CN"/>
        </w:rPr>
        <w:t xml:space="preserve"> on </w:t>
      </w:r>
      <w:r w:rsidRPr="002B29DB">
        <w:rPr>
          <w:lang w:val="en-US"/>
        </w:rPr>
        <w:t>Simulation assumptions and evaluation methodology for RRM measurement predictio</w:t>
      </w:r>
      <w:r>
        <w:rPr>
          <w:rFonts w:hint="eastAsia"/>
          <w:lang w:val="en-US" w:eastAsia="zh-CN"/>
        </w:rPr>
        <w:t>n. T</w:t>
      </w:r>
      <w:r>
        <w:rPr>
          <w:rFonts w:eastAsia="SimSun" w:hint="eastAsia"/>
          <w:lang w:val="en-US" w:eastAsia="zh-CN"/>
        </w:rPr>
        <w:t xml:space="preserve">he agreements about </w:t>
      </w:r>
      <w:bookmarkStart w:id="2" w:name="OLE_LINK3"/>
      <w:r w:rsidRPr="00E11A6B">
        <w:rPr>
          <w:rFonts w:eastAsia="SimSun"/>
          <w:lang w:val="en-US" w:eastAsia="zh-CN"/>
        </w:rPr>
        <w:t>simulation assumptions</w:t>
      </w:r>
      <w:r>
        <w:rPr>
          <w:rFonts w:eastAsia="SimSun" w:hint="eastAsia"/>
          <w:lang w:val="en-US" w:eastAsia="zh-CN"/>
        </w:rPr>
        <w:t xml:space="preserve"> </w:t>
      </w:r>
      <w:r>
        <w:rPr>
          <w:rFonts w:hint="eastAsia"/>
          <w:lang w:eastAsia="zh-CN"/>
        </w:rPr>
        <w:t xml:space="preserve">for </w:t>
      </w:r>
      <w:r w:rsidRPr="00CD3B8D">
        <w:rPr>
          <w:lang w:eastAsia="zh-CN"/>
        </w:rPr>
        <w:t>RRM measurement prediction</w:t>
      </w:r>
      <w:bookmarkEnd w:id="2"/>
      <w:r>
        <w:rPr>
          <w:rFonts w:hint="eastAsia"/>
          <w:lang w:eastAsia="zh-CN"/>
        </w:rPr>
        <w:t xml:space="preserve"> were </w:t>
      </w:r>
      <w:r>
        <w:rPr>
          <w:lang w:eastAsia="zh-CN"/>
        </w:rPr>
        <w:t>achieved [</w:t>
      </w:r>
      <w:r>
        <w:rPr>
          <w:rFonts w:hint="eastAsia"/>
          <w:lang w:eastAsia="zh-CN"/>
        </w:rPr>
        <w:t xml:space="preserve">1][2][3] with </w:t>
      </w:r>
      <w:r>
        <w:rPr>
          <w:rFonts w:eastAsia="SimSun" w:hint="eastAsia"/>
          <w:lang w:val="en-US" w:eastAsia="zh-CN"/>
        </w:rPr>
        <w:t xml:space="preserve">the following agreed </w:t>
      </w:r>
      <w:r>
        <w:rPr>
          <w:rFonts w:hint="eastAsia"/>
          <w:lang w:eastAsia="zh-CN"/>
        </w:rPr>
        <w:t>e</w:t>
      </w:r>
      <w:r>
        <w:t>valuation scenario</w:t>
      </w:r>
      <w:r>
        <w:rPr>
          <w:rFonts w:hint="eastAsia"/>
          <w:lang w:eastAsia="zh-CN"/>
        </w:rPr>
        <w:t xml:space="preserve">s to start the </w:t>
      </w:r>
      <w:r w:rsidRPr="00F71967">
        <w:rPr>
          <w:lang w:eastAsia="zh-CN"/>
        </w:rPr>
        <w:t xml:space="preserve">relevant </w:t>
      </w:r>
      <w:r>
        <w:rPr>
          <w:szCs w:val="28"/>
        </w:rPr>
        <w:t>simulations</w:t>
      </w:r>
      <w:r>
        <w:rPr>
          <w:rFonts w:hint="eastAsia"/>
          <w:szCs w:val="28"/>
          <w:lang w:eastAsia="zh-CN"/>
        </w:rPr>
        <w:t>.</w:t>
      </w:r>
      <w:r>
        <w:rPr>
          <w:rFonts w:hint="eastAsia"/>
          <w:lang w:eastAsia="zh-CN"/>
        </w:rPr>
        <w:t xml:space="preserve"> </w:t>
      </w:r>
    </w:p>
    <w:tbl>
      <w:tblPr>
        <w:tblStyle w:val="TableGrid"/>
        <w:tblW w:w="8794" w:type="dxa"/>
        <w:jc w:val="center"/>
        <w:tblLook w:val="04A0" w:firstRow="1" w:lastRow="0" w:firstColumn="1" w:lastColumn="0" w:noHBand="0" w:noVBand="1"/>
      </w:tblPr>
      <w:tblGrid>
        <w:gridCol w:w="1135"/>
        <w:gridCol w:w="1325"/>
        <w:gridCol w:w="4021"/>
        <w:gridCol w:w="965"/>
        <w:gridCol w:w="1348"/>
      </w:tblGrid>
      <w:tr w:rsidR="00281D5A" w14:paraId="3BE8E985" w14:textId="77777777" w:rsidTr="00F65EBB">
        <w:trPr>
          <w:jc w:val="center"/>
        </w:trPr>
        <w:tc>
          <w:tcPr>
            <w:tcW w:w="1141" w:type="dxa"/>
          </w:tcPr>
          <w:p w14:paraId="050CEF84" w14:textId="77777777" w:rsidR="00281D5A" w:rsidRDefault="00281D5A" w:rsidP="00F65EBB">
            <w:r>
              <w:t>Case number</w:t>
            </w:r>
          </w:p>
        </w:tc>
        <w:tc>
          <w:tcPr>
            <w:tcW w:w="1313" w:type="dxa"/>
          </w:tcPr>
          <w:p w14:paraId="5C4D498F" w14:textId="77777777" w:rsidR="00281D5A" w:rsidRDefault="00281D5A" w:rsidP="00F65EBB">
            <w:r>
              <w:t xml:space="preserve">Prioritization </w:t>
            </w:r>
          </w:p>
        </w:tc>
        <w:tc>
          <w:tcPr>
            <w:tcW w:w="4076" w:type="dxa"/>
          </w:tcPr>
          <w:p w14:paraId="1C0BCC0B" w14:textId="77777777" w:rsidR="00281D5A" w:rsidRDefault="00281D5A" w:rsidP="00F65EBB">
            <w:r>
              <w:t>Evaluation scenario combination</w:t>
            </w:r>
          </w:p>
        </w:tc>
        <w:tc>
          <w:tcPr>
            <w:tcW w:w="970" w:type="dxa"/>
          </w:tcPr>
          <w:p w14:paraId="0B9F745A" w14:textId="77777777" w:rsidR="00281D5A" w:rsidRDefault="00281D5A" w:rsidP="00F65EBB">
            <w:r>
              <w:t>target study goal</w:t>
            </w:r>
          </w:p>
        </w:tc>
        <w:tc>
          <w:tcPr>
            <w:tcW w:w="1294" w:type="dxa"/>
          </w:tcPr>
          <w:p w14:paraId="7F3F5691" w14:textId="77777777" w:rsidR="00281D5A" w:rsidRDefault="00281D5A" w:rsidP="00F65EBB">
            <w:r>
              <w:t>Methodology</w:t>
            </w:r>
          </w:p>
        </w:tc>
      </w:tr>
      <w:tr w:rsidR="00281D5A" w14:paraId="70766CC5" w14:textId="77777777" w:rsidTr="00F65EBB">
        <w:trPr>
          <w:jc w:val="center"/>
        </w:trPr>
        <w:tc>
          <w:tcPr>
            <w:tcW w:w="1141" w:type="dxa"/>
          </w:tcPr>
          <w:p w14:paraId="71535C12" w14:textId="77777777" w:rsidR="00281D5A" w:rsidRDefault="00281D5A" w:rsidP="00F65EBB">
            <w:r>
              <w:t>1</w:t>
            </w:r>
          </w:p>
        </w:tc>
        <w:tc>
          <w:tcPr>
            <w:tcW w:w="1313" w:type="dxa"/>
          </w:tcPr>
          <w:p w14:paraId="260006B1" w14:textId="77777777" w:rsidR="00281D5A" w:rsidRDefault="00281D5A" w:rsidP="00F65EBB">
            <w:r>
              <w:t>Low</w:t>
            </w:r>
          </w:p>
        </w:tc>
        <w:tc>
          <w:tcPr>
            <w:tcW w:w="4076" w:type="dxa"/>
          </w:tcPr>
          <w:p w14:paraId="6A0D7A5B" w14:textId="77777777" w:rsidR="00281D5A" w:rsidRDefault="00281D5A" w:rsidP="00F65EBB">
            <w:r w:rsidRPr="009C7F79">
              <w:t>FR1 to FR1 intra-frequency temporal domain case A</w:t>
            </w:r>
          </w:p>
        </w:tc>
        <w:tc>
          <w:tcPr>
            <w:tcW w:w="970" w:type="dxa"/>
          </w:tcPr>
          <w:p w14:paraId="221BEEE5" w14:textId="77777777" w:rsidR="00281D5A" w:rsidRDefault="00281D5A" w:rsidP="00F65EBB">
            <w:r>
              <w:t>2</w:t>
            </w:r>
            <w:r w:rsidRPr="009C7F79">
              <w:rPr>
                <w:vertAlign w:val="superscript"/>
              </w:rPr>
              <w:t>nd</w:t>
            </w:r>
            <w:r>
              <w:t xml:space="preserve">   goal</w:t>
            </w:r>
          </w:p>
        </w:tc>
        <w:tc>
          <w:tcPr>
            <w:tcW w:w="1294" w:type="dxa"/>
          </w:tcPr>
          <w:p w14:paraId="24A88802" w14:textId="77777777" w:rsidR="00281D5A" w:rsidRDefault="00281D5A" w:rsidP="00F65EBB">
            <w:r>
              <w:t>TBD</w:t>
            </w:r>
          </w:p>
        </w:tc>
      </w:tr>
      <w:tr w:rsidR="00281D5A" w14:paraId="49A4161D" w14:textId="77777777" w:rsidTr="00F65EBB">
        <w:trPr>
          <w:jc w:val="center"/>
        </w:trPr>
        <w:tc>
          <w:tcPr>
            <w:tcW w:w="1141" w:type="dxa"/>
          </w:tcPr>
          <w:p w14:paraId="0A37BCAD" w14:textId="77777777" w:rsidR="00281D5A" w:rsidRPr="0045471D" w:rsidRDefault="00281D5A" w:rsidP="00F65EBB">
            <w:r w:rsidRPr="0045471D">
              <w:t>2</w:t>
            </w:r>
          </w:p>
        </w:tc>
        <w:tc>
          <w:tcPr>
            <w:tcW w:w="1313" w:type="dxa"/>
          </w:tcPr>
          <w:p w14:paraId="174DFD1C" w14:textId="77777777" w:rsidR="00281D5A" w:rsidRPr="0045471D" w:rsidRDefault="00281D5A" w:rsidP="00F65EBB">
            <w:r w:rsidRPr="0045471D">
              <w:t>High</w:t>
            </w:r>
          </w:p>
        </w:tc>
        <w:tc>
          <w:tcPr>
            <w:tcW w:w="4076" w:type="dxa"/>
          </w:tcPr>
          <w:p w14:paraId="25F3E0DB" w14:textId="77777777" w:rsidR="00281D5A" w:rsidRPr="0045471D" w:rsidRDefault="00281D5A" w:rsidP="00F65EBB">
            <w:r w:rsidRPr="0045471D">
              <w:t>FR1 to FR1 intra-frequency temporal domain case B</w:t>
            </w:r>
          </w:p>
        </w:tc>
        <w:tc>
          <w:tcPr>
            <w:tcW w:w="970" w:type="dxa"/>
          </w:tcPr>
          <w:p w14:paraId="1806088E" w14:textId="77777777" w:rsidR="00281D5A" w:rsidRPr="0045471D" w:rsidRDefault="00281D5A" w:rsidP="00F65EBB">
            <w:r w:rsidRPr="0045471D">
              <w:t>1</w:t>
            </w:r>
            <w:r w:rsidRPr="0045471D">
              <w:rPr>
                <w:vertAlign w:val="superscript"/>
              </w:rPr>
              <w:t>st</w:t>
            </w:r>
            <w:r w:rsidRPr="0045471D">
              <w:t xml:space="preserve">  goal</w:t>
            </w:r>
          </w:p>
        </w:tc>
        <w:tc>
          <w:tcPr>
            <w:tcW w:w="1294" w:type="dxa"/>
          </w:tcPr>
          <w:p w14:paraId="3A82DEA4" w14:textId="77777777" w:rsidR="00281D5A" w:rsidRPr="0045471D" w:rsidRDefault="00281D5A" w:rsidP="00F65EBB">
            <w:pPr>
              <w:rPr>
                <w:vertAlign w:val="superscript"/>
              </w:rPr>
            </w:pPr>
            <w:r w:rsidRPr="0045471D">
              <w:t>Intra-cell</w:t>
            </w:r>
          </w:p>
        </w:tc>
      </w:tr>
      <w:tr w:rsidR="00281D5A" w14:paraId="5624C320" w14:textId="77777777" w:rsidTr="00F65EBB">
        <w:trPr>
          <w:jc w:val="center"/>
        </w:trPr>
        <w:tc>
          <w:tcPr>
            <w:tcW w:w="1141" w:type="dxa"/>
          </w:tcPr>
          <w:p w14:paraId="36F13CE3" w14:textId="77777777" w:rsidR="00281D5A" w:rsidRPr="0045471D" w:rsidRDefault="00281D5A" w:rsidP="00F65EBB">
            <w:r w:rsidRPr="0045471D">
              <w:t>3</w:t>
            </w:r>
          </w:p>
        </w:tc>
        <w:tc>
          <w:tcPr>
            <w:tcW w:w="1313" w:type="dxa"/>
          </w:tcPr>
          <w:p w14:paraId="5FB9AEF3" w14:textId="77777777" w:rsidR="00281D5A" w:rsidRPr="0045471D" w:rsidRDefault="00281D5A" w:rsidP="00F65EBB">
            <w:r w:rsidRPr="0045471D">
              <w:t>High</w:t>
            </w:r>
          </w:p>
        </w:tc>
        <w:tc>
          <w:tcPr>
            <w:tcW w:w="4076" w:type="dxa"/>
          </w:tcPr>
          <w:p w14:paraId="71797BFD" w14:textId="77777777" w:rsidR="00281D5A" w:rsidRPr="0045471D" w:rsidRDefault="00281D5A" w:rsidP="00F65EBB">
            <w:r w:rsidRPr="0045471D">
              <w:t>FR1 to FR1 inter-frequency (frequency domain)</w:t>
            </w:r>
          </w:p>
        </w:tc>
        <w:tc>
          <w:tcPr>
            <w:tcW w:w="970" w:type="dxa"/>
          </w:tcPr>
          <w:p w14:paraId="5C967F56" w14:textId="77777777" w:rsidR="00281D5A" w:rsidRPr="0045471D" w:rsidRDefault="00281D5A" w:rsidP="00F65EBB">
            <w:r w:rsidRPr="0045471D">
              <w:t>1</w:t>
            </w:r>
            <w:r w:rsidRPr="0045471D">
              <w:rPr>
                <w:vertAlign w:val="superscript"/>
              </w:rPr>
              <w:t>st</w:t>
            </w:r>
            <w:r w:rsidRPr="0045471D">
              <w:t xml:space="preserve"> goal</w:t>
            </w:r>
          </w:p>
        </w:tc>
        <w:tc>
          <w:tcPr>
            <w:tcW w:w="1294" w:type="dxa"/>
          </w:tcPr>
          <w:p w14:paraId="149FEBC6" w14:textId="77777777" w:rsidR="00281D5A" w:rsidRPr="0045471D" w:rsidRDefault="00281D5A" w:rsidP="00F65EBB">
            <w:r w:rsidRPr="0045471D">
              <w:t xml:space="preserve">Inter-cell </w:t>
            </w:r>
          </w:p>
        </w:tc>
      </w:tr>
      <w:tr w:rsidR="00281D5A" w:rsidRPr="001A20C4" w14:paraId="06416A23" w14:textId="77777777" w:rsidTr="00F65EBB">
        <w:trPr>
          <w:jc w:val="center"/>
        </w:trPr>
        <w:tc>
          <w:tcPr>
            <w:tcW w:w="1141" w:type="dxa"/>
          </w:tcPr>
          <w:p w14:paraId="5B5E854E" w14:textId="77777777" w:rsidR="00281D5A" w:rsidRPr="0045471D" w:rsidRDefault="00281D5A" w:rsidP="00F65EBB">
            <w:r w:rsidRPr="0045471D">
              <w:t>4</w:t>
            </w:r>
          </w:p>
        </w:tc>
        <w:tc>
          <w:tcPr>
            <w:tcW w:w="1313" w:type="dxa"/>
          </w:tcPr>
          <w:p w14:paraId="542CE3A4" w14:textId="77777777" w:rsidR="00281D5A" w:rsidRPr="0045471D" w:rsidRDefault="00281D5A" w:rsidP="00F65EBB">
            <w:r w:rsidRPr="0045471D">
              <w:t>High</w:t>
            </w:r>
          </w:p>
        </w:tc>
        <w:tc>
          <w:tcPr>
            <w:tcW w:w="4076" w:type="dxa"/>
          </w:tcPr>
          <w:p w14:paraId="5925F068" w14:textId="77777777" w:rsidR="00281D5A" w:rsidRPr="0045471D" w:rsidRDefault="00281D5A" w:rsidP="00F65EBB">
            <w:bookmarkStart w:id="3" w:name="_Hlk173503946"/>
            <w:r w:rsidRPr="0045471D">
              <w:t>FR2 to FR2 intra-frequency temporal domain case A</w:t>
            </w:r>
            <w:bookmarkEnd w:id="3"/>
          </w:p>
        </w:tc>
        <w:tc>
          <w:tcPr>
            <w:tcW w:w="970" w:type="dxa"/>
          </w:tcPr>
          <w:p w14:paraId="1F8499DA" w14:textId="77777777" w:rsidR="00281D5A" w:rsidRPr="0045471D" w:rsidRDefault="00281D5A" w:rsidP="00F65EBB">
            <w:r w:rsidRPr="0045471D">
              <w:t>2</w:t>
            </w:r>
            <w:r w:rsidRPr="0045471D">
              <w:rPr>
                <w:vertAlign w:val="superscript"/>
              </w:rPr>
              <w:t>nd</w:t>
            </w:r>
            <w:r w:rsidRPr="0045471D">
              <w:t xml:space="preserve"> goal</w:t>
            </w:r>
          </w:p>
        </w:tc>
        <w:tc>
          <w:tcPr>
            <w:tcW w:w="1294" w:type="dxa"/>
          </w:tcPr>
          <w:p w14:paraId="3D0F1264" w14:textId="77777777" w:rsidR="00281D5A" w:rsidRPr="0045471D" w:rsidRDefault="00281D5A" w:rsidP="00F65EBB">
            <w:r w:rsidRPr="0045471D">
              <w:t>Intra-cell</w:t>
            </w:r>
          </w:p>
        </w:tc>
      </w:tr>
      <w:tr w:rsidR="00281D5A" w14:paraId="127730FE" w14:textId="77777777" w:rsidTr="00F65EBB">
        <w:trPr>
          <w:jc w:val="center"/>
        </w:trPr>
        <w:tc>
          <w:tcPr>
            <w:tcW w:w="1141" w:type="dxa"/>
          </w:tcPr>
          <w:p w14:paraId="16917218" w14:textId="77777777" w:rsidR="00281D5A" w:rsidRDefault="00281D5A" w:rsidP="00F65EBB">
            <w:r w:rsidRPr="009C7F79">
              <w:t>5</w:t>
            </w:r>
          </w:p>
        </w:tc>
        <w:tc>
          <w:tcPr>
            <w:tcW w:w="1313" w:type="dxa"/>
          </w:tcPr>
          <w:p w14:paraId="64D2D118" w14:textId="77777777" w:rsidR="00281D5A" w:rsidRDefault="00281D5A" w:rsidP="00F65EBB">
            <w:r>
              <w:t>Low</w:t>
            </w:r>
          </w:p>
        </w:tc>
        <w:tc>
          <w:tcPr>
            <w:tcW w:w="4076" w:type="dxa"/>
          </w:tcPr>
          <w:p w14:paraId="06AC5F69" w14:textId="77777777" w:rsidR="00281D5A" w:rsidRDefault="00281D5A" w:rsidP="00F65EBB">
            <w:r w:rsidRPr="009C7F79">
              <w:t>FR2 to FR2 intra-frequency temporal domain case B</w:t>
            </w:r>
          </w:p>
        </w:tc>
        <w:tc>
          <w:tcPr>
            <w:tcW w:w="970" w:type="dxa"/>
          </w:tcPr>
          <w:p w14:paraId="1DD502E2" w14:textId="77777777" w:rsidR="00281D5A" w:rsidRDefault="00281D5A" w:rsidP="00F65EBB">
            <w:r>
              <w:t>1</w:t>
            </w:r>
            <w:r w:rsidRPr="00EE1354">
              <w:rPr>
                <w:vertAlign w:val="superscript"/>
              </w:rPr>
              <w:t>st</w:t>
            </w:r>
            <w:r>
              <w:t xml:space="preserve"> goal</w:t>
            </w:r>
          </w:p>
        </w:tc>
        <w:tc>
          <w:tcPr>
            <w:tcW w:w="1294" w:type="dxa"/>
          </w:tcPr>
          <w:p w14:paraId="0FDC5360" w14:textId="77777777" w:rsidR="00281D5A" w:rsidRDefault="00281D5A" w:rsidP="00F65EBB">
            <w:r>
              <w:t>TBD</w:t>
            </w:r>
          </w:p>
        </w:tc>
      </w:tr>
      <w:tr w:rsidR="00281D5A" w14:paraId="06C895D3" w14:textId="77777777" w:rsidTr="00F65EBB">
        <w:trPr>
          <w:jc w:val="center"/>
        </w:trPr>
        <w:tc>
          <w:tcPr>
            <w:tcW w:w="1141" w:type="dxa"/>
          </w:tcPr>
          <w:p w14:paraId="019F2CB6" w14:textId="77777777" w:rsidR="00281D5A" w:rsidRDefault="00281D5A" w:rsidP="00F65EBB">
            <w:r>
              <w:t>6</w:t>
            </w:r>
          </w:p>
        </w:tc>
        <w:tc>
          <w:tcPr>
            <w:tcW w:w="1313" w:type="dxa"/>
          </w:tcPr>
          <w:p w14:paraId="5282EA94" w14:textId="77777777" w:rsidR="00281D5A" w:rsidRDefault="00281D5A" w:rsidP="00F65EBB">
            <w:r>
              <w:t>Middle</w:t>
            </w:r>
          </w:p>
        </w:tc>
        <w:tc>
          <w:tcPr>
            <w:tcW w:w="4076" w:type="dxa"/>
          </w:tcPr>
          <w:p w14:paraId="036E0CE8" w14:textId="77777777" w:rsidR="00281D5A" w:rsidRDefault="00281D5A" w:rsidP="00F65EBB">
            <w:r>
              <w:t>FR2 to FR2 intra-frequency spatial domain</w:t>
            </w:r>
          </w:p>
        </w:tc>
        <w:tc>
          <w:tcPr>
            <w:tcW w:w="970" w:type="dxa"/>
          </w:tcPr>
          <w:p w14:paraId="2FF1D6C1" w14:textId="77777777" w:rsidR="00281D5A" w:rsidRDefault="00281D5A" w:rsidP="00F65EBB">
            <w:r>
              <w:t>1</w:t>
            </w:r>
            <w:r w:rsidRPr="00EE1354">
              <w:rPr>
                <w:vertAlign w:val="superscript"/>
              </w:rPr>
              <w:t>st</w:t>
            </w:r>
            <w:r>
              <w:t xml:space="preserve">  goal</w:t>
            </w:r>
          </w:p>
        </w:tc>
        <w:tc>
          <w:tcPr>
            <w:tcW w:w="1294" w:type="dxa"/>
          </w:tcPr>
          <w:p w14:paraId="6BC885F9" w14:textId="77777777" w:rsidR="00281D5A" w:rsidRDefault="00281D5A" w:rsidP="00F65EBB">
            <w:r>
              <w:t>Intra-cell</w:t>
            </w:r>
          </w:p>
        </w:tc>
      </w:tr>
    </w:tbl>
    <w:p w14:paraId="240F5A23" w14:textId="7C01AF5A" w:rsidR="00596219" w:rsidRDefault="00281D5A" w:rsidP="00281D5A">
      <w:pPr>
        <w:spacing w:before="180"/>
        <w:rPr>
          <w:lang w:eastAsia="zh-CN"/>
        </w:rPr>
      </w:pPr>
      <w:r w:rsidRPr="00027A37">
        <w:rPr>
          <w:lang w:eastAsia="zh-CN"/>
        </w:rPr>
        <w:t>I</w:t>
      </w:r>
      <w:r w:rsidRPr="00027A37">
        <w:rPr>
          <w:rFonts w:hint="eastAsia"/>
          <w:lang w:eastAsia="zh-CN"/>
        </w:rPr>
        <w:t>n last RAN2#127bis [4]</w:t>
      </w:r>
      <w:r w:rsidR="00B6460F">
        <w:rPr>
          <w:lang w:eastAsia="zh-CN"/>
        </w:rPr>
        <w:t xml:space="preserve">, </w:t>
      </w:r>
      <w:r>
        <w:rPr>
          <w:rFonts w:hint="eastAsia"/>
          <w:lang w:eastAsia="zh-CN"/>
        </w:rPr>
        <w:t>RAN2#128 [5]</w:t>
      </w:r>
      <w:r w:rsidR="00B6460F">
        <w:rPr>
          <w:lang w:eastAsia="zh-CN"/>
        </w:rPr>
        <w:t xml:space="preserve"> and </w:t>
      </w:r>
      <w:r w:rsidR="00B6460F">
        <w:rPr>
          <w:rFonts w:hint="eastAsia"/>
          <w:lang w:eastAsia="zh-CN"/>
        </w:rPr>
        <w:t>RAN2#12</w:t>
      </w:r>
      <w:r w:rsidR="00B6460F">
        <w:rPr>
          <w:lang w:eastAsia="zh-CN"/>
        </w:rPr>
        <w:t>9</w:t>
      </w:r>
      <w:r w:rsidR="00B6460F">
        <w:rPr>
          <w:rFonts w:hint="eastAsia"/>
          <w:lang w:eastAsia="zh-CN"/>
        </w:rPr>
        <w:t xml:space="preserve"> [</w:t>
      </w:r>
      <w:r w:rsidR="00B6460F">
        <w:rPr>
          <w:lang w:eastAsia="zh-CN"/>
        </w:rPr>
        <w:t>6</w:t>
      </w:r>
      <w:r w:rsidR="00B6460F">
        <w:rPr>
          <w:rFonts w:hint="eastAsia"/>
          <w:lang w:eastAsia="zh-CN"/>
        </w:rPr>
        <w:t>]</w:t>
      </w:r>
      <w:r w:rsidR="00596219">
        <w:rPr>
          <w:lang w:eastAsia="zh-CN"/>
        </w:rPr>
        <w:t>,</w:t>
      </w:r>
      <w:r w:rsidR="00B6460F">
        <w:rPr>
          <w:lang w:eastAsia="zh-CN"/>
        </w:rPr>
        <w:t xml:space="preserve"> </w:t>
      </w:r>
      <w:r w:rsidRPr="00027A37">
        <w:rPr>
          <w:rFonts w:hint="eastAsia"/>
          <w:lang w:eastAsia="zh-CN"/>
        </w:rPr>
        <w:t>the following agreements</w:t>
      </w:r>
      <w:r>
        <w:rPr>
          <w:rFonts w:hint="eastAsia"/>
          <w:lang w:eastAsia="zh-CN"/>
        </w:rPr>
        <w:t>/observations</w:t>
      </w:r>
      <w:r w:rsidRPr="00027A37">
        <w:rPr>
          <w:rFonts w:hint="eastAsia"/>
          <w:lang w:eastAsia="zh-CN"/>
        </w:rPr>
        <w:t xml:space="preserve"> on </w:t>
      </w:r>
      <w:r w:rsidRPr="00981061">
        <w:t>intra-frequency temporal domain</w:t>
      </w:r>
      <w:r w:rsidRPr="00027A37">
        <w:rPr>
          <w:lang w:eastAsia="zh-CN"/>
        </w:rPr>
        <w:t xml:space="preserve"> prediction (Case 2/4)</w:t>
      </w:r>
      <w:r>
        <w:rPr>
          <w:rFonts w:hint="eastAsia"/>
          <w:lang w:eastAsia="zh-CN"/>
        </w:rPr>
        <w:t xml:space="preserve"> and </w:t>
      </w:r>
      <w:r w:rsidRPr="00981061">
        <w:t>int</w:t>
      </w:r>
      <w:r>
        <w:rPr>
          <w:rFonts w:hint="eastAsia"/>
          <w:lang w:eastAsia="zh-CN"/>
        </w:rPr>
        <w:t>er</w:t>
      </w:r>
      <w:r w:rsidRPr="00981061">
        <w:t>-frequency</w:t>
      </w:r>
      <w:r>
        <w:rPr>
          <w:rFonts w:hint="eastAsia"/>
          <w:lang w:eastAsia="zh-CN"/>
        </w:rPr>
        <w:t xml:space="preserve"> </w:t>
      </w:r>
      <w:r w:rsidRPr="00027A37">
        <w:rPr>
          <w:lang w:eastAsia="zh-CN"/>
        </w:rPr>
        <w:t xml:space="preserve">prediction (Case </w:t>
      </w:r>
      <w:r>
        <w:rPr>
          <w:rFonts w:hint="eastAsia"/>
          <w:lang w:eastAsia="zh-CN"/>
        </w:rPr>
        <w:t>3</w:t>
      </w:r>
      <w:r w:rsidRPr="00027A37">
        <w:rPr>
          <w:lang w:eastAsia="zh-CN"/>
        </w:rPr>
        <w:t>)</w:t>
      </w:r>
      <w:r>
        <w:rPr>
          <w:rFonts w:hint="eastAsia"/>
          <w:lang w:eastAsia="zh-CN"/>
        </w:rPr>
        <w:t xml:space="preserve"> were achieved as below. </w:t>
      </w:r>
    </w:p>
    <w:p w14:paraId="0DE14622" w14:textId="77777777" w:rsidR="00596219" w:rsidRDefault="00596219" w:rsidP="00281D5A">
      <w:pPr>
        <w:spacing w:before="180"/>
        <w:rPr>
          <w:lang w:eastAsia="zh-CN"/>
        </w:rPr>
      </w:pPr>
    </w:p>
    <w:p w14:paraId="2359C4B7" w14:textId="77777777" w:rsidR="00281D5A" w:rsidRPr="00FD1366" w:rsidRDefault="00281D5A" w:rsidP="00281D5A">
      <w:pPr>
        <w:rPr>
          <w:u w:val="single"/>
          <w:lang w:eastAsia="zh-CN"/>
        </w:rPr>
      </w:pPr>
      <w:r w:rsidRPr="00FD1366">
        <w:rPr>
          <w:rFonts w:hint="eastAsia"/>
          <w:u w:val="single"/>
          <w:lang w:eastAsia="zh-CN"/>
        </w:rPr>
        <w:t>RAN2#127bis</w:t>
      </w:r>
      <w:r>
        <w:rPr>
          <w:rFonts w:hint="eastAsia"/>
          <w:u w:val="single"/>
          <w:lang w:eastAsia="zh-CN"/>
        </w:rPr>
        <w:t>:</w:t>
      </w:r>
    </w:p>
    <w:p w14:paraId="45DC55C1" w14:textId="77777777" w:rsidR="00281D5A" w:rsidRPr="00E76774" w:rsidRDefault="00281D5A" w:rsidP="00281D5A">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E76774">
        <w:rPr>
          <w:rFonts w:asciiTheme="minorHAnsi" w:hAnsiTheme="minorHAnsi" w:cstheme="minorHAnsi"/>
          <w:b/>
          <w:bCs/>
          <w:sz w:val="22"/>
          <w:szCs w:val="22"/>
        </w:rPr>
        <w:t>Agreements on intra-frequency</w:t>
      </w:r>
    </w:p>
    <w:p w14:paraId="30D2AC93" w14:textId="77777777" w:rsidR="00281D5A" w:rsidRPr="00E76774" w:rsidRDefault="00281D5A" w:rsidP="00281D5A">
      <w:pPr>
        <w:pStyle w:val="Doc-text2"/>
        <w:numPr>
          <w:ilvl w:val="0"/>
          <w:numId w:val="2"/>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For intra-frequency temporal domain, higher UE speeds result in larger prediction errors</w:t>
      </w:r>
    </w:p>
    <w:p w14:paraId="1D33469E" w14:textId="77777777" w:rsidR="00281D5A" w:rsidRPr="00E76774" w:rsidRDefault="00281D5A" w:rsidP="00281D5A">
      <w:pPr>
        <w:pStyle w:val="ListParagraph"/>
        <w:widowControl/>
        <w:numPr>
          <w:ilvl w:val="0"/>
          <w:numId w:val="2"/>
        </w:numPr>
        <w:pBdr>
          <w:top w:val="single" w:sz="4" w:space="1" w:color="auto"/>
          <w:left w:val="single" w:sz="4" w:space="4" w:color="auto"/>
          <w:bottom w:val="single" w:sz="4" w:space="1" w:color="auto"/>
          <w:right w:val="single" w:sz="4" w:space="4" w:color="auto"/>
        </w:pBdr>
        <w:contextualSpacing w:val="0"/>
        <w:jc w:val="left"/>
        <w:rPr>
          <w:rFonts w:eastAsia="MS Mincho" w:cstheme="minorHAnsi"/>
          <w:sz w:val="22"/>
        </w:rPr>
      </w:pPr>
      <w:r w:rsidRPr="00E76774">
        <w:rPr>
          <w:rFonts w:eastAsia="MS Mincho" w:cstheme="minorHAnsi"/>
          <w:sz w:val="22"/>
        </w:rPr>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5328CC40" w14:textId="77777777" w:rsidR="00281D5A" w:rsidRPr="00E76774" w:rsidRDefault="00281D5A" w:rsidP="00281D5A">
      <w:pPr>
        <w:pStyle w:val="Doc-text2"/>
        <w:numPr>
          <w:ilvl w:val="0"/>
          <w:numId w:val="2"/>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Majority of companies observe that among sub cases 1, 2, and 3, at least with shorter prediction window sub case 2 demonstrates the highest prediction accuracy</w:t>
      </w:r>
    </w:p>
    <w:p w14:paraId="5F309D92" w14:textId="77777777" w:rsidR="00281D5A" w:rsidRPr="00E76774" w:rsidRDefault="00281D5A" w:rsidP="00281D5A">
      <w:pPr>
        <w:pStyle w:val="Doc-text2"/>
        <w:numPr>
          <w:ilvl w:val="0"/>
          <w:numId w:val="2"/>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w:t>
      </w:r>
      <w:r w:rsidRPr="00E76774">
        <w:rPr>
          <w:rFonts w:asciiTheme="minorHAnsi" w:hAnsiTheme="minorHAnsi" w:cstheme="minorHAnsi"/>
          <w:sz w:val="22"/>
          <w:szCs w:val="22"/>
        </w:rPr>
        <w:lastRenderedPageBreak/>
        <w:t xml:space="preserve">two columns in the spreadsheet to capture the last value and the average value.   </w:t>
      </w:r>
    </w:p>
    <w:p w14:paraId="6719E093" w14:textId="77777777" w:rsidR="00281D5A" w:rsidRPr="00E76774" w:rsidRDefault="00281D5A" w:rsidP="00281D5A">
      <w:pPr>
        <w:pStyle w:val="Doc-text2"/>
        <w:pBdr>
          <w:top w:val="single" w:sz="4" w:space="1" w:color="auto"/>
          <w:left w:val="single" w:sz="4" w:space="4" w:color="auto"/>
          <w:bottom w:val="single" w:sz="4" w:space="1" w:color="auto"/>
          <w:right w:val="single" w:sz="4" w:space="4" w:color="auto"/>
        </w:pBdr>
        <w:ind w:left="1259" w:firstLine="0"/>
        <w:rPr>
          <w:rFonts w:asciiTheme="minorHAnsi" w:hAnsiTheme="minorHAnsi" w:cstheme="minorHAnsi"/>
          <w:b/>
          <w:bCs/>
          <w:sz w:val="22"/>
          <w:szCs w:val="22"/>
        </w:rPr>
      </w:pPr>
      <w:r w:rsidRPr="00E76774">
        <w:rPr>
          <w:rFonts w:asciiTheme="minorHAnsi" w:hAnsiTheme="minorHAnsi" w:cstheme="minorHAnsi"/>
          <w:b/>
          <w:bCs/>
          <w:sz w:val="22"/>
          <w:szCs w:val="22"/>
        </w:rPr>
        <w:t>Agreements on inter-frequency</w:t>
      </w:r>
    </w:p>
    <w:p w14:paraId="66C94EE0" w14:textId="77777777" w:rsidR="00281D5A" w:rsidRPr="00E76774" w:rsidRDefault="00281D5A" w:rsidP="00281D5A">
      <w:pPr>
        <w:pStyle w:val="Doc-text2"/>
        <w:numPr>
          <w:ilvl w:val="0"/>
          <w:numId w:val="2"/>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Companies need to report whether earlier predicted results are also used as inputs for future RRM prediction.</w:t>
      </w:r>
    </w:p>
    <w:p w14:paraId="53E3E1A8" w14:textId="77777777" w:rsidR="00281D5A" w:rsidRPr="00E76774" w:rsidRDefault="00281D5A" w:rsidP="00281D5A">
      <w:pPr>
        <w:pStyle w:val="Doc-text2"/>
        <w:numPr>
          <w:ilvl w:val="0"/>
          <w:numId w:val="2"/>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Companies should report with their simulation the correlation coefficient</w:t>
      </w:r>
    </w:p>
    <w:p w14:paraId="6854D4A7" w14:textId="77777777" w:rsidR="00281D5A" w:rsidRPr="00E76774" w:rsidRDefault="00281D5A" w:rsidP="00281D5A">
      <w:pPr>
        <w:pStyle w:val="Doc-text2"/>
        <w:numPr>
          <w:ilvl w:val="0"/>
          <w:numId w:val="2"/>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Higher-to-lower and lower-to-higher frequency prediction is comparable</w:t>
      </w:r>
    </w:p>
    <w:p w14:paraId="196EF6B8" w14:textId="77777777" w:rsidR="00281D5A" w:rsidRPr="00E76774" w:rsidRDefault="00281D5A" w:rsidP="00281D5A">
      <w:pPr>
        <w:pStyle w:val="ListParagraph"/>
        <w:widowControl/>
        <w:numPr>
          <w:ilvl w:val="0"/>
          <w:numId w:val="2"/>
        </w:numPr>
        <w:pBdr>
          <w:top w:val="single" w:sz="4" w:space="1" w:color="auto"/>
          <w:left w:val="single" w:sz="4" w:space="4" w:color="auto"/>
          <w:bottom w:val="single" w:sz="4" w:space="1" w:color="auto"/>
          <w:right w:val="single" w:sz="4" w:space="4" w:color="auto"/>
        </w:pBdr>
        <w:contextualSpacing w:val="0"/>
        <w:jc w:val="left"/>
        <w:rPr>
          <w:rFonts w:eastAsia="MS Mincho" w:cstheme="minorHAnsi"/>
          <w:sz w:val="22"/>
        </w:rPr>
      </w:pPr>
      <w:r w:rsidRPr="00E76774">
        <w:rPr>
          <w:rFonts w:eastAsia="MS Mincho" w:cstheme="minorHAnsi"/>
          <w:sz w:val="22"/>
        </w:rPr>
        <w:t xml:space="preserve">For co-located scenario,  the UE speed in the inter-frequency case has minor impact on prediction accuracy </w:t>
      </w:r>
    </w:p>
    <w:p w14:paraId="50FBA179" w14:textId="77777777" w:rsidR="00281D5A" w:rsidRPr="00E76774" w:rsidRDefault="00281D5A" w:rsidP="00281D5A">
      <w:pPr>
        <w:spacing w:before="180"/>
        <w:rPr>
          <w:rFonts w:eastAsia="DengXian"/>
          <w:sz w:val="22"/>
          <w:u w:val="single"/>
          <w:lang w:val="en-US" w:eastAsia="zh-CN"/>
        </w:rPr>
      </w:pPr>
      <w:r w:rsidRPr="00E76774">
        <w:rPr>
          <w:rFonts w:hint="eastAsia"/>
          <w:sz w:val="22"/>
          <w:u w:val="single"/>
          <w:lang w:eastAsia="zh-CN"/>
        </w:rPr>
        <w:t>RAN2#128:</w:t>
      </w:r>
    </w:p>
    <w:p w14:paraId="606E7460" w14:textId="77777777" w:rsidR="00281D5A" w:rsidRPr="00E76774" w:rsidRDefault="00281D5A" w:rsidP="00281D5A">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E76774">
        <w:rPr>
          <w:rFonts w:asciiTheme="minorHAnsi" w:hAnsiTheme="minorHAnsi" w:cstheme="minorHAnsi"/>
          <w:b/>
          <w:bCs/>
          <w:sz w:val="22"/>
          <w:szCs w:val="22"/>
        </w:rPr>
        <w:t>Agreements/Observations to be captured in TR</w:t>
      </w:r>
    </w:p>
    <w:p w14:paraId="0873636A" w14:textId="77777777" w:rsidR="00281D5A" w:rsidRPr="00E76774" w:rsidRDefault="00281D5A" w:rsidP="00281D5A">
      <w:pPr>
        <w:pStyle w:val="Doc-text2"/>
        <w:numPr>
          <w:ilvl w:val="0"/>
          <w:numId w:val="3"/>
        </w:numPr>
        <w:pBdr>
          <w:top w:val="single" w:sz="4" w:space="1" w:color="auto"/>
          <w:left w:val="single" w:sz="4" w:space="4" w:color="auto"/>
          <w:bottom w:val="single" w:sz="4" w:space="1" w:color="auto"/>
          <w:right w:val="single" w:sz="4" w:space="4" w:color="auto"/>
        </w:pBdr>
        <w:rPr>
          <w:sz w:val="22"/>
          <w:szCs w:val="22"/>
        </w:rPr>
      </w:pPr>
      <w:r w:rsidRPr="00E76774">
        <w:rPr>
          <w:rFonts w:asciiTheme="minorHAnsi" w:hAnsiTheme="minorHAnsi" w:cstheme="minorHAnsi"/>
          <w:sz w:val="22"/>
          <w:szCs w:val="22"/>
        </w:rPr>
        <w:t xml:space="preserve">The prediction accuracy for intra-frequency temporal domain case B reduces as MRRT increases.  </w:t>
      </w:r>
    </w:p>
    <w:p w14:paraId="4DB9997F" w14:textId="77777777" w:rsidR="00281D5A" w:rsidRPr="00E76774" w:rsidRDefault="00281D5A" w:rsidP="00281D5A">
      <w:pPr>
        <w:pStyle w:val="Doc-text2"/>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64427B9F" w14:textId="77777777" w:rsidR="00281D5A" w:rsidRPr="00E76774" w:rsidRDefault="00281D5A" w:rsidP="00281D5A">
      <w:pPr>
        <w:pStyle w:val="Doc-text2"/>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For the inter-frequency prediction, the evaluation results show that the higher the correlation coefficient is between two frequency layers, the higher the prediction accuracy.   FFS on observations on low correlations.  </w:t>
      </w:r>
    </w:p>
    <w:p w14:paraId="658D5E79" w14:textId="77777777" w:rsidR="00281D5A" w:rsidRPr="00E76774" w:rsidRDefault="00281D5A" w:rsidP="00281D5A">
      <w:pPr>
        <w:pStyle w:val="Doc-text2"/>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7B6E2E61" w14:textId="77777777" w:rsidR="00281D5A" w:rsidRPr="00E76774" w:rsidRDefault="00281D5A" w:rsidP="00281D5A">
      <w:pPr>
        <w:pStyle w:val="Doc-text2"/>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In cluster approach the model takes measurements from more than one cell as inputs.   </w:t>
      </w:r>
    </w:p>
    <w:p w14:paraId="4CF64B0E" w14:textId="77777777" w:rsidR="00281D5A" w:rsidRPr="00E76774" w:rsidRDefault="00281D5A" w:rsidP="00281D5A">
      <w:pPr>
        <w:tabs>
          <w:tab w:val="left" w:pos="1622"/>
        </w:tabs>
        <w:rPr>
          <w:i/>
          <w:iCs/>
          <w:sz w:val="22"/>
        </w:rPr>
      </w:pPr>
    </w:p>
    <w:p w14:paraId="1FAA2FD4" w14:textId="77777777" w:rsidR="00281D5A" w:rsidRPr="00E76774" w:rsidRDefault="00281D5A" w:rsidP="00281D5A">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E76774">
        <w:rPr>
          <w:rFonts w:asciiTheme="minorHAnsi" w:hAnsiTheme="minorHAnsi" w:cstheme="minorHAnsi"/>
          <w:b/>
          <w:bCs/>
          <w:sz w:val="22"/>
          <w:szCs w:val="22"/>
        </w:rPr>
        <w:t xml:space="preserve">Agreements/observations  </w:t>
      </w:r>
    </w:p>
    <w:p w14:paraId="5EF9A664" w14:textId="77777777" w:rsidR="00281D5A" w:rsidRPr="00E76774" w:rsidRDefault="00281D5A" w:rsidP="00281D5A">
      <w:pPr>
        <w:pStyle w:val="Doc-text2"/>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Companies can compare results with non-AI approaches.   Temporal domain, sample and hold, and frequency domain, pathloss offset.   Companies can consider other simple models (e.g. ARIMA).    </w:t>
      </w:r>
    </w:p>
    <w:p w14:paraId="2A712405" w14:textId="77777777" w:rsidR="00281D5A" w:rsidRPr="00E76774" w:rsidRDefault="00281D5A" w:rsidP="00281D5A">
      <w:pPr>
        <w:pStyle w:val="Doc-text2"/>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 xml:space="preserve">For FR1 intra-frequency temporal domain case B, when PW is short, the performance between AI and sample-and-hold is not significant. However, when PW becomes larger, AI outperforms sample-and-hold. </w:t>
      </w:r>
    </w:p>
    <w:p w14:paraId="517F978D" w14:textId="77777777" w:rsidR="00281D5A" w:rsidRPr="00E76774" w:rsidRDefault="00281D5A" w:rsidP="00281D5A">
      <w:pPr>
        <w:pStyle w:val="Doc-text2"/>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In frequency domain prediction cases (2GHz and 4GHz), cell-based approaches achieve limited gain compared to pathloss offset without the help of neighbor cell measurement. The cluster-based shows better performance compared to pathloss offset.</w:t>
      </w:r>
    </w:p>
    <w:p w14:paraId="26E5DDDB" w14:textId="77777777" w:rsidR="00281D5A" w:rsidRPr="00E76774" w:rsidRDefault="00281D5A" w:rsidP="00281D5A">
      <w:pPr>
        <w:pStyle w:val="Doc-text2"/>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For intra-frequency temporal domain case A, AI can provide gains (in terms of L3 cell RSRP difference) compared to sample and hold. The gain improves with UE speed.</w:t>
      </w:r>
    </w:p>
    <w:p w14:paraId="2A84C821" w14:textId="77777777" w:rsidR="008A7DE9" w:rsidRPr="00E76774" w:rsidRDefault="008A7DE9" w:rsidP="008A7DE9">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4D69F2ED" w14:textId="77777777" w:rsidR="008A7DE9" w:rsidRDefault="008A7DE9" w:rsidP="00281D5A">
      <w:pPr>
        <w:spacing w:before="180"/>
        <w:rPr>
          <w:sz w:val="22"/>
          <w:u w:val="single"/>
          <w:lang w:eastAsia="zh-CN"/>
        </w:rPr>
      </w:pPr>
    </w:p>
    <w:p w14:paraId="377AD316" w14:textId="77777777" w:rsidR="008A7DE9" w:rsidRDefault="008A7DE9" w:rsidP="00281D5A">
      <w:pPr>
        <w:spacing w:before="180"/>
        <w:rPr>
          <w:sz w:val="22"/>
          <w:u w:val="single"/>
          <w:lang w:eastAsia="zh-CN"/>
        </w:rPr>
      </w:pPr>
    </w:p>
    <w:p w14:paraId="7BF90480" w14:textId="77777777" w:rsidR="008A7DE9" w:rsidRDefault="008A7DE9" w:rsidP="00281D5A">
      <w:pPr>
        <w:spacing w:before="180"/>
        <w:rPr>
          <w:sz w:val="22"/>
          <w:u w:val="single"/>
          <w:lang w:eastAsia="zh-CN"/>
        </w:rPr>
      </w:pPr>
    </w:p>
    <w:p w14:paraId="67A31F72" w14:textId="77777777" w:rsidR="008A7DE9" w:rsidRDefault="008A7DE9" w:rsidP="00281D5A">
      <w:pPr>
        <w:spacing w:before="180"/>
        <w:rPr>
          <w:sz w:val="22"/>
          <w:u w:val="single"/>
          <w:lang w:eastAsia="zh-CN"/>
        </w:rPr>
      </w:pPr>
    </w:p>
    <w:p w14:paraId="0E9F2F82" w14:textId="77671EEB" w:rsidR="008A7DE9" w:rsidRPr="00937F57" w:rsidRDefault="00281D5A" w:rsidP="00281D5A">
      <w:pPr>
        <w:spacing w:before="180"/>
        <w:rPr>
          <w:sz w:val="22"/>
          <w:u w:val="single"/>
          <w:lang w:eastAsia="zh-CN"/>
        </w:rPr>
      </w:pPr>
      <w:r w:rsidRPr="00E76774">
        <w:rPr>
          <w:rFonts w:hint="eastAsia"/>
          <w:sz w:val="22"/>
          <w:u w:val="single"/>
          <w:lang w:eastAsia="zh-CN"/>
        </w:rPr>
        <w:lastRenderedPageBreak/>
        <w:t>RAN2#12</w:t>
      </w:r>
      <w:r w:rsidR="001503FD" w:rsidRPr="00E76774">
        <w:rPr>
          <w:sz w:val="22"/>
          <w:u w:val="single"/>
          <w:lang w:eastAsia="zh-CN"/>
        </w:rPr>
        <w:t>9</w:t>
      </w:r>
      <w:r w:rsidRPr="00E76774">
        <w:rPr>
          <w:rFonts w:hint="eastAsia"/>
          <w:sz w:val="22"/>
          <w:u w:val="single"/>
          <w:lang w:eastAsia="zh-CN"/>
        </w:rPr>
        <w:t>:</w:t>
      </w:r>
    </w:p>
    <w:p w14:paraId="183BFEE7" w14:textId="67C5BD38" w:rsidR="00281D5A" w:rsidRPr="00E76774" w:rsidRDefault="00281D5A" w:rsidP="00281D5A">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E76774">
        <w:rPr>
          <w:rFonts w:asciiTheme="minorHAnsi" w:hAnsiTheme="minorHAnsi" w:cstheme="minorHAnsi"/>
          <w:b/>
          <w:bCs/>
          <w:sz w:val="22"/>
          <w:szCs w:val="22"/>
        </w:rPr>
        <w:t xml:space="preserve">Agreements/Observations </w:t>
      </w:r>
    </w:p>
    <w:p w14:paraId="2D927196" w14:textId="77777777" w:rsidR="00B15748" w:rsidRPr="00E76774" w:rsidRDefault="00B15748" w:rsidP="00B1574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1</w:t>
      </w:r>
      <w:r w:rsidRPr="00E76774">
        <w:rPr>
          <w:rFonts w:asciiTheme="minorHAnsi" w:hAnsiTheme="minorHAnsi" w:cstheme="minorHAnsi"/>
          <w:b/>
          <w:bCs/>
          <w:sz w:val="22"/>
          <w:szCs w:val="22"/>
        </w:rPr>
        <w:tab/>
      </w:r>
      <w:r w:rsidRPr="00E76774">
        <w:rPr>
          <w:rFonts w:asciiTheme="minorHAnsi" w:hAnsiTheme="minorHAnsi" w:cstheme="minorHAnsi"/>
          <w:sz w:val="22"/>
          <w:szCs w:val="22"/>
        </w:rPr>
        <w:t>For Case B temporal domain prediction, RAN2 to capture that AI can provide gain (i.e., lower L3 cell-level RSRP difference) compared to Non-AI (i.e., Sample and Hold) and the gain increases as MRRT increases.</w:t>
      </w:r>
    </w:p>
    <w:p w14:paraId="661C4289" w14:textId="77777777" w:rsidR="00B15748" w:rsidRPr="00E76774" w:rsidRDefault="00B15748" w:rsidP="00B1574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2</w:t>
      </w:r>
      <w:r w:rsidRPr="00E76774">
        <w:rPr>
          <w:rFonts w:asciiTheme="minorHAnsi" w:hAnsiTheme="minorHAnsi" w:cstheme="minorHAnsi"/>
          <w:sz w:val="22"/>
          <w:szCs w:val="22"/>
        </w:rPr>
        <w:tab/>
        <w:t>Regarding temporal domain prediction case B, the gain that AI can provide is more obvious in high speed scenario when compared to sample and hold.</w:t>
      </w:r>
    </w:p>
    <w:p w14:paraId="5FEF6AE5" w14:textId="653160B4" w:rsidR="00B15748" w:rsidRPr="00E76774" w:rsidRDefault="00B15748" w:rsidP="00B15748">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76774">
        <w:rPr>
          <w:rFonts w:asciiTheme="minorHAnsi" w:hAnsiTheme="minorHAnsi" w:cstheme="minorHAnsi"/>
          <w:sz w:val="22"/>
          <w:szCs w:val="22"/>
        </w:rPr>
        <w:t>3</w:t>
      </w:r>
      <w:r w:rsidRPr="00E76774">
        <w:rPr>
          <w:rFonts w:asciiTheme="minorHAnsi" w:hAnsiTheme="minorHAnsi" w:cstheme="minorHAnsi"/>
          <w:sz w:val="22"/>
          <w:szCs w:val="22"/>
        </w:rPr>
        <w:tab/>
        <w:t xml:space="preserve">Regarding the temporal domain prediction case A, the gain that AI can provide increases with the increase of prediction window length (up to a certain window length) when compared to sample and hold.  </w:t>
      </w:r>
    </w:p>
    <w:p w14:paraId="2740E6BC" w14:textId="5F9FE001" w:rsidR="003A68D7" w:rsidRPr="00E76774" w:rsidRDefault="003A68D7" w:rsidP="003A68D7">
      <w:pPr>
        <w:pStyle w:val="Doc-text2"/>
        <w:pBdr>
          <w:top w:val="single" w:sz="4" w:space="1" w:color="auto"/>
          <w:left w:val="single" w:sz="4" w:space="4" w:color="auto"/>
          <w:bottom w:val="single" w:sz="4" w:space="1" w:color="auto"/>
          <w:right w:val="single" w:sz="4" w:space="4" w:color="auto"/>
        </w:pBdr>
        <w:ind w:left="1259" w:firstLine="0"/>
        <w:rPr>
          <w:rFonts w:asciiTheme="minorHAnsi" w:hAnsiTheme="minorHAnsi" w:cstheme="minorHAnsi"/>
          <w:sz w:val="22"/>
          <w:szCs w:val="22"/>
        </w:rPr>
      </w:pPr>
      <w:r w:rsidRPr="00E76774">
        <w:rPr>
          <w:rFonts w:asciiTheme="minorHAnsi" w:hAnsiTheme="minorHAnsi" w:cstheme="minorHAnsi"/>
          <w:sz w:val="22"/>
          <w:szCs w:val="22"/>
        </w:rPr>
        <w:t xml:space="preserve">4     Average L3 cell RSRP difference and last predicted point L3 cell RSRP </w:t>
      </w:r>
      <w:r w:rsidR="00112C6B">
        <w:rPr>
          <w:rFonts w:asciiTheme="minorHAnsi" w:hAnsiTheme="minorHAnsi" w:cstheme="minorHAnsi"/>
          <w:sz w:val="22"/>
          <w:szCs w:val="22"/>
        </w:rPr>
        <w:t xml:space="preserve">    </w:t>
      </w:r>
      <w:r w:rsidRPr="00E76774">
        <w:rPr>
          <w:rFonts w:asciiTheme="minorHAnsi" w:hAnsiTheme="minorHAnsi" w:cstheme="minorHAnsi"/>
          <w:sz w:val="22"/>
          <w:szCs w:val="22"/>
        </w:rPr>
        <w:t>difference of measurement results within PW is captured in TR</w:t>
      </w:r>
    </w:p>
    <w:p w14:paraId="521A0BD5" w14:textId="60258E27" w:rsidR="00281D5A" w:rsidRPr="00201D86" w:rsidRDefault="00201D86" w:rsidP="00201D86">
      <w:pPr>
        <w:spacing w:before="180"/>
        <w:rPr>
          <w:rFonts w:eastAsia="DengXian"/>
          <w:lang w:val="en-US" w:eastAsia="zh-CN"/>
        </w:rPr>
      </w:pPr>
      <w:r w:rsidRPr="003F1277">
        <w:rPr>
          <w:rFonts w:eastAsia="DengXian"/>
          <w:lang w:val="en-US" w:eastAsia="zh-CN"/>
        </w:rPr>
        <w:t xml:space="preserve">In this contribution, </w:t>
      </w:r>
      <w:bookmarkStart w:id="4" w:name="OLE_LINK5"/>
      <w:bookmarkStart w:id="5" w:name="OLE_LINK8"/>
      <w:r w:rsidRPr="003F1277">
        <w:rPr>
          <w:rFonts w:eastAsia="DengXian"/>
          <w:lang w:val="en-US" w:eastAsia="zh-CN"/>
        </w:rPr>
        <w:t>we</w:t>
      </w:r>
      <w:r>
        <w:rPr>
          <w:rFonts w:eastAsia="DengXian"/>
          <w:lang w:val="en-US" w:eastAsia="zh-CN"/>
        </w:rPr>
        <w:t xml:space="preserve"> discuss the possible </w:t>
      </w:r>
      <w:r w:rsidRPr="000C4CD9">
        <w:rPr>
          <w:rFonts w:eastAsia="DengXian"/>
          <w:lang w:val="en-US" w:eastAsia="zh-CN"/>
        </w:rPr>
        <w:t>specification impact</w:t>
      </w:r>
      <w:r>
        <w:rPr>
          <w:rFonts w:eastAsia="DengXian" w:hint="eastAsia"/>
          <w:lang w:val="en-US" w:eastAsia="zh-CN"/>
        </w:rPr>
        <w:t xml:space="preserve"> for </w:t>
      </w:r>
      <w:r w:rsidRPr="00B37831">
        <w:rPr>
          <w:rFonts w:eastAsia="DengXian"/>
          <w:lang w:val="en-US" w:eastAsia="zh-CN"/>
        </w:rPr>
        <w:t>RRM measurement prediction</w:t>
      </w:r>
      <w:r w:rsidRPr="00B37831">
        <w:rPr>
          <w:rFonts w:eastAsia="DengXian" w:hint="eastAsia"/>
          <w:lang w:val="en-US" w:eastAsia="zh-CN"/>
        </w:rPr>
        <w:t>.</w:t>
      </w:r>
      <w:bookmarkEnd w:id="4"/>
      <w:bookmarkEnd w:id="5"/>
    </w:p>
    <w:p w14:paraId="52CD8A4E" w14:textId="4BFBDAE2" w:rsidR="00FE5963" w:rsidRPr="00997BB8" w:rsidRDefault="007237A3" w:rsidP="00997BB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lang w:eastAsia="en-US"/>
        </w:rPr>
        <w:t xml:space="preserve">2. </w:t>
      </w:r>
      <w:r w:rsidRPr="00215562">
        <w:rPr>
          <w:rFonts w:ascii="Arial" w:eastAsia="Yu Gothic Medium" w:hAnsi="Arial" w:cs="Arial"/>
          <w:kern w:val="0"/>
          <w:sz w:val="32"/>
          <w:szCs w:val="20"/>
        </w:rPr>
        <w:t>Discussion</w:t>
      </w:r>
    </w:p>
    <w:p w14:paraId="51359B14" w14:textId="3A596611" w:rsidR="00FE5963" w:rsidRDefault="00FE5963" w:rsidP="00997BB8">
      <w:pPr>
        <w:rPr>
          <w:lang w:val="en-US" w:eastAsia="zh-CN"/>
        </w:rPr>
      </w:pPr>
      <w:r w:rsidRPr="00FE5963">
        <w:rPr>
          <w:lang w:val="en-US" w:eastAsia="zh-CN"/>
        </w:rPr>
        <w:t>[7] highlights studying and evaluating the potential benefits and gains of AI/ML aided mobility for</w:t>
      </w:r>
      <w:r>
        <w:rPr>
          <w:lang w:val="en-US" w:eastAsia="zh-CN"/>
        </w:rPr>
        <w:t xml:space="preserve"> network triggered L3-based handover, considering AI/ML based RRM measurement and measurement event prediction. This </w:t>
      </w:r>
      <w:r w:rsidR="00997BB8">
        <w:rPr>
          <w:lang w:val="en-US" w:eastAsia="zh-CN"/>
        </w:rPr>
        <w:t>includes both intra and inter-frequency cell-level prediction. Both UE sided and network sided models were agreed to be explored in this study item.</w:t>
      </w:r>
      <w:r w:rsidR="00A923B2">
        <w:rPr>
          <w:lang w:val="en-US" w:eastAsia="zh-CN"/>
        </w:rPr>
        <w:t xml:space="preserve"> </w:t>
      </w:r>
      <w:r w:rsidR="00997BB8" w:rsidRPr="00997BB8">
        <w:rPr>
          <w:lang w:val="en-US" w:eastAsia="zh-CN"/>
        </w:rPr>
        <w:t xml:space="preserve">The </w:t>
      </w:r>
      <w:r w:rsidR="00A923B2">
        <w:rPr>
          <w:lang w:val="en-US" w:eastAsia="zh-CN"/>
        </w:rPr>
        <w:t xml:space="preserve">first </w:t>
      </w:r>
      <w:r w:rsidR="00997BB8" w:rsidRPr="00997BB8">
        <w:rPr>
          <w:lang w:val="en-US" w:eastAsia="zh-CN"/>
        </w:rPr>
        <w:t xml:space="preserve">study goal </w:t>
      </w:r>
      <w:r w:rsidR="00A923B2">
        <w:rPr>
          <w:lang w:val="en-US" w:eastAsia="zh-CN"/>
        </w:rPr>
        <w:t xml:space="preserve">decided </w:t>
      </w:r>
      <w:r w:rsidR="00997BB8" w:rsidRPr="00997BB8">
        <w:rPr>
          <w:lang w:val="en-US" w:eastAsia="zh-CN"/>
        </w:rPr>
        <w:t>is to reduce measurement efforts in temporal, spatial or frequency domain by using predicted measurements.</w:t>
      </w:r>
      <w:r w:rsidR="00A923B2">
        <w:rPr>
          <w:lang w:val="en-US" w:eastAsia="zh-CN"/>
        </w:rPr>
        <w:t xml:space="preserve"> </w:t>
      </w:r>
      <w:r w:rsidR="00997BB8" w:rsidRPr="00997BB8">
        <w:rPr>
          <w:lang w:val="en-US" w:eastAsia="zh-CN"/>
        </w:rPr>
        <w:t xml:space="preserve">The </w:t>
      </w:r>
      <w:r w:rsidR="00A923B2">
        <w:rPr>
          <w:lang w:val="en-US" w:eastAsia="zh-CN"/>
        </w:rPr>
        <w:t>second</w:t>
      </w:r>
      <w:r w:rsidR="00997BB8" w:rsidRPr="00997BB8">
        <w:rPr>
          <w:lang w:val="en-US" w:eastAsia="zh-CN"/>
        </w:rPr>
        <w:t xml:space="preserve"> study goal is to improve the handover performance (e.g., Ping-pong HO, HOF/RLF, short time of stay, Handover interruption).</w:t>
      </w:r>
    </w:p>
    <w:p w14:paraId="2848BCA1" w14:textId="77777777" w:rsidR="00997BB8" w:rsidRDefault="00997BB8" w:rsidP="000B5034">
      <w:pPr>
        <w:rPr>
          <w:lang w:val="en-US" w:eastAsia="zh-CN"/>
        </w:rPr>
      </w:pPr>
    </w:p>
    <w:p w14:paraId="3B9378C9" w14:textId="792229CC" w:rsidR="00FE5963" w:rsidRDefault="00997BB8" w:rsidP="000B5034">
      <w:pPr>
        <w:rPr>
          <w:lang w:val="en-US" w:eastAsia="zh-CN"/>
        </w:rPr>
      </w:pPr>
      <w:r>
        <w:rPr>
          <w:lang w:val="en-US" w:eastAsia="zh-CN"/>
        </w:rPr>
        <w:t>As can be observed from the agreements done so far in the RAN2 meetings, it can be concluded that cell level intra-frequency scenarios for temporal domain Case A and Case B have been evaluated for RRM measurement prediction use case.</w:t>
      </w:r>
      <w:r w:rsidR="009273C0">
        <w:rPr>
          <w:lang w:val="en-US" w:eastAsia="zh-CN"/>
        </w:rPr>
        <w:t xml:space="preserve"> </w:t>
      </w:r>
      <w:r w:rsidR="00EA495E">
        <w:rPr>
          <w:lang w:val="en-US" w:eastAsia="zh-CN"/>
        </w:rPr>
        <w:t>The AI/ML model for RRM measurement prediction is found to outperform non-AI based solutions under certain conditions ( for example , UE speed, MRRT and the prediction window length etc). This indicates the possibility of using AI/ML based model for RRM prediction for achieving handover gain and reducing measurement overhead. In this context, we would explore the possible scenarios for implementing the AI/ML model RRM measurement prediction and the interaction between UE and gNB to successfully leverage the advantages of the deployed model.</w:t>
      </w:r>
    </w:p>
    <w:p w14:paraId="34C3843A" w14:textId="77777777" w:rsidR="00B30732" w:rsidRDefault="00B30732" w:rsidP="000B5034">
      <w:pPr>
        <w:rPr>
          <w:lang w:val="en-US" w:eastAsia="zh-CN"/>
        </w:rPr>
      </w:pPr>
    </w:p>
    <w:p w14:paraId="0518B8EE" w14:textId="0A2C929C" w:rsidR="00322BB2" w:rsidRDefault="00B30732" w:rsidP="000B5034">
      <w:pPr>
        <w:rPr>
          <w:lang w:val="en-US" w:eastAsia="zh-CN"/>
        </w:rPr>
      </w:pPr>
      <w:r>
        <w:rPr>
          <w:lang w:val="en-US" w:eastAsia="zh-CN"/>
        </w:rPr>
        <w:t xml:space="preserve">In case of a UE sided model, </w:t>
      </w:r>
      <w:r w:rsidR="00F4423D">
        <w:rPr>
          <w:lang w:val="en-US" w:eastAsia="zh-CN"/>
        </w:rPr>
        <w:t>the results of the AI/ML model needs</w:t>
      </w:r>
      <w:r w:rsidR="00872599">
        <w:rPr>
          <w:lang w:val="en-US" w:eastAsia="zh-CN"/>
        </w:rPr>
        <w:t xml:space="preserve"> </w:t>
      </w:r>
      <w:r w:rsidR="00F4423D">
        <w:rPr>
          <w:lang w:val="en-US" w:eastAsia="zh-CN"/>
        </w:rPr>
        <w:t>to be reported to network for handover decision. However, in case of a network sided model, UE reports the measurement results to the network and the AI/ML model at network decides the handover.</w:t>
      </w:r>
      <w:r w:rsidR="00472D3A">
        <w:rPr>
          <w:lang w:val="en-US" w:eastAsia="zh-CN"/>
        </w:rPr>
        <w:t xml:space="preserve"> The input to the AI/ML model can be the current RSRP, RSRQ, SINR, CQI and the output of the AI/M</w:t>
      </w:r>
      <w:r w:rsidR="00872599">
        <w:rPr>
          <w:lang w:val="en-US" w:eastAsia="zh-CN"/>
        </w:rPr>
        <w:t xml:space="preserve">L </w:t>
      </w:r>
      <w:r w:rsidR="00472D3A">
        <w:rPr>
          <w:lang w:val="en-US" w:eastAsia="zh-CN"/>
        </w:rPr>
        <w:t xml:space="preserve">model </w:t>
      </w:r>
      <w:r w:rsidR="004F5161">
        <w:rPr>
          <w:lang w:val="en-US" w:eastAsia="zh-CN"/>
        </w:rPr>
        <w:t>is c</w:t>
      </w:r>
      <w:r w:rsidR="004F5161" w:rsidRPr="004F5161">
        <w:rPr>
          <w:lang w:val="en-US" w:eastAsia="zh-CN"/>
        </w:rPr>
        <w:t>ell level RRM measurement prediction results based on cell level results or beam level results</w:t>
      </w:r>
      <w:r w:rsidR="004F5161">
        <w:rPr>
          <w:lang w:val="en-US" w:eastAsia="zh-CN"/>
        </w:rPr>
        <w:t>.</w:t>
      </w:r>
    </w:p>
    <w:p w14:paraId="5D0B2540" w14:textId="77777777" w:rsidR="004F5161" w:rsidRDefault="004F5161" w:rsidP="000B5034">
      <w:pPr>
        <w:rPr>
          <w:lang w:val="en-US" w:eastAsia="zh-CN"/>
        </w:rPr>
      </w:pPr>
    </w:p>
    <w:p w14:paraId="34606C60" w14:textId="6C340C48" w:rsidR="00322BB2" w:rsidRDefault="00322BB2" w:rsidP="000B5034">
      <w:pPr>
        <w:rPr>
          <w:lang w:val="en-US" w:eastAsia="zh-CN"/>
        </w:rPr>
      </w:pPr>
      <w:r>
        <w:rPr>
          <w:lang w:val="en-US" w:eastAsia="zh-CN"/>
        </w:rPr>
        <w:t>If we specifically consider an UE sided model, where the AI/M</w:t>
      </w:r>
      <w:r w:rsidR="00A22054">
        <w:rPr>
          <w:lang w:val="en-US" w:eastAsia="zh-CN"/>
        </w:rPr>
        <w:t xml:space="preserve">L </w:t>
      </w:r>
      <w:r>
        <w:rPr>
          <w:lang w:val="en-US" w:eastAsia="zh-CN"/>
        </w:rPr>
        <w:t>for RRM measurement prediction is run at the UE, the results of the prediction is sent to the network for handover decision. However, the model characteristics, and the input for the AI/ML model has to be configured by the network.</w:t>
      </w:r>
      <w:r w:rsidR="00C172AC">
        <w:rPr>
          <w:lang w:val="en-US" w:eastAsia="zh-CN"/>
        </w:rPr>
        <w:t xml:space="preserve"> If UE uses a static AI/ML model for performing RRM measurement prediction, then the model may not adapt well to the dynamic channel </w:t>
      </w:r>
      <w:r w:rsidR="007F56F3">
        <w:rPr>
          <w:lang w:val="en-US" w:eastAsia="zh-CN"/>
        </w:rPr>
        <w:t>and network conditions</w:t>
      </w:r>
      <w:r w:rsidR="00BB6EB9">
        <w:rPr>
          <w:lang w:val="en-US" w:eastAsia="zh-CN"/>
        </w:rPr>
        <w:t xml:space="preserve"> (for example, speed, SINR fluctuations)</w:t>
      </w:r>
      <w:r w:rsidR="007F56F3">
        <w:rPr>
          <w:lang w:val="en-US" w:eastAsia="zh-CN"/>
        </w:rPr>
        <w:t>.</w:t>
      </w:r>
      <w:r w:rsidR="00BB6EB9">
        <w:rPr>
          <w:lang w:val="en-US" w:eastAsia="zh-CN"/>
        </w:rPr>
        <w:t xml:space="preserve"> Thus, we propose an adaptive AI/ML model selection for UE side RRM prediction. This can be enabled through UE reporting the model accuracy </w:t>
      </w:r>
      <w:r w:rsidR="00BA5845">
        <w:rPr>
          <w:lang w:val="en-US" w:eastAsia="zh-CN"/>
        </w:rPr>
        <w:t xml:space="preserve">and confidence scores </w:t>
      </w:r>
      <w:r w:rsidR="00BB6EB9">
        <w:rPr>
          <w:lang w:val="en-US" w:eastAsia="zh-CN"/>
        </w:rPr>
        <w:t>to the network along with the prediction results.</w:t>
      </w:r>
      <w:r w:rsidR="00BA5845">
        <w:rPr>
          <w:lang w:val="en-US" w:eastAsia="zh-CN"/>
        </w:rPr>
        <w:t xml:space="preserve"> For example, the </w:t>
      </w:r>
      <w:r w:rsidR="00BA5845" w:rsidRPr="00E76774">
        <w:rPr>
          <w:rFonts w:cstheme="minorHAnsi"/>
          <w:sz w:val="22"/>
        </w:rPr>
        <w:t>average L3 cell RSRP difference and last predicted point L3 cell RSRP difference of measurement results within PW</w:t>
      </w:r>
      <w:r w:rsidR="00BA5845">
        <w:rPr>
          <w:rFonts w:cstheme="minorHAnsi"/>
          <w:sz w:val="22"/>
        </w:rPr>
        <w:t xml:space="preserve"> (agreed in RAN2#129) can be reported to the network to</w:t>
      </w:r>
      <w:r w:rsidR="00BA5845">
        <w:rPr>
          <w:lang w:val="en-US" w:eastAsia="zh-CN"/>
        </w:rPr>
        <w:t xml:space="preserve"> </w:t>
      </w:r>
      <w:r w:rsidR="00BB6EB9">
        <w:rPr>
          <w:lang w:val="en-US" w:eastAsia="zh-CN"/>
        </w:rPr>
        <w:t>take a decision for model change adapting to the network conditions. The model change instruction can be sent through a RRC message to the UE with the updated characteristics of the AI/ML model.</w:t>
      </w:r>
      <w:r w:rsidR="00EA1397">
        <w:rPr>
          <w:lang w:val="en-US" w:eastAsia="zh-CN"/>
        </w:rPr>
        <w:t xml:space="preserve"> This will help improve the handover decision by the network.</w:t>
      </w:r>
    </w:p>
    <w:p w14:paraId="088BCEE9" w14:textId="6C68B947" w:rsidR="000B5034" w:rsidRDefault="00A36E06" w:rsidP="005A0522">
      <w:pPr>
        <w:rPr>
          <w:rFonts w:eastAsia="DengXian"/>
          <w:b/>
          <w:bCs/>
          <w:lang w:val="en-US" w:eastAsia="zh-CN"/>
        </w:rPr>
      </w:pPr>
      <w:r w:rsidRPr="00ED4088">
        <w:rPr>
          <w:b/>
          <w:bCs/>
          <w:lang w:val="en-US" w:eastAsia="zh-CN"/>
        </w:rPr>
        <w:lastRenderedPageBreak/>
        <w:t>Proposal1:</w:t>
      </w:r>
      <w:r>
        <w:rPr>
          <w:lang w:val="en-US" w:eastAsia="zh-CN"/>
        </w:rPr>
        <w:t xml:space="preserve"> </w:t>
      </w:r>
      <w:r w:rsidR="00C809D9" w:rsidRPr="00C809D9">
        <w:rPr>
          <w:b/>
          <w:bCs/>
          <w:lang w:val="en-US" w:eastAsia="zh-CN"/>
        </w:rPr>
        <w:t xml:space="preserve">In case of UE sided model for </w:t>
      </w:r>
      <w:r w:rsidRPr="00D55CB6">
        <w:rPr>
          <w:rFonts w:eastAsia="DengXian"/>
          <w:b/>
          <w:bCs/>
          <w:lang w:val="en-US" w:eastAsia="zh-CN"/>
        </w:rPr>
        <w:t>Intra-frequency temporal domain</w:t>
      </w:r>
      <w:r w:rsidR="002F0E64">
        <w:rPr>
          <w:rFonts w:eastAsia="DengXian"/>
          <w:b/>
          <w:bCs/>
          <w:lang w:val="en-US" w:eastAsia="zh-CN"/>
        </w:rPr>
        <w:t xml:space="preserve"> Cas</w:t>
      </w:r>
      <w:r w:rsidR="00CE7C77">
        <w:rPr>
          <w:rFonts w:eastAsia="DengXian"/>
          <w:b/>
          <w:bCs/>
          <w:lang w:val="en-US" w:eastAsia="zh-CN"/>
        </w:rPr>
        <w:t>e</w:t>
      </w:r>
      <w:r w:rsidR="002F0E64">
        <w:rPr>
          <w:rFonts w:eastAsia="DengXian"/>
          <w:b/>
          <w:bCs/>
          <w:lang w:val="en-US" w:eastAsia="zh-CN"/>
        </w:rPr>
        <w:t xml:space="preserve"> A and Case B and inter-frequency prediction</w:t>
      </w:r>
      <w:r w:rsidR="00C809D9">
        <w:rPr>
          <w:rFonts w:eastAsia="DengXian"/>
          <w:b/>
          <w:bCs/>
          <w:lang w:val="en-US" w:eastAsia="zh-CN"/>
        </w:rPr>
        <w:t xml:space="preserve">. </w:t>
      </w:r>
      <w:r w:rsidR="00F35865">
        <w:rPr>
          <w:rFonts w:eastAsia="DengXian"/>
          <w:b/>
          <w:bCs/>
          <w:lang w:val="en-US" w:eastAsia="zh-CN"/>
        </w:rPr>
        <w:t>T</w:t>
      </w:r>
      <w:r>
        <w:rPr>
          <w:rFonts w:eastAsia="DengXian"/>
          <w:b/>
          <w:bCs/>
          <w:lang w:val="en-US" w:eastAsia="zh-CN"/>
        </w:rPr>
        <w:t>he accuracy of prediction is shared to the network through the measurement report and the network executes a model switch command to change the AI/ML model for the prediction if the accuracy is below a defined threshold.</w:t>
      </w:r>
    </w:p>
    <w:p w14:paraId="46A90F73" w14:textId="77777777" w:rsidR="000E6D6A" w:rsidRDefault="000E6D6A" w:rsidP="005A0522">
      <w:pPr>
        <w:rPr>
          <w:rFonts w:eastAsia="DengXian"/>
          <w:b/>
          <w:bCs/>
          <w:lang w:val="en-US" w:eastAsia="zh-CN"/>
        </w:rPr>
      </w:pPr>
    </w:p>
    <w:p w14:paraId="5851257B" w14:textId="15E5AB34" w:rsidR="00EA1397" w:rsidRDefault="00B21651" w:rsidP="005A0522">
      <w:pPr>
        <w:rPr>
          <w:rFonts w:eastAsia="DengXian"/>
          <w:lang w:val="en-US" w:eastAsia="zh-CN"/>
        </w:rPr>
      </w:pPr>
      <w:r w:rsidRPr="00B21651">
        <w:rPr>
          <w:rFonts w:eastAsia="DengXian"/>
          <w:lang w:val="en-US" w:eastAsia="zh-CN"/>
        </w:rPr>
        <w:t>When we consider</w:t>
      </w:r>
      <w:r>
        <w:rPr>
          <w:rFonts w:eastAsia="DengXian"/>
          <w:lang w:val="en-US" w:eastAsia="zh-CN"/>
        </w:rPr>
        <w:t xml:space="preserve"> the objective of reducing the measurement overhead,</w:t>
      </w:r>
      <w:r w:rsidR="005201F4">
        <w:rPr>
          <w:rFonts w:eastAsia="DengXian"/>
          <w:lang w:val="en-US" w:eastAsia="zh-CN"/>
        </w:rPr>
        <w:t xml:space="preserve"> a corresponding signaling framework needs to be defined. We propose having an event triggered measurement reporting framework for reducing the overhead. We define an event based RRM reporting where measurement reports are triggered only when the predicted values deviate</w:t>
      </w:r>
      <w:r w:rsidR="00C04575">
        <w:rPr>
          <w:rFonts w:eastAsia="DengXian"/>
          <w:lang w:val="en-US" w:eastAsia="zh-CN"/>
        </w:rPr>
        <w:t xml:space="preserve"> </w:t>
      </w:r>
      <w:r w:rsidR="005201F4">
        <w:rPr>
          <w:rFonts w:eastAsia="DengXian"/>
          <w:lang w:val="en-US" w:eastAsia="zh-CN"/>
        </w:rPr>
        <w:t>significantly from the past trends or fall below a confidence threshold.</w:t>
      </w:r>
      <w:r w:rsidR="00C04575">
        <w:rPr>
          <w:rFonts w:eastAsia="DengXian"/>
          <w:lang w:val="en-US" w:eastAsia="zh-CN"/>
        </w:rPr>
        <w:t xml:space="preserve"> </w:t>
      </w:r>
    </w:p>
    <w:p w14:paraId="47406619" w14:textId="77777777" w:rsidR="005201F4" w:rsidRDefault="005201F4" w:rsidP="005A0522">
      <w:pPr>
        <w:rPr>
          <w:rFonts w:eastAsia="DengXian"/>
          <w:lang w:val="en-US" w:eastAsia="zh-CN"/>
        </w:rPr>
      </w:pPr>
    </w:p>
    <w:p w14:paraId="01A8E7A6" w14:textId="0898BDA6" w:rsidR="00EA1397" w:rsidRDefault="005201F4" w:rsidP="005A0522">
      <w:pPr>
        <w:rPr>
          <w:rFonts w:eastAsia="DengXian"/>
          <w:b/>
          <w:bCs/>
          <w:lang w:val="en-US" w:eastAsia="zh-CN"/>
        </w:rPr>
      </w:pPr>
      <w:r w:rsidRPr="00C04575">
        <w:rPr>
          <w:rFonts w:eastAsia="DengXian"/>
          <w:b/>
          <w:bCs/>
          <w:lang w:val="en-US" w:eastAsia="zh-CN"/>
        </w:rPr>
        <w:t>Proposal2:</w:t>
      </w:r>
      <w:r>
        <w:rPr>
          <w:rFonts w:eastAsia="DengXian"/>
          <w:lang w:val="en-US" w:eastAsia="zh-CN"/>
        </w:rPr>
        <w:t xml:space="preserve"> </w:t>
      </w:r>
      <w:r w:rsidR="00C04575" w:rsidRPr="00D55CB6">
        <w:rPr>
          <w:rFonts w:eastAsia="DengXian"/>
          <w:b/>
          <w:bCs/>
          <w:lang w:val="en-US" w:eastAsia="zh-CN"/>
        </w:rPr>
        <w:t>Intra-frequency temporal domain</w:t>
      </w:r>
      <w:r w:rsidR="00C04575">
        <w:rPr>
          <w:rFonts w:eastAsia="DengXian"/>
          <w:b/>
          <w:bCs/>
          <w:lang w:val="en-US" w:eastAsia="zh-CN"/>
        </w:rPr>
        <w:t xml:space="preserve"> Cas</w:t>
      </w:r>
      <w:r w:rsidR="00CE7C77">
        <w:rPr>
          <w:rFonts w:eastAsia="DengXian"/>
          <w:b/>
          <w:bCs/>
          <w:lang w:val="en-US" w:eastAsia="zh-CN"/>
        </w:rPr>
        <w:t>e</w:t>
      </w:r>
      <w:r w:rsidR="00C04575">
        <w:rPr>
          <w:rFonts w:eastAsia="DengXian"/>
          <w:b/>
          <w:bCs/>
          <w:lang w:val="en-US" w:eastAsia="zh-CN"/>
        </w:rPr>
        <w:t xml:space="preserve"> A and Case B and inter-frequency prediction model</w:t>
      </w:r>
      <w:r w:rsidR="00C04575">
        <w:rPr>
          <w:rFonts w:eastAsia="DengXian" w:hint="eastAsia"/>
          <w:b/>
          <w:bCs/>
          <w:lang w:val="en-US" w:eastAsia="zh-CN"/>
        </w:rPr>
        <w:t xml:space="preserve"> </w:t>
      </w:r>
      <w:r w:rsidR="00C04575" w:rsidRPr="00D55CB6">
        <w:rPr>
          <w:rFonts w:eastAsia="DengXian"/>
          <w:b/>
          <w:bCs/>
          <w:lang w:val="en-US" w:eastAsia="zh-CN"/>
        </w:rPr>
        <w:t>for RRM measurement prediction</w:t>
      </w:r>
      <w:r w:rsidR="00C04575">
        <w:rPr>
          <w:rFonts w:eastAsia="DengXian"/>
          <w:b/>
          <w:bCs/>
          <w:lang w:val="en-US" w:eastAsia="zh-CN"/>
        </w:rPr>
        <w:t>, a</w:t>
      </w:r>
      <w:r w:rsidR="00BA46E9">
        <w:rPr>
          <w:rFonts w:eastAsia="DengXian"/>
          <w:b/>
          <w:bCs/>
          <w:lang w:val="en-US" w:eastAsia="zh-CN"/>
        </w:rPr>
        <w:t xml:space="preserve">n event triggered measurement reporting framework for reducing measurement overhead </w:t>
      </w:r>
      <w:r w:rsidR="00B85914">
        <w:rPr>
          <w:rFonts w:eastAsia="DengXian"/>
          <w:b/>
          <w:bCs/>
          <w:lang w:val="en-US" w:eastAsia="zh-CN"/>
        </w:rPr>
        <w:t>should</w:t>
      </w:r>
      <w:r w:rsidR="00BA46E9">
        <w:rPr>
          <w:rFonts w:eastAsia="DengXian"/>
          <w:b/>
          <w:bCs/>
          <w:lang w:val="en-US" w:eastAsia="zh-CN"/>
        </w:rPr>
        <w:t xml:space="preserve"> not compromise</w:t>
      </w:r>
      <w:r w:rsidR="005A3654">
        <w:rPr>
          <w:rFonts w:eastAsia="DengXian"/>
          <w:b/>
          <w:bCs/>
          <w:lang w:val="en-US" w:eastAsia="zh-CN"/>
        </w:rPr>
        <w:t xml:space="preserve"> </w:t>
      </w:r>
      <w:r w:rsidR="00BA46E9">
        <w:rPr>
          <w:rFonts w:eastAsia="DengXian"/>
          <w:b/>
          <w:bCs/>
          <w:lang w:val="en-US" w:eastAsia="zh-CN"/>
        </w:rPr>
        <w:t>the handover performance.</w:t>
      </w:r>
    </w:p>
    <w:p w14:paraId="61BAD3A2" w14:textId="77777777" w:rsidR="00EA1397" w:rsidRDefault="00EA1397" w:rsidP="005A0522">
      <w:pPr>
        <w:rPr>
          <w:rFonts w:eastAsia="DengXian"/>
          <w:b/>
          <w:bCs/>
          <w:lang w:val="en-US" w:eastAsia="zh-CN"/>
        </w:rPr>
      </w:pPr>
    </w:p>
    <w:p w14:paraId="14613A5E" w14:textId="77777777" w:rsidR="00EA1397" w:rsidRDefault="00EA1397" w:rsidP="005A0522">
      <w:pPr>
        <w:rPr>
          <w:rFonts w:eastAsia="DengXian"/>
          <w:b/>
          <w:bCs/>
          <w:lang w:val="en-US" w:eastAsia="zh-CN"/>
        </w:rPr>
      </w:pPr>
    </w:p>
    <w:p w14:paraId="6407982B" w14:textId="22E64A86" w:rsidR="000E6D6A" w:rsidRDefault="000E6D6A" w:rsidP="000E6D6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lang w:eastAsia="en-US"/>
        </w:rPr>
        <w:t xml:space="preserve">2. </w:t>
      </w:r>
      <w:r>
        <w:rPr>
          <w:rFonts w:ascii="Arial" w:eastAsia="Yu Gothic Medium" w:hAnsi="Arial" w:cs="Arial"/>
          <w:kern w:val="0"/>
          <w:sz w:val="32"/>
          <w:szCs w:val="20"/>
        </w:rPr>
        <w:t>Conclusion</w:t>
      </w:r>
    </w:p>
    <w:p w14:paraId="3F119E9B" w14:textId="77777777" w:rsidR="00CE7C77" w:rsidRDefault="00CE7C77" w:rsidP="00CE7C77">
      <w:pPr>
        <w:rPr>
          <w:rFonts w:eastAsia="DengXian"/>
          <w:b/>
          <w:bCs/>
          <w:lang w:val="en-US" w:eastAsia="zh-CN"/>
        </w:rPr>
      </w:pPr>
      <w:r w:rsidRPr="00ED4088">
        <w:rPr>
          <w:b/>
          <w:bCs/>
          <w:lang w:val="en-US" w:eastAsia="zh-CN"/>
        </w:rPr>
        <w:t>Proposal1:</w:t>
      </w:r>
      <w:r>
        <w:rPr>
          <w:lang w:val="en-US" w:eastAsia="zh-CN"/>
        </w:rPr>
        <w:t xml:space="preserve"> </w:t>
      </w:r>
      <w:r w:rsidRPr="00C809D9">
        <w:rPr>
          <w:b/>
          <w:bCs/>
          <w:lang w:val="en-US" w:eastAsia="zh-CN"/>
        </w:rPr>
        <w:t xml:space="preserve">In case of UE sided model for </w:t>
      </w:r>
      <w:r w:rsidRPr="00D55CB6">
        <w:rPr>
          <w:rFonts w:eastAsia="DengXian"/>
          <w:b/>
          <w:bCs/>
          <w:lang w:val="en-US" w:eastAsia="zh-CN"/>
        </w:rPr>
        <w:t>Intra-frequency temporal domain</w:t>
      </w:r>
      <w:r>
        <w:rPr>
          <w:rFonts w:eastAsia="DengXian"/>
          <w:b/>
          <w:bCs/>
          <w:lang w:val="en-US" w:eastAsia="zh-CN"/>
        </w:rPr>
        <w:t xml:space="preserve"> Case A and Case B and inter-frequency prediction. The accuracy of prediction is shared to the network through the measurement report and the network executes a model switch command to change the AI/ML model for the prediction if the accuracy is below a defined threshold.</w:t>
      </w:r>
    </w:p>
    <w:p w14:paraId="464959D3" w14:textId="77777777" w:rsidR="00BF6C5F" w:rsidRDefault="00BF6C5F" w:rsidP="00597E41">
      <w:pPr>
        <w:rPr>
          <w:rFonts w:eastAsia="DengXian"/>
          <w:b/>
          <w:bCs/>
          <w:lang w:val="en-US" w:eastAsia="zh-CN"/>
        </w:rPr>
      </w:pPr>
    </w:p>
    <w:p w14:paraId="38F1D0AD" w14:textId="77777777" w:rsidR="00CE7C77" w:rsidRDefault="00CE7C77" w:rsidP="00CE7C77">
      <w:pPr>
        <w:rPr>
          <w:rFonts w:eastAsia="DengXian"/>
          <w:b/>
          <w:bCs/>
          <w:lang w:val="en-US" w:eastAsia="zh-CN"/>
        </w:rPr>
      </w:pPr>
      <w:r w:rsidRPr="00C04575">
        <w:rPr>
          <w:rFonts w:eastAsia="DengXian"/>
          <w:b/>
          <w:bCs/>
          <w:lang w:val="en-US" w:eastAsia="zh-CN"/>
        </w:rPr>
        <w:t>Proposal2:</w:t>
      </w:r>
      <w:r>
        <w:rPr>
          <w:rFonts w:eastAsia="DengXian"/>
          <w:lang w:val="en-US" w:eastAsia="zh-CN"/>
        </w:rPr>
        <w:t xml:space="preserve"> </w:t>
      </w:r>
      <w:r w:rsidRPr="00D55CB6">
        <w:rPr>
          <w:rFonts w:eastAsia="DengXian"/>
          <w:b/>
          <w:bCs/>
          <w:lang w:val="en-US" w:eastAsia="zh-CN"/>
        </w:rPr>
        <w:t>Intra-frequency temporal domain</w:t>
      </w:r>
      <w:r>
        <w:rPr>
          <w:rFonts w:eastAsia="DengXian"/>
          <w:b/>
          <w:bCs/>
          <w:lang w:val="en-US" w:eastAsia="zh-CN"/>
        </w:rPr>
        <w:t xml:space="preserve"> Case A and Case B and inter-frequency prediction model</w:t>
      </w:r>
      <w:r>
        <w:rPr>
          <w:rFonts w:eastAsia="DengXian" w:hint="eastAsia"/>
          <w:b/>
          <w:bCs/>
          <w:lang w:val="en-US" w:eastAsia="zh-CN"/>
        </w:rPr>
        <w:t xml:space="preserve"> </w:t>
      </w:r>
      <w:r w:rsidRPr="00D55CB6">
        <w:rPr>
          <w:rFonts w:eastAsia="DengXian"/>
          <w:b/>
          <w:bCs/>
          <w:lang w:val="en-US" w:eastAsia="zh-CN"/>
        </w:rPr>
        <w:t>for RRM measurement prediction</w:t>
      </w:r>
      <w:r>
        <w:rPr>
          <w:rFonts w:eastAsia="DengXian"/>
          <w:b/>
          <w:bCs/>
          <w:lang w:val="en-US" w:eastAsia="zh-CN"/>
        </w:rPr>
        <w:t>, an event triggered measurement reporting framework for reducing measurement overhead should not compromise the handover performance.</w:t>
      </w:r>
    </w:p>
    <w:p w14:paraId="239E01D4" w14:textId="77777777" w:rsidR="00597E41" w:rsidRDefault="00597E41" w:rsidP="00597E41">
      <w:pPr>
        <w:rPr>
          <w:rFonts w:eastAsia="DengXian"/>
          <w:b/>
          <w:bCs/>
          <w:lang w:val="en-US" w:eastAsia="zh-CN"/>
        </w:rPr>
      </w:pPr>
    </w:p>
    <w:p w14:paraId="671AE68B" w14:textId="13D5DD52" w:rsidR="000E6D6A" w:rsidRPr="00597E41" w:rsidRDefault="000E6D6A" w:rsidP="00597E4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28"/>
          <w:szCs w:val="28"/>
        </w:rPr>
      </w:pPr>
      <w:r w:rsidRPr="00597E41">
        <w:rPr>
          <w:rFonts w:ascii="Arial" w:eastAsia="Yu Gothic Medium" w:hAnsi="Arial" w:cs="Arial"/>
          <w:kern w:val="0"/>
          <w:sz w:val="28"/>
          <w:szCs w:val="28"/>
        </w:rPr>
        <w:t>Reference</w:t>
      </w:r>
    </w:p>
    <w:p w14:paraId="6559A795" w14:textId="77777777" w:rsidR="00462E28" w:rsidRPr="00324947" w:rsidRDefault="00462E28" w:rsidP="00462E28">
      <w:pPr>
        <w:widowControl/>
        <w:numPr>
          <w:ilvl w:val="0"/>
          <w:numId w:val="5"/>
        </w:numPr>
        <w:spacing w:before="100" w:beforeAutospacing="1" w:after="100" w:afterAutospacing="1"/>
        <w:rPr>
          <w:lang w:val="en-US" w:eastAsia="zh-CN"/>
        </w:rPr>
      </w:pPr>
      <w:r w:rsidRPr="00324947">
        <w:rPr>
          <w:lang w:val="en-US" w:eastAsia="zh-CN"/>
        </w:rPr>
        <w:t>R2_125bis_ChairNotes_24-04-19_final</w:t>
      </w:r>
      <w:r w:rsidRPr="00324947">
        <w:rPr>
          <w:rFonts w:hint="eastAsia"/>
          <w:lang w:val="en-US" w:eastAsia="zh-CN"/>
        </w:rPr>
        <w:t>, Apr 2024</w:t>
      </w:r>
    </w:p>
    <w:p w14:paraId="3B7EEEC6" w14:textId="77777777" w:rsidR="00462E28" w:rsidRPr="00EE6054" w:rsidRDefault="00462E28" w:rsidP="00462E28">
      <w:pPr>
        <w:widowControl/>
        <w:numPr>
          <w:ilvl w:val="0"/>
          <w:numId w:val="5"/>
        </w:numPr>
        <w:spacing w:before="100" w:beforeAutospacing="1" w:after="100" w:afterAutospacing="1"/>
        <w:rPr>
          <w:rFonts w:eastAsia="DengXian"/>
          <w:sz w:val="22"/>
          <w:lang w:val="en-US" w:eastAsia="zh-CN"/>
        </w:rPr>
      </w:pPr>
      <w:r w:rsidRPr="00CD3B8D">
        <w:rPr>
          <w:lang w:val="en-US" w:eastAsia="zh-CN"/>
        </w:rPr>
        <w:t>R2_126_ChairNotes_24-05-24_final</w:t>
      </w:r>
      <w:r>
        <w:rPr>
          <w:rFonts w:hint="eastAsia"/>
          <w:lang w:val="en-US" w:eastAsia="zh-CN"/>
        </w:rPr>
        <w:t>, May 2024</w:t>
      </w:r>
    </w:p>
    <w:p w14:paraId="0F9AEE23" w14:textId="77777777" w:rsidR="00462E28" w:rsidRDefault="00462E28" w:rsidP="00462E28">
      <w:pPr>
        <w:widowControl/>
        <w:numPr>
          <w:ilvl w:val="0"/>
          <w:numId w:val="5"/>
        </w:numPr>
        <w:spacing w:before="100" w:beforeAutospacing="1" w:after="100" w:afterAutospacing="1"/>
        <w:rPr>
          <w:lang w:val="en-US" w:eastAsia="zh-CN"/>
        </w:rPr>
      </w:pPr>
      <w:r w:rsidRPr="00EE6054">
        <w:rPr>
          <w:lang w:val="en-US" w:eastAsia="zh-CN"/>
        </w:rPr>
        <w:t>R2_127_ChairNotes_24-08-23_17-00_eom</w:t>
      </w:r>
      <w:r>
        <w:rPr>
          <w:rFonts w:hint="eastAsia"/>
          <w:lang w:val="en-US" w:eastAsia="zh-CN"/>
        </w:rPr>
        <w:t>, Aug 2024</w:t>
      </w:r>
    </w:p>
    <w:p w14:paraId="01C2CCF2" w14:textId="77777777" w:rsidR="00DB0C8E" w:rsidRDefault="00DB0C8E" w:rsidP="00DB0C8E">
      <w:pPr>
        <w:widowControl/>
        <w:numPr>
          <w:ilvl w:val="0"/>
          <w:numId w:val="5"/>
        </w:numPr>
        <w:spacing w:before="100" w:beforeAutospacing="1" w:after="100" w:afterAutospacing="1"/>
        <w:rPr>
          <w:lang w:val="en-US" w:eastAsia="zh-CN"/>
        </w:rPr>
      </w:pPr>
      <w:r w:rsidRPr="00027A37">
        <w:rPr>
          <w:lang w:val="en-US" w:eastAsia="zh-CN"/>
        </w:rPr>
        <w:t>R2_127bis_ChairNotes_24-10-18_15-45_eom_clean</w:t>
      </w:r>
      <w:r>
        <w:rPr>
          <w:rFonts w:hint="eastAsia"/>
          <w:lang w:val="en-US" w:eastAsia="zh-CN"/>
        </w:rPr>
        <w:t>, Oct 2024</w:t>
      </w:r>
    </w:p>
    <w:p w14:paraId="293D02D5" w14:textId="77777777" w:rsidR="00DB0C8E" w:rsidRDefault="00DB0C8E" w:rsidP="00DB0C8E">
      <w:pPr>
        <w:widowControl/>
        <w:numPr>
          <w:ilvl w:val="0"/>
          <w:numId w:val="5"/>
        </w:numPr>
        <w:spacing w:before="100" w:beforeAutospacing="1" w:after="100" w:afterAutospacing="1"/>
        <w:rPr>
          <w:lang w:val="en-US" w:eastAsia="zh-CN"/>
        </w:rPr>
      </w:pPr>
      <w:r w:rsidRPr="00FD1366">
        <w:rPr>
          <w:lang w:val="en-US" w:eastAsia="zh-CN"/>
        </w:rPr>
        <w:t>R2_128_ChairNotes_24-11-22_17-00_eom</w:t>
      </w:r>
      <w:r>
        <w:rPr>
          <w:rFonts w:hint="eastAsia"/>
          <w:lang w:val="en-US" w:eastAsia="zh-CN"/>
        </w:rPr>
        <w:t>, Nov 2024</w:t>
      </w:r>
    </w:p>
    <w:p w14:paraId="147FB155" w14:textId="68940AFD" w:rsidR="00DB0C8E" w:rsidRDefault="00DB0C8E" w:rsidP="00462E28">
      <w:pPr>
        <w:widowControl/>
        <w:numPr>
          <w:ilvl w:val="0"/>
          <w:numId w:val="5"/>
        </w:numPr>
        <w:spacing w:before="100" w:beforeAutospacing="1" w:after="100" w:afterAutospacing="1"/>
        <w:rPr>
          <w:lang w:val="en-US" w:eastAsia="zh-CN"/>
        </w:rPr>
      </w:pPr>
      <w:r w:rsidRPr="00DB0C8E">
        <w:rPr>
          <w:lang w:val="en-US" w:eastAsia="zh-CN"/>
        </w:rPr>
        <w:t>R2_129_ChairNotes_25-02-20_19-00</w:t>
      </w:r>
      <w:r>
        <w:rPr>
          <w:lang w:val="en-US" w:eastAsia="zh-CN"/>
        </w:rPr>
        <w:t>_eom,</w:t>
      </w:r>
      <w:r w:rsidR="00B6460F">
        <w:rPr>
          <w:lang w:val="en-US" w:eastAsia="zh-CN"/>
        </w:rPr>
        <w:t xml:space="preserve"> </w:t>
      </w:r>
      <w:r>
        <w:rPr>
          <w:lang w:val="en-US" w:eastAsia="zh-CN"/>
        </w:rPr>
        <w:t>Feb 2025</w:t>
      </w:r>
    </w:p>
    <w:p w14:paraId="4DDE66BA" w14:textId="40FA21A0" w:rsidR="00DF1545" w:rsidRPr="00EE6054" w:rsidRDefault="00DF1545" w:rsidP="00462E28">
      <w:pPr>
        <w:widowControl/>
        <w:numPr>
          <w:ilvl w:val="0"/>
          <w:numId w:val="5"/>
        </w:numPr>
        <w:spacing w:before="100" w:beforeAutospacing="1" w:after="100" w:afterAutospacing="1"/>
        <w:rPr>
          <w:lang w:val="en-US" w:eastAsia="zh-CN"/>
        </w:rPr>
      </w:pPr>
      <w:r w:rsidRPr="00DF1545">
        <w:rPr>
          <w:lang w:val="en-US" w:eastAsia="zh-CN"/>
        </w:rPr>
        <w:t>RP-240082</w:t>
      </w:r>
      <w:r>
        <w:rPr>
          <w:lang w:val="en-US" w:eastAsia="zh-CN"/>
        </w:rPr>
        <w:t xml:space="preserve">, </w:t>
      </w:r>
      <w:r w:rsidRPr="00DF1545">
        <w:rPr>
          <w:lang w:val="en-US" w:eastAsia="zh-CN"/>
        </w:rPr>
        <w:t>Revised SID on AIML for mobility in NR</w:t>
      </w:r>
      <w:r>
        <w:rPr>
          <w:lang w:val="en-US" w:eastAsia="zh-CN"/>
        </w:rPr>
        <w:t>, OPPO.</w:t>
      </w:r>
    </w:p>
    <w:p w14:paraId="4048019C" w14:textId="77777777" w:rsidR="00B30947" w:rsidRPr="007237A3" w:rsidRDefault="00B30947" w:rsidP="007237A3"/>
    <w:sectPr w:rsidR="00B30947" w:rsidRPr="007237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2B75711"/>
    <w:multiLevelType w:val="hybridMultilevel"/>
    <w:tmpl w:val="FB66254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27977760"/>
    <w:multiLevelType w:val="hybridMultilevel"/>
    <w:tmpl w:val="FB66254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F63304E"/>
    <w:multiLevelType w:val="hybridMultilevel"/>
    <w:tmpl w:val="AB36CAAC"/>
    <w:lvl w:ilvl="0" w:tplc="B2F4C8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5FA03B19"/>
    <w:multiLevelType w:val="hybridMultilevel"/>
    <w:tmpl w:val="3202C826"/>
    <w:lvl w:ilvl="0" w:tplc="3CBC76A0">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6CCE6F28"/>
    <w:multiLevelType w:val="hybridMultilevel"/>
    <w:tmpl w:val="4EC41D30"/>
    <w:lvl w:ilvl="0" w:tplc="B5A8667A">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541823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6534269">
    <w:abstractNumId w:val="6"/>
  </w:num>
  <w:num w:numId="3" w16cid:durableId="1943999416">
    <w:abstractNumId w:val="1"/>
  </w:num>
  <w:num w:numId="4" w16cid:durableId="1709918251">
    <w:abstractNumId w:val="2"/>
  </w:num>
  <w:num w:numId="5" w16cid:durableId="281571754">
    <w:abstractNumId w:val="0"/>
  </w:num>
  <w:num w:numId="6" w16cid:durableId="1327201104">
    <w:abstractNumId w:val="5"/>
  </w:num>
  <w:num w:numId="7" w16cid:durableId="9928718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long Wang">
    <w15:presenceInfo w15:providerId="AD" w15:userId="S::xuelong.wang@EMEA.NEC.COM::9f1a0374-1829-4056-b265-ab02d53d5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947"/>
    <w:rsid w:val="00045C7E"/>
    <w:rsid w:val="000B5034"/>
    <w:rsid w:val="000E6D6A"/>
    <w:rsid w:val="00112C6B"/>
    <w:rsid w:val="001503FD"/>
    <w:rsid w:val="00201D86"/>
    <w:rsid w:val="00281D5A"/>
    <w:rsid w:val="002F0E64"/>
    <w:rsid w:val="00317A85"/>
    <w:rsid w:val="00322BB2"/>
    <w:rsid w:val="00353953"/>
    <w:rsid w:val="003544C3"/>
    <w:rsid w:val="00380A45"/>
    <w:rsid w:val="003A68D7"/>
    <w:rsid w:val="004227E7"/>
    <w:rsid w:val="00462E28"/>
    <w:rsid w:val="00472D3A"/>
    <w:rsid w:val="00481CCC"/>
    <w:rsid w:val="004C6C38"/>
    <w:rsid w:val="004F5161"/>
    <w:rsid w:val="00502848"/>
    <w:rsid w:val="005201F4"/>
    <w:rsid w:val="00596219"/>
    <w:rsid w:val="00597E41"/>
    <w:rsid w:val="005A0522"/>
    <w:rsid w:val="005A3654"/>
    <w:rsid w:val="005B29FD"/>
    <w:rsid w:val="007237A3"/>
    <w:rsid w:val="00734CBA"/>
    <w:rsid w:val="007F56F3"/>
    <w:rsid w:val="00872599"/>
    <w:rsid w:val="008A7DE9"/>
    <w:rsid w:val="008B1055"/>
    <w:rsid w:val="009273C0"/>
    <w:rsid w:val="00937F57"/>
    <w:rsid w:val="00961A8E"/>
    <w:rsid w:val="00997BB8"/>
    <w:rsid w:val="00A148CF"/>
    <w:rsid w:val="00A22054"/>
    <w:rsid w:val="00A36E06"/>
    <w:rsid w:val="00A67E14"/>
    <w:rsid w:val="00A923B2"/>
    <w:rsid w:val="00AC6E8B"/>
    <w:rsid w:val="00B15748"/>
    <w:rsid w:val="00B16E3B"/>
    <w:rsid w:val="00B21651"/>
    <w:rsid w:val="00B30732"/>
    <w:rsid w:val="00B30947"/>
    <w:rsid w:val="00B6460F"/>
    <w:rsid w:val="00B85914"/>
    <w:rsid w:val="00BA46E9"/>
    <w:rsid w:val="00BA5845"/>
    <w:rsid w:val="00BB6EB9"/>
    <w:rsid w:val="00BF6C5F"/>
    <w:rsid w:val="00C04575"/>
    <w:rsid w:val="00C172AC"/>
    <w:rsid w:val="00C809D9"/>
    <w:rsid w:val="00C92146"/>
    <w:rsid w:val="00C9421A"/>
    <w:rsid w:val="00CA18E6"/>
    <w:rsid w:val="00CE7C77"/>
    <w:rsid w:val="00D26E5E"/>
    <w:rsid w:val="00D30FF3"/>
    <w:rsid w:val="00D9013F"/>
    <w:rsid w:val="00DB0C8E"/>
    <w:rsid w:val="00DD45F4"/>
    <w:rsid w:val="00DF1545"/>
    <w:rsid w:val="00E76774"/>
    <w:rsid w:val="00EA1397"/>
    <w:rsid w:val="00EA495E"/>
    <w:rsid w:val="00ED4088"/>
    <w:rsid w:val="00F35865"/>
    <w:rsid w:val="00F4423D"/>
    <w:rsid w:val="00F52E0C"/>
    <w:rsid w:val="00FE59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9467B"/>
  <w15:chartTrackingRefBased/>
  <w15:docId w15:val="{839089F3-EACF-44E5-9E1F-F48A7B2B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C77"/>
    <w:pPr>
      <w:widowControl w:val="0"/>
      <w:spacing w:after="0" w:line="240" w:lineRule="auto"/>
      <w:jc w:val="both"/>
    </w:pPr>
    <w:rPr>
      <w:rFonts w:eastAsiaTheme="minorEastAsia"/>
      <w:sz w:val="21"/>
      <w:szCs w:val="22"/>
      <w:lang w:val="en-GB" w:eastAsia="ja-JP"/>
      <w14:ligatures w14:val="none"/>
    </w:rPr>
  </w:style>
  <w:style w:type="paragraph" w:styleId="Heading1">
    <w:name w:val="heading 1"/>
    <w:basedOn w:val="Normal"/>
    <w:next w:val="Normal"/>
    <w:link w:val="Heading1Char"/>
    <w:uiPriority w:val="9"/>
    <w:qFormat/>
    <w:rsid w:val="00B30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0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09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09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09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09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09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09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09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9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09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09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09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09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09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09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09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0947"/>
    <w:rPr>
      <w:rFonts w:eastAsiaTheme="majorEastAsia" w:cstheme="majorBidi"/>
      <w:color w:val="272727" w:themeColor="text1" w:themeTint="D8"/>
    </w:rPr>
  </w:style>
  <w:style w:type="paragraph" w:styleId="Title">
    <w:name w:val="Title"/>
    <w:basedOn w:val="Normal"/>
    <w:next w:val="Normal"/>
    <w:link w:val="TitleChar"/>
    <w:uiPriority w:val="10"/>
    <w:qFormat/>
    <w:rsid w:val="00B309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09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09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09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0947"/>
    <w:pPr>
      <w:spacing w:before="160"/>
      <w:jc w:val="center"/>
    </w:pPr>
    <w:rPr>
      <w:i/>
      <w:iCs/>
      <w:color w:val="404040" w:themeColor="text1" w:themeTint="BF"/>
    </w:rPr>
  </w:style>
  <w:style w:type="character" w:customStyle="1" w:styleId="QuoteChar">
    <w:name w:val="Quote Char"/>
    <w:basedOn w:val="DefaultParagraphFont"/>
    <w:link w:val="Quote"/>
    <w:uiPriority w:val="29"/>
    <w:rsid w:val="00B30947"/>
    <w:rPr>
      <w:i/>
      <w:iCs/>
      <w:color w:val="404040" w:themeColor="text1" w:themeTint="BF"/>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B30947"/>
    <w:pPr>
      <w:ind w:left="720"/>
      <w:contextualSpacing/>
    </w:pPr>
  </w:style>
  <w:style w:type="character" w:styleId="IntenseEmphasis">
    <w:name w:val="Intense Emphasis"/>
    <w:basedOn w:val="DefaultParagraphFont"/>
    <w:uiPriority w:val="21"/>
    <w:qFormat/>
    <w:rsid w:val="00B30947"/>
    <w:rPr>
      <w:i/>
      <w:iCs/>
      <w:color w:val="0F4761" w:themeColor="accent1" w:themeShade="BF"/>
    </w:rPr>
  </w:style>
  <w:style w:type="paragraph" w:styleId="IntenseQuote">
    <w:name w:val="Intense Quote"/>
    <w:basedOn w:val="Normal"/>
    <w:next w:val="Normal"/>
    <w:link w:val="IntenseQuoteChar"/>
    <w:uiPriority w:val="30"/>
    <w:qFormat/>
    <w:rsid w:val="00B30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0947"/>
    <w:rPr>
      <w:i/>
      <w:iCs/>
      <w:color w:val="0F4761" w:themeColor="accent1" w:themeShade="BF"/>
    </w:rPr>
  </w:style>
  <w:style w:type="character" w:styleId="IntenseReference">
    <w:name w:val="Intense Reference"/>
    <w:basedOn w:val="DefaultParagraphFont"/>
    <w:uiPriority w:val="32"/>
    <w:qFormat/>
    <w:rsid w:val="00B30947"/>
    <w:rPr>
      <w:b/>
      <w:bCs/>
      <w:smallCaps/>
      <w:color w:val="0F4761" w:themeColor="accent1" w:themeShade="BF"/>
      <w:spacing w:val="5"/>
    </w:rPr>
  </w:style>
  <w:style w:type="character" w:customStyle="1" w:styleId="Doc-text2Char">
    <w:name w:val="Doc-text2 Char"/>
    <w:link w:val="Doc-text2"/>
    <w:qFormat/>
    <w:locked/>
    <w:rsid w:val="007237A3"/>
    <w:rPr>
      <w:rFonts w:ascii="Calibri" w:hAnsi="Calibri" w:cs="Calibri"/>
    </w:rPr>
  </w:style>
  <w:style w:type="paragraph" w:customStyle="1" w:styleId="Doc-text2">
    <w:name w:val="Doc-text2"/>
    <w:basedOn w:val="Normal"/>
    <w:link w:val="Doc-text2Char"/>
    <w:qFormat/>
    <w:rsid w:val="007237A3"/>
    <w:pPr>
      <w:widowControl/>
      <w:tabs>
        <w:tab w:val="left" w:pos="1622"/>
      </w:tabs>
      <w:ind w:left="1622" w:hanging="363"/>
      <w:jc w:val="left"/>
    </w:pPr>
    <w:rPr>
      <w:rFonts w:ascii="Calibri" w:eastAsiaTheme="minorHAnsi" w:hAnsi="Calibri" w:cs="Calibri"/>
      <w:sz w:val="24"/>
      <w:szCs w:val="24"/>
      <w:lang w:val="en-IN" w:eastAsia="en-US"/>
      <w14:ligatures w14:val="standardContextual"/>
    </w:rPr>
  </w:style>
  <w:style w:type="table" w:styleId="TableGrid">
    <w:name w:val="Table Grid"/>
    <w:aliases w:val="TableGrid"/>
    <w:basedOn w:val="TableNormal"/>
    <w:uiPriority w:val="59"/>
    <w:qFormat/>
    <w:rsid w:val="00281D5A"/>
    <w:pPr>
      <w:spacing w:after="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281D5A"/>
    <w:rPr>
      <w:rFonts w:eastAsiaTheme="minorEastAsia"/>
      <w:sz w:val="21"/>
      <w:szCs w:val="22"/>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357592">
      <w:bodyDiv w:val="1"/>
      <w:marLeft w:val="0"/>
      <w:marRight w:val="0"/>
      <w:marTop w:val="0"/>
      <w:marBottom w:val="0"/>
      <w:divBdr>
        <w:top w:val="none" w:sz="0" w:space="0" w:color="auto"/>
        <w:left w:val="none" w:sz="0" w:space="0" w:color="auto"/>
        <w:bottom w:val="none" w:sz="0" w:space="0" w:color="auto"/>
        <w:right w:val="none" w:sz="0" w:space="0" w:color="auto"/>
      </w:divBdr>
      <w:divsChild>
        <w:div w:id="1781876498">
          <w:marLeft w:val="360"/>
          <w:marRight w:val="0"/>
          <w:marTop w:val="200"/>
          <w:marBottom w:val="160"/>
          <w:divBdr>
            <w:top w:val="none" w:sz="0" w:space="0" w:color="auto"/>
            <w:left w:val="none" w:sz="0" w:space="0" w:color="auto"/>
            <w:bottom w:val="none" w:sz="0" w:space="0" w:color="auto"/>
            <w:right w:val="none" w:sz="0" w:space="0" w:color="auto"/>
          </w:divBdr>
        </w:div>
        <w:div w:id="1369451962">
          <w:marLeft w:val="547"/>
          <w:marRight w:val="0"/>
          <w:marTop w:val="200"/>
          <w:marBottom w:val="160"/>
          <w:divBdr>
            <w:top w:val="none" w:sz="0" w:space="0" w:color="auto"/>
            <w:left w:val="none" w:sz="0" w:space="0" w:color="auto"/>
            <w:bottom w:val="none" w:sz="0" w:space="0" w:color="auto"/>
            <w:right w:val="none" w:sz="0" w:space="0" w:color="auto"/>
          </w:divBdr>
        </w:div>
        <w:div w:id="282344049">
          <w:marLeft w:val="1166"/>
          <w:marRight w:val="0"/>
          <w:marTop w:val="100"/>
          <w:marBottom w:val="160"/>
          <w:divBdr>
            <w:top w:val="none" w:sz="0" w:space="0" w:color="auto"/>
            <w:left w:val="none" w:sz="0" w:space="0" w:color="auto"/>
            <w:bottom w:val="none" w:sz="0" w:space="0" w:color="auto"/>
            <w:right w:val="none" w:sz="0" w:space="0" w:color="auto"/>
          </w:divBdr>
        </w:div>
      </w:divsChild>
    </w:div>
    <w:div w:id="408575687">
      <w:bodyDiv w:val="1"/>
      <w:marLeft w:val="0"/>
      <w:marRight w:val="0"/>
      <w:marTop w:val="0"/>
      <w:marBottom w:val="0"/>
      <w:divBdr>
        <w:top w:val="none" w:sz="0" w:space="0" w:color="auto"/>
        <w:left w:val="none" w:sz="0" w:space="0" w:color="auto"/>
        <w:bottom w:val="none" w:sz="0" w:space="0" w:color="auto"/>
        <w:right w:val="none" w:sz="0" w:space="0" w:color="auto"/>
      </w:divBdr>
      <w:divsChild>
        <w:div w:id="721826058">
          <w:marLeft w:val="1080"/>
          <w:marRight w:val="0"/>
          <w:marTop w:val="100"/>
          <w:marBottom w:val="0"/>
          <w:divBdr>
            <w:top w:val="none" w:sz="0" w:space="0" w:color="auto"/>
            <w:left w:val="none" w:sz="0" w:space="0" w:color="auto"/>
            <w:bottom w:val="none" w:sz="0" w:space="0" w:color="auto"/>
            <w:right w:val="none" w:sz="0" w:space="0" w:color="auto"/>
          </w:divBdr>
        </w:div>
        <w:div w:id="1483159743">
          <w:marLeft w:val="1080"/>
          <w:marRight w:val="0"/>
          <w:marTop w:val="100"/>
          <w:marBottom w:val="0"/>
          <w:divBdr>
            <w:top w:val="none" w:sz="0" w:space="0" w:color="auto"/>
            <w:left w:val="none" w:sz="0" w:space="0" w:color="auto"/>
            <w:bottom w:val="none" w:sz="0" w:space="0" w:color="auto"/>
            <w:right w:val="none" w:sz="0" w:space="0" w:color="auto"/>
          </w:divBdr>
        </w:div>
      </w:divsChild>
    </w:div>
    <w:div w:id="704788944">
      <w:bodyDiv w:val="1"/>
      <w:marLeft w:val="0"/>
      <w:marRight w:val="0"/>
      <w:marTop w:val="0"/>
      <w:marBottom w:val="0"/>
      <w:divBdr>
        <w:top w:val="none" w:sz="0" w:space="0" w:color="auto"/>
        <w:left w:val="none" w:sz="0" w:space="0" w:color="auto"/>
        <w:bottom w:val="none" w:sz="0" w:space="0" w:color="auto"/>
        <w:right w:val="none" w:sz="0" w:space="0" w:color="auto"/>
      </w:divBdr>
    </w:div>
    <w:div w:id="95552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Samhita Pati</dc:creator>
  <cp:keywords/>
  <dc:description/>
  <cp:lastModifiedBy>Preeti Samhita Pati</cp:lastModifiedBy>
  <cp:revision>2</cp:revision>
  <dcterms:created xsi:type="dcterms:W3CDTF">2025-03-28T06:17:00Z</dcterms:created>
  <dcterms:modified xsi:type="dcterms:W3CDTF">2025-03-28T06:17:00Z</dcterms:modified>
</cp:coreProperties>
</file>