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16E60A37"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6435DE">
        <w:rPr>
          <w:rFonts w:ascii="Arial" w:eastAsia="MS Mincho" w:hAnsi="Arial"/>
          <w:b/>
          <w:sz w:val="24"/>
          <w:szCs w:val="24"/>
          <w:lang w:eastAsia="x-none"/>
        </w:rPr>
        <w:t>6</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BF3A1E">
        <w:rPr>
          <w:rFonts w:ascii="Arial" w:eastAsia="MS Mincho" w:hAnsi="Arial"/>
          <w:b/>
          <w:sz w:val="24"/>
          <w:szCs w:val="24"/>
          <w:lang w:eastAsia="x-none"/>
        </w:rPr>
        <w:t>04508</w:t>
      </w:r>
    </w:p>
    <w:p w14:paraId="7791F180" w14:textId="32A36488" w:rsidR="00A32E79" w:rsidRPr="00A32E79" w:rsidRDefault="006435DE"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Fukuoka</w:t>
      </w:r>
      <w:r w:rsidR="00570984">
        <w:rPr>
          <w:rFonts w:ascii="Arial" w:eastAsia="MS Mincho" w:hAnsi="Arial"/>
          <w:b/>
          <w:sz w:val="24"/>
          <w:szCs w:val="24"/>
          <w:lang w:eastAsia="x-none"/>
        </w:rPr>
        <w:t xml:space="preserve">, </w:t>
      </w:r>
      <w:r>
        <w:rPr>
          <w:rFonts w:ascii="Arial" w:eastAsia="MS Mincho" w:hAnsi="Arial"/>
          <w:b/>
          <w:sz w:val="24"/>
          <w:szCs w:val="24"/>
          <w:lang w:eastAsia="x-none"/>
        </w:rPr>
        <w:t>Japan</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20</w:t>
      </w:r>
      <w:r w:rsidR="00F84150">
        <w:rPr>
          <w:rFonts w:ascii="Arial" w:eastAsia="MS Mincho" w:hAnsi="Arial"/>
          <w:b/>
          <w:sz w:val="24"/>
          <w:szCs w:val="24"/>
          <w:lang w:eastAsia="x-none"/>
        </w:rPr>
        <w:t>-</w:t>
      </w:r>
      <w:r>
        <w:rPr>
          <w:rFonts w:ascii="Arial" w:eastAsia="MS Mincho" w:hAnsi="Arial"/>
          <w:b/>
          <w:sz w:val="24"/>
          <w:szCs w:val="24"/>
          <w:lang w:eastAsia="x-none"/>
        </w:rPr>
        <w:t>24</w:t>
      </w:r>
      <w:r w:rsidR="00F92893">
        <w:rPr>
          <w:rFonts w:ascii="Arial" w:eastAsia="MS Mincho" w:hAnsi="Arial"/>
          <w:b/>
          <w:sz w:val="24"/>
          <w:szCs w:val="24"/>
          <w:lang w:eastAsia="x-none"/>
        </w:rPr>
        <w:t xml:space="preserve"> </w:t>
      </w:r>
      <w:r>
        <w:rPr>
          <w:rFonts w:ascii="Arial" w:eastAsia="MS Mincho" w:hAnsi="Arial"/>
          <w:b/>
          <w:sz w:val="24"/>
          <w:szCs w:val="24"/>
          <w:lang w:eastAsia="x-none"/>
        </w:rPr>
        <w:t>May</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1A6A6EC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5D24B1">
        <w:rPr>
          <w:rFonts w:ascii="Arial" w:eastAsia="PMingLiU" w:hAnsi="Arial" w:cs="Arial"/>
          <w:b/>
          <w:sz w:val="24"/>
          <w:szCs w:val="24"/>
          <w:lang w:eastAsia="zh-CN"/>
        </w:rPr>
        <w:t>8.2.3</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098C6A98"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293282">
        <w:rPr>
          <w:rFonts w:ascii="Arial" w:eastAsia="PMingLiU" w:hAnsi="Arial" w:cs="Arial"/>
          <w:b/>
          <w:sz w:val="24"/>
          <w:szCs w:val="24"/>
          <w:lang w:eastAsia="zh-CN"/>
        </w:rPr>
        <w:t xml:space="preserve">Transfer of upper-layer </w:t>
      </w:r>
      <w:proofErr w:type="spellStart"/>
      <w:r w:rsidR="00293282">
        <w:rPr>
          <w:rFonts w:ascii="Arial" w:eastAsia="PMingLiU" w:hAnsi="Arial" w:cs="Arial"/>
          <w:b/>
          <w:sz w:val="24"/>
          <w:szCs w:val="24"/>
          <w:lang w:eastAsia="zh-CN"/>
        </w:rPr>
        <w:t>AIoT</w:t>
      </w:r>
      <w:proofErr w:type="spellEnd"/>
      <w:r w:rsidR="00293282">
        <w:rPr>
          <w:rFonts w:ascii="Arial" w:eastAsia="PMingLiU" w:hAnsi="Arial" w:cs="Arial"/>
          <w:b/>
          <w:sz w:val="24"/>
          <w:szCs w:val="24"/>
          <w:lang w:eastAsia="zh-CN"/>
        </w:rPr>
        <w:t xml:space="preserve"> information</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44EEF581"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5D24B1">
        <w:rPr>
          <w:rFonts w:ascii="Calibri" w:eastAsia="PMingLiU" w:hAnsi="Calibri"/>
          <w:sz w:val="22"/>
          <w:szCs w:val="22"/>
          <w:lang w:eastAsia="zh-TW"/>
        </w:rPr>
        <w:t xml:space="preserve">addresses the design of the </w:t>
      </w:r>
      <w:proofErr w:type="spellStart"/>
      <w:r w:rsidR="005D24B1">
        <w:rPr>
          <w:rFonts w:ascii="Calibri" w:eastAsia="PMingLiU" w:hAnsi="Calibri"/>
          <w:sz w:val="22"/>
          <w:szCs w:val="22"/>
          <w:lang w:eastAsia="zh-TW"/>
        </w:rPr>
        <w:t>AIoT</w:t>
      </w:r>
      <w:proofErr w:type="spellEnd"/>
      <w:r w:rsidR="005D24B1">
        <w:rPr>
          <w:rFonts w:ascii="Calibri" w:eastAsia="PMingLiU" w:hAnsi="Calibri"/>
          <w:sz w:val="22"/>
          <w:szCs w:val="22"/>
          <w:lang w:eastAsia="zh-TW"/>
        </w:rPr>
        <w:t xml:space="preserve"> access stratum for transfer of information (data/signalling) originated by upper layers, especially from the standpoint of protocol stack design and considering the implications for SA2’s candidate solutions</w:t>
      </w:r>
      <w:r w:rsidR="0089612D">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25FF018C"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293282">
        <w:rPr>
          <w:rFonts w:eastAsia="PMingLiU"/>
          <w:lang w:eastAsia="zh-TW"/>
        </w:rPr>
        <w:t>Controller and application data</w:t>
      </w:r>
    </w:p>
    <w:p w14:paraId="63609586" w14:textId="6DA94EA7" w:rsidR="008D2107" w:rsidRDefault="0029328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From the viewpoint of the reader, there are two possible sources/destinations for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communication (signalling or data): the reader itself (“AS traffic”) and upper layers including the controller (“NAS traffic”) and the application layer (“application traffic”).  The controller and application layer may not be distinguishable for the reader; they look like undifferentiated “upper layers”, and routing of signalling/data in upper layers is invisible to the reader.</w:t>
      </w:r>
    </w:p>
    <w:p w14:paraId="312BDF92" w14:textId="00FAB30A" w:rsidR="00293282" w:rsidRDefault="0029328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In a conventional 3GPP </w:t>
      </w:r>
      <w:r w:rsidR="005D24B1">
        <w:rPr>
          <w:rFonts w:ascii="Calibri" w:eastAsia="PMingLiU" w:hAnsi="Calibri"/>
          <w:sz w:val="22"/>
          <w:szCs w:val="22"/>
          <w:lang w:eastAsia="zh-TW"/>
        </w:rPr>
        <w:t>approach</w:t>
      </w:r>
      <w:r>
        <w:rPr>
          <w:rFonts w:ascii="Calibri" w:eastAsia="PMingLiU" w:hAnsi="Calibri"/>
          <w:sz w:val="22"/>
          <w:szCs w:val="22"/>
          <w:lang w:eastAsia="zh-TW"/>
        </w:rPr>
        <w:t xml:space="preserve">, this situation would result in </w:t>
      </w:r>
      <w:r w:rsidR="00901CA0">
        <w:rPr>
          <w:rFonts w:ascii="Calibri" w:eastAsia="PMingLiU" w:hAnsi="Calibri"/>
          <w:sz w:val="22"/>
          <w:szCs w:val="22"/>
          <w:lang w:eastAsia="zh-TW"/>
        </w:rPr>
        <w:t>highly layered protocol stacks; as an example, figure 1 (figure 6.4.1.5-1 of [1]) shows the stack proposed in SA2’s solution 4 for topology 1</w:t>
      </w:r>
      <w:r>
        <w:rPr>
          <w:rFonts w:ascii="Calibri" w:eastAsia="PMingLiU" w:hAnsi="Calibri"/>
          <w:sz w:val="22"/>
          <w:szCs w:val="22"/>
          <w:lang w:eastAsia="zh-TW"/>
        </w:rPr>
        <w:t>.</w:t>
      </w:r>
    </w:p>
    <w:p w14:paraId="22A7C088" w14:textId="77777777" w:rsidR="00901CA0" w:rsidRDefault="00901CA0" w:rsidP="00901CA0">
      <w:pPr>
        <w:keepNext/>
        <w:overflowPunct/>
        <w:autoSpaceDE/>
        <w:autoSpaceDN/>
        <w:adjustRightInd/>
        <w:spacing w:after="240"/>
        <w:jc w:val="center"/>
        <w:textAlignment w:val="auto"/>
      </w:pPr>
      <w:r>
        <w:rPr>
          <w:lang w:eastAsia="en-GB"/>
        </w:rPr>
        <w:object w:dxaOrig="9630" w:dyaOrig="2820" w14:anchorId="39379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pt;height:141pt" o:ole="">
            <v:imagedata r:id="rId8" o:title=""/>
          </v:shape>
          <o:OLEObject Type="Embed" ProgID="Visio.Drawing.15" ShapeID="_x0000_i1027" DrawAspect="Content" ObjectID="_1776788854" r:id="rId9"/>
        </w:object>
      </w:r>
    </w:p>
    <w:p w14:paraId="45A32C4F" w14:textId="5A015B98" w:rsidR="00901CA0" w:rsidRDefault="00901CA0" w:rsidP="00901CA0">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1</w:t>
      </w:r>
      <w:r>
        <w:fldChar w:fldCharType="end"/>
      </w:r>
      <w:r>
        <w:t xml:space="preserve">: Layered </w:t>
      </w:r>
      <w:proofErr w:type="spellStart"/>
      <w:r>
        <w:t>AIoT</w:t>
      </w:r>
      <w:proofErr w:type="spellEnd"/>
      <w:r>
        <w:t xml:space="preserve"> protocol stack (Figure 6.4.1.5-1 of [1])</w:t>
      </w:r>
    </w:p>
    <w:p w14:paraId="6EA0DA2A" w14:textId="3914608D" w:rsidR="008447A6" w:rsidRDefault="00901CA0" w:rsidP="00901CA0">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Such a stack results in some complexity for the device; it needs to implement and test multiple layers and maintain logical connections with three separate nodes.  We submit that it is more expedient for both the control and user planes (to the extent that there is a distinction; see [2]) to have a single flattened protocol stack, in which all communication below the application layer appears to the device as coming from the reader</w:t>
      </w:r>
      <w:r w:rsidR="008447A6">
        <w:rPr>
          <w:rFonts w:ascii="Calibri" w:eastAsia="PMingLiU" w:hAnsi="Calibri"/>
          <w:sz w:val="22"/>
          <w:szCs w:val="22"/>
          <w:lang w:eastAsia="zh-TW"/>
        </w:rPr>
        <w:t xml:space="preserve">, using a read/write mechanism to exchange specific pieces of data with the network nodes and </w:t>
      </w:r>
      <w:r w:rsidR="008447A6">
        <w:rPr>
          <w:rFonts w:ascii="Calibri" w:eastAsia="PMingLiU" w:hAnsi="Calibri"/>
          <w:sz w:val="22"/>
          <w:szCs w:val="22"/>
          <w:lang w:eastAsia="zh-TW"/>
        </w:rPr>
        <w:lastRenderedPageBreak/>
        <w:t>terminating all network-side protocols at the reader.  A</w:t>
      </w:r>
      <w:r w:rsidR="00767DCB">
        <w:rPr>
          <w:rFonts w:ascii="Calibri" w:eastAsia="PMingLiU" w:hAnsi="Calibri"/>
          <w:sz w:val="22"/>
          <w:szCs w:val="22"/>
          <w:lang w:eastAsia="zh-TW"/>
        </w:rPr>
        <w:t xml:space="preserve"> potential</w:t>
      </w:r>
      <w:r w:rsidR="008447A6">
        <w:rPr>
          <w:rFonts w:ascii="Calibri" w:eastAsia="PMingLiU" w:hAnsi="Calibri"/>
          <w:sz w:val="22"/>
          <w:szCs w:val="22"/>
          <w:lang w:eastAsia="zh-TW"/>
        </w:rPr>
        <w:t xml:space="preserve"> example</w:t>
      </w:r>
      <w:r w:rsidR="00767DCB">
        <w:rPr>
          <w:rFonts w:ascii="Calibri" w:eastAsia="PMingLiU" w:hAnsi="Calibri"/>
          <w:sz w:val="22"/>
          <w:szCs w:val="22"/>
          <w:lang w:eastAsia="zh-TW"/>
        </w:rPr>
        <w:t>, borrowed from solution 3 in [1],</w:t>
      </w:r>
      <w:r w:rsidR="008447A6">
        <w:rPr>
          <w:rFonts w:ascii="Calibri" w:eastAsia="PMingLiU" w:hAnsi="Calibri"/>
          <w:sz w:val="22"/>
          <w:szCs w:val="22"/>
          <w:lang w:eastAsia="zh-TW"/>
        </w:rPr>
        <w:t xml:space="preserve"> is shown in figure 2.</w:t>
      </w:r>
    </w:p>
    <w:p w14:paraId="450F7817" w14:textId="77777777" w:rsidR="00767DCB" w:rsidRDefault="00767DCB" w:rsidP="00767DCB">
      <w:pPr>
        <w:keepNext/>
        <w:overflowPunct/>
        <w:autoSpaceDE/>
        <w:adjustRightInd/>
        <w:spacing w:after="240"/>
        <w:jc w:val="center"/>
      </w:pPr>
      <w:r>
        <w:rPr>
          <w:lang w:eastAsia="en-GB"/>
        </w:rPr>
        <w:object w:dxaOrig="9410" w:dyaOrig="3420" w14:anchorId="7C6C6868">
          <v:shape id="_x0000_i1026" type="#_x0000_t75" style="width:470.25pt;height:171pt" o:ole="">
            <v:imagedata r:id="rId10" o:title=""/>
          </v:shape>
          <o:OLEObject Type="Embed" ProgID="Visio.Drawing.15" ShapeID="_x0000_i1026" DrawAspect="Content" ObjectID="_1776788855" r:id="rId11"/>
        </w:object>
      </w:r>
    </w:p>
    <w:p w14:paraId="45954B44" w14:textId="5CB88EAC" w:rsidR="00767DCB" w:rsidRDefault="00767DCB" w:rsidP="00767DCB">
      <w:pPr>
        <w:pStyle w:val="Caption"/>
        <w:jc w:val="center"/>
        <w:rPr>
          <w:lang w:eastAsia="en-GB"/>
        </w:rPr>
      </w:pPr>
      <w:r>
        <w:t xml:space="preserve">Figure </w:t>
      </w:r>
      <w:r>
        <w:fldChar w:fldCharType="begin"/>
      </w:r>
      <w:r>
        <w:instrText xml:space="preserve"> SEQ Figure \* ARABIC </w:instrText>
      </w:r>
      <w:r>
        <w:fldChar w:fldCharType="separate"/>
      </w:r>
      <w:r w:rsidR="00901CA0">
        <w:rPr>
          <w:noProof/>
        </w:rPr>
        <w:t>2</w:t>
      </w:r>
      <w:r>
        <w:fldChar w:fldCharType="end"/>
      </w:r>
      <w:r>
        <w:t xml:space="preserve">: A simple </w:t>
      </w:r>
      <w:proofErr w:type="spellStart"/>
      <w:r>
        <w:t>AIoT</w:t>
      </w:r>
      <w:proofErr w:type="spellEnd"/>
      <w:r>
        <w:t xml:space="preserve"> protocol stack (Figure 6.3.1.6.2-1 of [1])</w:t>
      </w:r>
    </w:p>
    <w:p w14:paraId="7C3CA9DD" w14:textId="13C73B94" w:rsidR="00767DCB" w:rsidRDefault="00767DCB" w:rsidP="008447A6">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The upper layer (the “command protocol” in the figure, which we understand is intended to include the transfer of application data via read/write operations) is end-to-end between the device and the application function, and lower layers relay this topmost layer without creating a heavily layered “AS/NAS/app” stack.</w:t>
      </w:r>
      <w:r w:rsidR="00901CA0">
        <w:rPr>
          <w:rFonts w:ascii="Calibri" w:eastAsia="PMingLiU" w:hAnsi="Calibri"/>
          <w:sz w:val="22"/>
          <w:szCs w:val="22"/>
          <w:lang w:eastAsia="zh-TW"/>
        </w:rPr>
        <w:t xml:space="preserve">  Combined with a simplified access stratum, this approach results in a simple stack at the device, with minimal multi-layer processing, limited overhead, and no need to perform testing on multiple layers.</w:t>
      </w:r>
    </w:p>
    <w:p w14:paraId="62BE9532" w14:textId="5F5853B0" w:rsidR="00901CA0" w:rsidRDefault="008447A6" w:rsidP="008447A6">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In the downlink direction, for example, application data originate with the app layer on the network side and are translated by the controller into a read/write request</w:t>
      </w:r>
      <w:r w:rsidR="00F75DDA">
        <w:rPr>
          <w:rFonts w:ascii="Calibri" w:eastAsia="PMingLiU" w:hAnsi="Calibri"/>
          <w:sz w:val="22"/>
          <w:szCs w:val="22"/>
          <w:lang w:eastAsia="zh-TW"/>
        </w:rPr>
        <w:t>, which is passed to the reader</w:t>
      </w:r>
      <w:r>
        <w:rPr>
          <w:rFonts w:ascii="Calibri" w:eastAsia="PMingLiU" w:hAnsi="Calibri"/>
          <w:sz w:val="22"/>
          <w:szCs w:val="22"/>
          <w:lang w:eastAsia="zh-TW"/>
        </w:rPr>
        <w:t>.</w:t>
      </w:r>
      <w:r w:rsidR="00F75DDA">
        <w:rPr>
          <w:rFonts w:ascii="Calibri" w:eastAsia="PMingLiU" w:hAnsi="Calibri"/>
          <w:sz w:val="22"/>
          <w:szCs w:val="22"/>
          <w:lang w:eastAsia="zh-TW"/>
        </w:rPr>
        <w:t xml:space="preserve">  The reader then interprets the requested operation and renders it as a transaction of the </w:t>
      </w:r>
      <w:proofErr w:type="spellStart"/>
      <w:r w:rsidR="00F75DDA">
        <w:rPr>
          <w:rFonts w:ascii="Calibri" w:eastAsia="PMingLiU" w:hAnsi="Calibri"/>
          <w:sz w:val="22"/>
          <w:szCs w:val="22"/>
          <w:lang w:eastAsia="zh-TW"/>
        </w:rPr>
        <w:t>AIoT</w:t>
      </w:r>
      <w:proofErr w:type="spellEnd"/>
      <w:r w:rsidR="00F75DDA">
        <w:rPr>
          <w:rFonts w:ascii="Calibri" w:eastAsia="PMingLiU" w:hAnsi="Calibri"/>
          <w:sz w:val="22"/>
          <w:szCs w:val="22"/>
          <w:lang w:eastAsia="zh-TW"/>
        </w:rPr>
        <w:t xml:space="preserve"> MAC, either a read or a write operation.  In the write case, the device stores the requested block of data in a specific way, e.g., at a particular memory location; in the read case, the device responds with the data that were requested.</w:t>
      </w:r>
    </w:p>
    <w:p w14:paraId="2B977231" w14:textId="1CC8E9D0" w:rsidR="008447A6" w:rsidRDefault="00F75DDA" w:rsidP="008447A6">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For </w:t>
      </w:r>
      <w:proofErr w:type="gramStart"/>
      <w:r>
        <w:rPr>
          <w:rFonts w:ascii="Calibri" w:eastAsia="PMingLiU" w:hAnsi="Calibri"/>
          <w:sz w:val="22"/>
          <w:szCs w:val="22"/>
          <w:lang w:eastAsia="zh-TW"/>
        </w:rPr>
        <w:t>upper-layer</w:t>
      </w:r>
      <w:proofErr w:type="gramEnd"/>
      <w:r>
        <w:rPr>
          <w:rFonts w:ascii="Calibri" w:eastAsia="PMingLiU" w:hAnsi="Calibri"/>
          <w:sz w:val="22"/>
          <w:szCs w:val="22"/>
          <w:lang w:eastAsia="zh-TW"/>
        </w:rPr>
        <w:t xml:space="preserve"> signalling from the controller, </w:t>
      </w:r>
      <w:r w:rsidR="00901CA0">
        <w:rPr>
          <w:rFonts w:ascii="Calibri" w:eastAsia="PMingLiU" w:hAnsi="Calibri"/>
          <w:sz w:val="22"/>
          <w:szCs w:val="22"/>
          <w:lang w:eastAsia="zh-TW"/>
        </w:rPr>
        <w:t xml:space="preserve">if needed, </w:t>
      </w:r>
      <w:r>
        <w:rPr>
          <w:rFonts w:ascii="Calibri" w:eastAsia="PMingLiU" w:hAnsi="Calibri"/>
          <w:sz w:val="22"/>
          <w:szCs w:val="22"/>
          <w:lang w:eastAsia="zh-TW"/>
        </w:rPr>
        <w:t xml:space="preserve">the operations can be essentially the same; to send a “NAS” message, the controller originates a write request with data representing the message payload and a target location/type associated with a particular message at the device.  The exact format of such signalling can be further discussed, but we suggest that, for example, a particular logical memory address for the device could function as “live data” that will automatically be interpreted as an appropriate signalling message.  Alternatively, the device could be instrumented with a set of data structures </w:t>
      </w:r>
      <w:proofErr w:type="gramStart"/>
      <w:r>
        <w:rPr>
          <w:rFonts w:ascii="Calibri" w:eastAsia="PMingLiU" w:hAnsi="Calibri"/>
          <w:sz w:val="22"/>
          <w:szCs w:val="22"/>
          <w:lang w:eastAsia="zh-TW"/>
        </w:rPr>
        <w:t>similar to</w:t>
      </w:r>
      <w:proofErr w:type="gramEnd"/>
      <w:r>
        <w:rPr>
          <w:rFonts w:ascii="Calibri" w:eastAsia="PMingLiU" w:hAnsi="Calibri"/>
          <w:sz w:val="22"/>
          <w:szCs w:val="22"/>
          <w:lang w:eastAsia="zh-TW"/>
        </w:rPr>
        <w:t xml:space="preserve"> ASN.1 IEs, where a read or write request addresses a particular structure; the header of the MAC PDU could indicate “The payload is a message of type X”, and the device would </w:t>
      </w:r>
      <w:r w:rsidR="00741252">
        <w:rPr>
          <w:rFonts w:ascii="Calibri" w:eastAsia="PMingLiU" w:hAnsi="Calibri"/>
          <w:sz w:val="22"/>
          <w:szCs w:val="22"/>
          <w:lang w:eastAsia="zh-TW"/>
        </w:rPr>
        <w:t>interpret the payload accordingly.</w:t>
      </w:r>
    </w:p>
    <w:p w14:paraId="0F83949B" w14:textId="25D3B54F" w:rsidR="00741252" w:rsidRDefault="00741252" w:rsidP="008447A6">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In a sense, this model turns “NAS”-type messages into MAC CEs that disguise upper-layer signalling.  The number of actual protocol layers at the device is minimised, but there still needs to be processing for the message payloads that originate from the controller</w:t>
      </w:r>
      <w:r w:rsidR="00351473">
        <w:rPr>
          <w:rFonts w:ascii="Calibri" w:eastAsia="PMingLiU" w:hAnsi="Calibri"/>
          <w:sz w:val="22"/>
          <w:szCs w:val="22"/>
          <w:lang w:eastAsia="zh-TW"/>
        </w:rPr>
        <w:t>.</w:t>
      </w:r>
    </w:p>
    <w:p w14:paraId="240E7B1B" w14:textId="5AF449DD" w:rsidR="00351473" w:rsidRDefault="00351473" w:rsidP="008447A6">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The end-to-end protocol stacks are not in RAN2 remit to design, but from RAN2 perspective, it should be possible to confirm the feasibility of implementing the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MAC in a way that “folds up” data transmission and </w:t>
      </w:r>
      <w:proofErr w:type="gramStart"/>
      <w:r>
        <w:rPr>
          <w:rFonts w:ascii="Calibri" w:eastAsia="PMingLiU" w:hAnsi="Calibri"/>
          <w:sz w:val="22"/>
          <w:szCs w:val="22"/>
          <w:lang w:eastAsia="zh-TW"/>
        </w:rPr>
        <w:t>upper-layer</w:t>
      </w:r>
      <w:proofErr w:type="gramEnd"/>
      <w:r>
        <w:rPr>
          <w:rFonts w:ascii="Calibri" w:eastAsia="PMingLiU" w:hAnsi="Calibri"/>
          <w:sz w:val="22"/>
          <w:szCs w:val="22"/>
          <w:lang w:eastAsia="zh-TW"/>
        </w:rPr>
        <w:t xml:space="preserve"> signalling in this way.</w:t>
      </w:r>
    </w:p>
    <w:p w14:paraId="0B9F9FC3" w14:textId="17C8E103" w:rsidR="00351473" w:rsidRDefault="00351473" w:rsidP="008447A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From RAN2 perspective, it is feasible to carry </w:t>
      </w:r>
      <w:r w:rsidR="00901CA0">
        <w:rPr>
          <w:rFonts w:ascii="Calibri" w:eastAsia="PMingLiU" w:hAnsi="Calibri"/>
          <w:sz w:val="22"/>
          <w:szCs w:val="22"/>
          <w:lang w:eastAsia="zh-TW"/>
        </w:rPr>
        <w:t xml:space="preserve">the contents of </w:t>
      </w:r>
      <w:r>
        <w:rPr>
          <w:rFonts w:ascii="Calibri" w:eastAsia="PMingLiU" w:hAnsi="Calibri"/>
          <w:sz w:val="22"/>
          <w:szCs w:val="22"/>
          <w:lang w:eastAsia="zh-TW"/>
        </w:rPr>
        <w:t xml:space="preserve">application data and controller signalling as the payload of an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MAC PDU rather than encapsulating them as upper-layer </w:t>
      </w:r>
      <w:r w:rsidR="00901CA0">
        <w:rPr>
          <w:rFonts w:ascii="Calibri" w:eastAsia="PMingLiU" w:hAnsi="Calibri"/>
          <w:sz w:val="22"/>
          <w:szCs w:val="22"/>
          <w:lang w:eastAsia="zh-TW"/>
        </w:rPr>
        <w:t>data</w:t>
      </w:r>
      <w:r>
        <w:rPr>
          <w:rFonts w:ascii="Calibri" w:eastAsia="PMingLiU" w:hAnsi="Calibri"/>
          <w:sz w:val="22"/>
          <w:szCs w:val="22"/>
          <w:lang w:eastAsia="zh-TW"/>
        </w:rPr>
        <w:t>.</w:t>
      </w:r>
    </w:p>
    <w:p w14:paraId="69C40C5F" w14:textId="2D4591C7" w:rsidR="00351473" w:rsidRDefault="00351473" w:rsidP="008447A6">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An LS to SA2 would be beneficial to indicate this viewpoint from RAN2 and support SA2’s system design work.</w:t>
      </w:r>
    </w:p>
    <w:p w14:paraId="66223AE2" w14:textId="4C0D281B" w:rsidR="00351473" w:rsidRPr="00351473" w:rsidRDefault="00351473" w:rsidP="008447A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2:</w:t>
      </w:r>
      <w:r>
        <w:rPr>
          <w:rFonts w:ascii="Calibri" w:eastAsia="PMingLiU" w:hAnsi="Calibri"/>
          <w:sz w:val="22"/>
          <w:szCs w:val="22"/>
          <w:lang w:eastAsia="zh-TW"/>
        </w:rPr>
        <w:t xml:space="preserve"> Send an LS to SA2 (Cc: RAN3) indicating RAN2 view on the feasibility of having application data and controller signalling within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MAC PDUs.</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46250205" w14:textId="6D23105A" w:rsidR="00415728" w:rsidRDefault="003A10C0"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17C74C97" w14:textId="77777777" w:rsidR="00BF3A1E" w:rsidRDefault="00BF3A1E" w:rsidP="00BF3A1E">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From RAN2 perspective, it is feasible to carry the contents of application data and controller signalling as the payload of an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MAC PDU rather than encapsulating them as upper-layer data.</w:t>
      </w:r>
    </w:p>
    <w:p w14:paraId="53D204F0" w14:textId="77777777" w:rsidR="00BF3A1E" w:rsidRDefault="00BF3A1E" w:rsidP="00BF3A1E">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Send an LS to SA2 (Cc: RAN3) indicating RAN2 view on the feasibility of having application data and controller signalling within </w:t>
      </w:r>
      <w:proofErr w:type="spellStart"/>
      <w:r>
        <w:rPr>
          <w:rFonts w:ascii="Calibri" w:eastAsia="PMingLiU" w:hAnsi="Calibri"/>
          <w:sz w:val="22"/>
          <w:szCs w:val="22"/>
          <w:lang w:eastAsia="zh-TW"/>
        </w:rPr>
        <w:t>AIoT</w:t>
      </w:r>
      <w:proofErr w:type="spellEnd"/>
      <w:r>
        <w:rPr>
          <w:rFonts w:ascii="Calibri" w:eastAsia="PMingLiU" w:hAnsi="Calibri"/>
          <w:sz w:val="22"/>
          <w:szCs w:val="22"/>
          <w:lang w:eastAsia="zh-TW"/>
        </w:rPr>
        <w:t xml:space="preserve"> MAC PDUs.</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0D2CC04A" w14:textId="609D0936" w:rsidR="006624D2" w:rsidRDefault="006624D2" w:rsidP="006624D2">
      <w:pPr>
        <w:spacing w:after="240"/>
        <w:rPr>
          <w:rFonts w:ascii="Calibri" w:eastAsia="PMingLiU" w:hAnsi="Calibri"/>
          <w:sz w:val="22"/>
          <w:szCs w:val="22"/>
          <w:lang w:eastAsia="zh-TW"/>
        </w:rPr>
      </w:pPr>
      <w:r>
        <w:rPr>
          <w:rFonts w:ascii="Calibri" w:eastAsia="PMingLiU" w:hAnsi="Calibri"/>
          <w:sz w:val="22"/>
          <w:szCs w:val="22"/>
          <w:lang w:eastAsia="zh-TW"/>
        </w:rPr>
        <w:t xml:space="preserve">[1] </w:t>
      </w:r>
      <w:r w:rsidR="00767DCB">
        <w:rPr>
          <w:rFonts w:ascii="Calibri" w:eastAsia="PMingLiU" w:hAnsi="Calibri"/>
          <w:sz w:val="22"/>
          <w:szCs w:val="22"/>
          <w:lang w:eastAsia="zh-TW"/>
        </w:rPr>
        <w:t>TR 23.700-13 (v0.3.0)</w:t>
      </w:r>
    </w:p>
    <w:bookmarkEnd w:id="2"/>
    <w:bookmarkEnd w:id="3"/>
    <w:bookmarkEnd w:id="4"/>
    <w:bookmarkEnd w:id="5"/>
    <w:bookmarkEnd w:id="6"/>
    <w:bookmarkEnd w:id="7"/>
    <w:p w14:paraId="79A92772" w14:textId="07830476" w:rsidR="00455B3B" w:rsidRDefault="00901CA0" w:rsidP="006624D2">
      <w:pPr>
        <w:spacing w:after="240"/>
        <w:rPr>
          <w:rFonts w:ascii="Calibri" w:eastAsia="PMingLiU" w:hAnsi="Calibri"/>
          <w:sz w:val="22"/>
          <w:szCs w:val="22"/>
          <w:lang w:eastAsia="zh-TW"/>
        </w:rPr>
      </w:pPr>
      <w:r>
        <w:rPr>
          <w:rFonts w:ascii="Calibri" w:eastAsia="PMingLiU" w:hAnsi="Calibri"/>
          <w:sz w:val="22"/>
          <w:szCs w:val="22"/>
          <w:lang w:eastAsia="zh-TW"/>
        </w:rPr>
        <w:t>[2] R2-24</w:t>
      </w:r>
      <w:r w:rsidR="00BF3A1E">
        <w:rPr>
          <w:rFonts w:ascii="Calibri" w:eastAsia="PMingLiU" w:hAnsi="Calibri"/>
          <w:sz w:val="22"/>
          <w:szCs w:val="22"/>
          <w:lang w:eastAsia="zh-TW"/>
        </w:rPr>
        <w:t>04507</w:t>
      </w:r>
      <w:r>
        <w:rPr>
          <w:rFonts w:ascii="Calibri" w:eastAsia="PMingLiU" w:hAnsi="Calibri"/>
          <w:sz w:val="22"/>
          <w:szCs w:val="22"/>
          <w:lang w:eastAsia="zh-TW"/>
        </w:rPr>
        <w:t>, “Control and user plane modelling for ambient IoT interface”, MediaTek Inc., RAN2#126</w:t>
      </w:r>
    </w:p>
    <w:p w14:paraId="141130C1" w14:textId="77777777" w:rsidR="00901CA0" w:rsidRDefault="00901CA0" w:rsidP="006624D2">
      <w:pPr>
        <w:spacing w:after="240"/>
        <w:rPr>
          <w:rFonts w:ascii="Calibri" w:eastAsia="PMingLiU" w:hAnsi="Calibri"/>
          <w:sz w:val="22"/>
          <w:szCs w:val="22"/>
          <w:lang w:eastAsia="zh-TW"/>
        </w:rPr>
      </w:pPr>
    </w:p>
    <w:sectPr w:rsidR="00901CA0"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355772" w14:textId="77777777" w:rsidR="00F452F2" w:rsidRDefault="00F452F2">
      <w:pPr>
        <w:spacing w:after="0"/>
      </w:pPr>
      <w:r>
        <w:separator/>
      </w:r>
    </w:p>
  </w:endnote>
  <w:endnote w:type="continuationSeparator" w:id="0">
    <w:p w14:paraId="17245C65" w14:textId="77777777" w:rsidR="00F452F2" w:rsidRDefault="00F452F2">
      <w:pPr>
        <w:spacing w:after="0"/>
      </w:pPr>
      <w:r>
        <w:continuationSeparator/>
      </w:r>
    </w:p>
  </w:endnote>
  <w:endnote w:type="continuationNotice" w:id="1">
    <w:p w14:paraId="3DB9D9CD" w14:textId="77777777" w:rsidR="00F452F2" w:rsidRDefault="00F452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72838" w14:textId="77777777" w:rsidR="00F452F2" w:rsidRDefault="00F452F2">
      <w:pPr>
        <w:spacing w:after="0"/>
      </w:pPr>
      <w:r>
        <w:separator/>
      </w:r>
    </w:p>
  </w:footnote>
  <w:footnote w:type="continuationSeparator" w:id="0">
    <w:p w14:paraId="7E1703D1" w14:textId="77777777" w:rsidR="00F452F2" w:rsidRDefault="00F452F2">
      <w:pPr>
        <w:spacing w:after="0"/>
      </w:pPr>
      <w:r>
        <w:continuationSeparator/>
      </w:r>
    </w:p>
  </w:footnote>
  <w:footnote w:type="continuationNotice" w:id="1">
    <w:p w14:paraId="46A5FF7F" w14:textId="77777777" w:rsidR="00F452F2" w:rsidRDefault="00F452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7"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1"/>
  </w:num>
  <w:num w:numId="3" w16cid:durableId="405494934">
    <w:abstractNumId w:val="28"/>
  </w:num>
  <w:num w:numId="4" w16cid:durableId="2098673955">
    <w:abstractNumId w:val="23"/>
  </w:num>
  <w:num w:numId="5" w16cid:durableId="1659725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29"/>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4"/>
  </w:num>
  <w:num w:numId="18" w16cid:durableId="671496083">
    <w:abstractNumId w:val="8"/>
  </w:num>
  <w:num w:numId="19" w16cid:durableId="91249721">
    <w:abstractNumId w:val="10"/>
  </w:num>
  <w:num w:numId="20" w16cid:durableId="265970387">
    <w:abstractNumId w:val="18"/>
  </w:num>
  <w:num w:numId="21" w16cid:durableId="1685325897">
    <w:abstractNumId w:val="20"/>
  </w:num>
  <w:num w:numId="22" w16cid:durableId="1616326705">
    <w:abstractNumId w:val="12"/>
  </w:num>
  <w:num w:numId="23" w16cid:durableId="2003845842">
    <w:abstractNumId w:val="15"/>
  </w:num>
  <w:num w:numId="24" w16cid:durableId="1758012337">
    <w:abstractNumId w:val="22"/>
  </w:num>
  <w:num w:numId="25" w16cid:durableId="61604864">
    <w:abstractNumId w:val="11"/>
  </w:num>
  <w:num w:numId="26" w16cid:durableId="1783725289">
    <w:abstractNumId w:val="27"/>
  </w:num>
  <w:num w:numId="27" w16cid:durableId="943154110">
    <w:abstractNumId w:val="19"/>
  </w:num>
  <w:num w:numId="28" w16cid:durableId="590508564">
    <w:abstractNumId w:val="31"/>
  </w:num>
  <w:num w:numId="29" w16cid:durableId="1333996154">
    <w:abstractNumId w:val="25"/>
  </w:num>
  <w:num w:numId="30" w16cid:durableId="1597665557">
    <w:abstractNumId w:val="13"/>
  </w:num>
  <w:num w:numId="31" w16cid:durableId="1206019505">
    <w:abstractNumId w:val="16"/>
  </w:num>
  <w:num w:numId="32" w16cid:durableId="68579267">
    <w:abstractNumId w:val="17"/>
  </w:num>
  <w:num w:numId="33" w16cid:durableId="871917870">
    <w:abstractNumId w:val="26"/>
  </w:num>
  <w:num w:numId="34" w16cid:durableId="1347367270">
    <w:abstractNumId w:val="9"/>
  </w:num>
  <w:num w:numId="35" w16cid:durableId="1509325865">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282"/>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473"/>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B75"/>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4B1"/>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52"/>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67DCB"/>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7A6"/>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770F"/>
    <w:rsid w:val="00900240"/>
    <w:rsid w:val="009003D9"/>
    <w:rsid w:val="00900B88"/>
    <w:rsid w:val="00900BFC"/>
    <w:rsid w:val="00900ED7"/>
    <w:rsid w:val="00900F82"/>
    <w:rsid w:val="009017EE"/>
    <w:rsid w:val="00901896"/>
    <w:rsid w:val="00901CA0"/>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C6A"/>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1E"/>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4B0"/>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2F2"/>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D44"/>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5DDA"/>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4727208">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347127">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726772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827</Words>
  <Characters>4718</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2024-05-10T02:37:00Z</dcterms:created>
  <dcterms:modified xsi:type="dcterms:W3CDTF">2024-05-10T02:37:00Z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