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61A24EAC"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6435DE">
        <w:rPr>
          <w:rFonts w:ascii="Arial" w:eastAsia="MS Mincho" w:hAnsi="Arial"/>
          <w:b/>
          <w:sz w:val="24"/>
          <w:szCs w:val="24"/>
          <w:lang w:eastAsia="x-none"/>
        </w:rPr>
        <w:t>6</w:t>
      </w:r>
      <w:r w:rsidR="00733538">
        <w:rPr>
          <w:rFonts w:ascii="Arial" w:eastAsia="MS Mincho" w:hAnsi="Arial"/>
          <w:b/>
          <w:sz w:val="24"/>
          <w:szCs w:val="24"/>
          <w:lang w:eastAsia="x-none"/>
        </w:rPr>
        <w:tab/>
        <w:t>R2-2</w:t>
      </w:r>
      <w:r w:rsidR="00F92893">
        <w:rPr>
          <w:rFonts w:ascii="Arial" w:eastAsia="MS Mincho" w:hAnsi="Arial"/>
          <w:b/>
          <w:sz w:val="24"/>
          <w:szCs w:val="24"/>
          <w:lang w:eastAsia="x-none"/>
        </w:rPr>
        <w:t>4</w:t>
      </w:r>
      <w:r w:rsidR="00856B2C">
        <w:rPr>
          <w:rFonts w:ascii="Arial" w:eastAsia="MS Mincho" w:hAnsi="Arial"/>
          <w:b/>
          <w:sz w:val="24"/>
          <w:szCs w:val="24"/>
          <w:lang w:eastAsia="x-none"/>
        </w:rPr>
        <w:t>04500</w:t>
      </w:r>
    </w:p>
    <w:p w14:paraId="7791F180" w14:textId="32A36488" w:rsidR="00A32E79" w:rsidRPr="00A32E79" w:rsidRDefault="006435DE"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Fukuoka</w:t>
      </w:r>
      <w:r w:rsidR="00570984">
        <w:rPr>
          <w:rFonts w:ascii="Arial" w:eastAsia="MS Mincho" w:hAnsi="Arial"/>
          <w:b/>
          <w:sz w:val="24"/>
          <w:szCs w:val="24"/>
          <w:lang w:eastAsia="x-none"/>
        </w:rPr>
        <w:t xml:space="preserve">, </w:t>
      </w:r>
      <w:r>
        <w:rPr>
          <w:rFonts w:ascii="Arial" w:eastAsia="MS Mincho" w:hAnsi="Arial"/>
          <w:b/>
          <w:sz w:val="24"/>
          <w:szCs w:val="24"/>
          <w:lang w:eastAsia="x-none"/>
        </w:rPr>
        <w:t>Japan</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20</w:t>
      </w:r>
      <w:r w:rsidR="00F84150">
        <w:rPr>
          <w:rFonts w:ascii="Arial" w:eastAsia="MS Mincho" w:hAnsi="Arial"/>
          <w:b/>
          <w:sz w:val="24"/>
          <w:szCs w:val="24"/>
          <w:lang w:eastAsia="x-none"/>
        </w:rPr>
        <w:t>-</w:t>
      </w:r>
      <w:r>
        <w:rPr>
          <w:rFonts w:ascii="Arial" w:eastAsia="MS Mincho" w:hAnsi="Arial"/>
          <w:b/>
          <w:sz w:val="24"/>
          <w:szCs w:val="24"/>
          <w:lang w:eastAsia="x-none"/>
        </w:rPr>
        <w:t>24</w:t>
      </w:r>
      <w:r w:rsidR="00F92893">
        <w:rPr>
          <w:rFonts w:ascii="Arial" w:eastAsia="MS Mincho" w:hAnsi="Arial"/>
          <w:b/>
          <w:sz w:val="24"/>
          <w:szCs w:val="24"/>
          <w:lang w:eastAsia="x-none"/>
        </w:rPr>
        <w:t xml:space="preserve"> </w:t>
      </w:r>
      <w:r>
        <w:rPr>
          <w:rFonts w:ascii="Arial" w:eastAsia="MS Mincho" w:hAnsi="Arial"/>
          <w:b/>
          <w:sz w:val="24"/>
          <w:szCs w:val="24"/>
          <w:lang w:eastAsia="x-none"/>
        </w:rPr>
        <w:t>May</w:t>
      </w:r>
      <w:r w:rsidR="00733538">
        <w:rPr>
          <w:rFonts w:ascii="Arial" w:eastAsia="MS Mincho" w:hAnsi="Arial"/>
          <w:b/>
          <w:sz w:val="24"/>
          <w:szCs w:val="24"/>
          <w:lang w:eastAsia="x-none"/>
        </w:rPr>
        <w:t xml:space="preserve"> 202</w:t>
      </w:r>
      <w:r w:rsidR="00F92893">
        <w:rPr>
          <w:rFonts w:ascii="Arial" w:eastAsia="MS Mincho" w:hAnsi="Arial"/>
          <w:b/>
          <w:sz w:val="24"/>
          <w:szCs w:val="24"/>
          <w:lang w:eastAsia="x-none"/>
        </w:rPr>
        <w:t>4</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22F138BF"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00591">
        <w:rPr>
          <w:rFonts w:ascii="Arial" w:eastAsia="PMingLiU" w:hAnsi="Arial" w:cs="Arial"/>
          <w:b/>
          <w:sz w:val="24"/>
          <w:szCs w:val="24"/>
          <w:lang w:eastAsia="zh-CN"/>
        </w:rPr>
        <w:t>8.2.4</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5CE3760A"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FB2006">
        <w:rPr>
          <w:rFonts w:ascii="Arial" w:eastAsia="PMingLiU" w:hAnsi="Arial" w:cs="Arial"/>
          <w:b/>
          <w:sz w:val="24"/>
          <w:szCs w:val="24"/>
          <w:lang w:eastAsia="zh-CN"/>
        </w:rPr>
        <w:t>A</w:t>
      </w:r>
      <w:r w:rsidR="00954B71">
        <w:rPr>
          <w:rFonts w:ascii="Arial" w:eastAsia="PMingLiU" w:hAnsi="Arial" w:cs="Arial"/>
          <w:b/>
          <w:sz w:val="24"/>
          <w:szCs w:val="24"/>
          <w:lang w:eastAsia="zh-CN"/>
        </w:rPr>
        <w:t>mbient IoT</w:t>
      </w:r>
      <w:r w:rsidR="006435DE">
        <w:rPr>
          <w:rFonts w:ascii="Arial" w:eastAsia="PMingLiU" w:hAnsi="Arial" w:cs="Arial"/>
          <w:b/>
          <w:sz w:val="24"/>
          <w:szCs w:val="24"/>
          <w:lang w:eastAsia="zh-CN"/>
        </w:rPr>
        <w:t xml:space="preserve"> </w:t>
      </w:r>
      <w:r w:rsidR="006450B9">
        <w:rPr>
          <w:rFonts w:ascii="Arial" w:eastAsia="PMingLiU" w:hAnsi="Arial" w:cs="Arial"/>
          <w:b/>
          <w:sz w:val="24"/>
          <w:szCs w:val="24"/>
          <w:lang w:eastAsia="zh-CN"/>
        </w:rPr>
        <w:t>identifiers</w:t>
      </w:r>
      <w:r w:rsidR="00FB2006">
        <w:rPr>
          <w:rFonts w:ascii="Arial" w:eastAsia="PMingLiU" w:hAnsi="Arial" w:cs="Arial"/>
          <w:b/>
          <w:sz w:val="24"/>
          <w:szCs w:val="24"/>
          <w:lang w:eastAsia="zh-CN"/>
        </w:rPr>
        <w:t xml:space="preserve"> and “paging” procedure</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112D124F"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700591">
        <w:rPr>
          <w:rFonts w:ascii="Calibri" w:eastAsia="PMingLiU" w:hAnsi="Calibri"/>
          <w:sz w:val="22"/>
          <w:szCs w:val="22"/>
          <w:lang w:eastAsia="zh-TW"/>
        </w:rPr>
        <w:t xml:space="preserve">discusses the use of identifiers in the </w:t>
      </w:r>
      <w:proofErr w:type="spellStart"/>
      <w:r w:rsidR="00700591">
        <w:rPr>
          <w:rFonts w:ascii="Calibri" w:eastAsia="PMingLiU" w:hAnsi="Calibri"/>
          <w:sz w:val="22"/>
          <w:szCs w:val="22"/>
          <w:lang w:eastAsia="zh-TW"/>
        </w:rPr>
        <w:t>AIoT</w:t>
      </w:r>
      <w:proofErr w:type="spellEnd"/>
      <w:r w:rsidR="00700591">
        <w:rPr>
          <w:rFonts w:ascii="Calibri" w:eastAsia="PMingLiU" w:hAnsi="Calibri"/>
          <w:sz w:val="22"/>
          <w:szCs w:val="22"/>
          <w:lang w:eastAsia="zh-TW"/>
        </w:rPr>
        <w:t xml:space="preserve"> access stratum and their relation to the “paging” procedure</w:t>
      </w:r>
      <w:r w:rsidR="0089612D">
        <w:rPr>
          <w:rFonts w:ascii="Calibri" w:eastAsia="PMingLiU" w:hAnsi="Calibri"/>
          <w:sz w:val="22"/>
          <w:szCs w:val="22"/>
          <w:lang w:eastAsia="zh-TW"/>
        </w:rPr>
        <w:t>.</w:t>
      </w:r>
      <w:r w:rsidR="00700591">
        <w:rPr>
          <w:rFonts w:ascii="Calibri" w:eastAsia="PMingLiU" w:hAnsi="Calibri"/>
          <w:sz w:val="22"/>
          <w:szCs w:val="22"/>
          <w:lang w:eastAsia="zh-TW"/>
        </w:rPr>
        <w:t xml:space="preserve">  It should be noted that there is also some relevance to the access procedure, but we consider these aspects to be motivated more by the paging functionality (e.g., proposal 3 affects the access procedure, but the rationale is to support subsequent paging by an already assigned identifier).</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592B18FA"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CC1069">
        <w:rPr>
          <w:rFonts w:eastAsia="PMingLiU"/>
          <w:lang w:eastAsia="zh-TW"/>
        </w:rPr>
        <w:t>Identifiers</w:t>
      </w:r>
    </w:p>
    <w:p w14:paraId="63609586" w14:textId="515425A8" w:rsidR="008D2107" w:rsidRDefault="00CC1069"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From first principles and in line with SA2 discussion, we understand that an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device will have at least a “permanent” upper-layer ID.  (It is not in RAN2 scope whether this ID is truly permanent or merely very-long-term, but it should be globally unique for the device and might be thought of as analogous to an IMSI.)  It seems clear that such a globally unique ID will be impractical to use frequently over the air, so within RAN2 scope, there should be a short ID for addressing the device over the air from the reader, loosely analogous to a C-RNTI.  There may also be an “intermediate” identifier known to the controller, which might be compared to an S-TMSI—a locally unique value in a relatively large scope, decoupled from the “permanent” ID, and assumed to change infrequently.</w:t>
      </w:r>
    </w:p>
    <w:p w14:paraId="35F62D23" w14:textId="235BFCD1" w:rsidR="00CC1069" w:rsidRDefault="00CC1069"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For the RNTI-like value used between the reader and the device</w:t>
      </w:r>
      <w:r w:rsidR="00704470">
        <w:rPr>
          <w:rFonts w:ascii="Calibri" w:eastAsia="PMingLiU" w:hAnsi="Calibri"/>
          <w:sz w:val="22"/>
          <w:szCs w:val="22"/>
          <w:lang w:eastAsia="zh-TW"/>
        </w:rPr>
        <w:t xml:space="preserve"> (referred to here as an “AS identifier”)</w:t>
      </w:r>
      <w:r>
        <w:rPr>
          <w:rFonts w:ascii="Calibri" w:eastAsia="PMingLiU" w:hAnsi="Calibri"/>
          <w:sz w:val="22"/>
          <w:szCs w:val="22"/>
          <w:lang w:eastAsia="zh-TW"/>
        </w:rPr>
        <w:t xml:space="preserve">, the RFID-adjacent solution would be to use a random value selected at access time; the device selects a random value and uses that as its ID for the duration of its interaction with the reader.  Alternatively, the reader could assign a value, much as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assigns a C-RNTI on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w:t>
      </w:r>
    </w:p>
    <w:p w14:paraId="4F3023DD" w14:textId="0179E40A" w:rsidR="00CC1069" w:rsidRDefault="00CC1069"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RAN2 will </w:t>
      </w:r>
      <w:proofErr w:type="spellStart"/>
      <w:r>
        <w:rPr>
          <w:rFonts w:ascii="Calibri" w:eastAsia="PMingLiU" w:hAnsi="Calibri"/>
          <w:sz w:val="22"/>
          <w:szCs w:val="22"/>
          <w:lang w:eastAsia="zh-TW"/>
        </w:rPr>
        <w:t>downselect</w:t>
      </w:r>
      <w:proofErr w:type="spellEnd"/>
      <w:r>
        <w:rPr>
          <w:rFonts w:ascii="Calibri" w:eastAsia="PMingLiU" w:hAnsi="Calibri"/>
          <w:sz w:val="22"/>
          <w:szCs w:val="22"/>
          <w:lang w:eastAsia="zh-TW"/>
        </w:rPr>
        <w:t xml:space="preserve"> between two solutions for the</w:t>
      </w:r>
      <w:r w:rsidR="00704470">
        <w:rPr>
          <w:rFonts w:ascii="Calibri" w:eastAsia="PMingLiU" w:hAnsi="Calibri"/>
          <w:sz w:val="22"/>
          <w:szCs w:val="22"/>
          <w:lang w:eastAsia="zh-TW"/>
        </w:rPr>
        <w:t xml:space="preserve"> “AS</w:t>
      </w:r>
      <w:r>
        <w:rPr>
          <w:rFonts w:ascii="Calibri" w:eastAsia="PMingLiU" w:hAnsi="Calibri"/>
          <w:sz w:val="22"/>
          <w:szCs w:val="22"/>
          <w:lang w:eastAsia="zh-TW"/>
        </w:rPr>
        <w:t xml:space="preserve"> identifier</w:t>
      </w:r>
      <w:r w:rsidR="00704470">
        <w:rPr>
          <w:rFonts w:ascii="Calibri" w:eastAsia="PMingLiU" w:hAnsi="Calibri"/>
          <w:sz w:val="22"/>
          <w:szCs w:val="22"/>
          <w:lang w:eastAsia="zh-TW"/>
        </w:rPr>
        <w:t>”</w:t>
      </w:r>
      <w:r>
        <w:rPr>
          <w:rFonts w:ascii="Calibri" w:eastAsia="PMingLiU" w:hAnsi="Calibri"/>
          <w:sz w:val="22"/>
          <w:szCs w:val="22"/>
          <w:lang w:eastAsia="zh-TW"/>
        </w:rPr>
        <w:t xml:space="preserve"> used between the reader and the device: (1) random value selected by the device, (2) locally unique value assigned by the reader.</w:t>
      </w:r>
    </w:p>
    <w:p w14:paraId="1502C951" w14:textId="3673CD5B" w:rsidR="00CC1069" w:rsidRDefault="0070447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case of a relatively large amount of data to transfer (several reader/device transactions), it would be obviously desirable to avoid repeating the access procedure for every chunk of data.  This observation suggests that the reader may use the same ID towards the device for some time, based on a single access procedure and extending over a period that cannot be easily foreseen.  (The period depends on the sync requirements for communication and whether the access procedure is used to restore sync between the reader and the device, for instance.)</w:t>
      </w:r>
    </w:p>
    <w:p w14:paraId="35CECF0D" w14:textId="4D79972D" w:rsidR="00704470" w:rsidRDefault="0070447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RAN2 assume that the AS identifier may be used for multiple data transactions (read/write operations) between the reader and the device.  FFS how long the same identifier might be in use.</w:t>
      </w:r>
    </w:p>
    <w:p w14:paraId="1C4A4363" w14:textId="34ECD85A" w:rsidR="00704470" w:rsidRDefault="008109F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With solution 1 (persistent random value), there is some risk of another device selecting the same random ID</w:t>
      </w:r>
      <w:r w:rsidR="001A6F94">
        <w:rPr>
          <w:rFonts w:ascii="Calibri" w:eastAsia="PMingLiU" w:hAnsi="Calibri"/>
          <w:sz w:val="22"/>
          <w:szCs w:val="22"/>
          <w:lang w:eastAsia="zh-TW"/>
        </w:rPr>
        <w:t xml:space="preserve"> during the access procedure.  If this occurs, the reader will somehow reject the access attempt (e.g., by not responding, or sending an explicit rejection), and the second device will need to retry; this does not break the system, but it delays access and consumes power for the second device.  The probability of such a collision is affected by the device population and the length of the ID, but also by the length of the data transfer period with the first device, making it somewhat hard to predict the risk.</w:t>
      </w:r>
    </w:p>
    <w:p w14:paraId="6D2C37B7" w14:textId="68C2D483" w:rsidR="001A6F94" w:rsidRDefault="001A6F9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Solution 2 avoids the risk by having an explicit assignment of an ID for every device</w:t>
      </w:r>
      <w:r w:rsidR="000218ED">
        <w:rPr>
          <w:rFonts w:ascii="Calibri" w:eastAsia="PMingLiU" w:hAnsi="Calibri"/>
          <w:sz w:val="22"/>
          <w:szCs w:val="22"/>
          <w:lang w:eastAsia="zh-TW"/>
        </w:rPr>
        <w:t xml:space="preserve">.  The access procedure might still use a random ID initially, but as with the C-RNTI on </w:t>
      </w:r>
      <w:proofErr w:type="spellStart"/>
      <w:r w:rsidR="000218ED">
        <w:rPr>
          <w:rFonts w:ascii="Calibri" w:eastAsia="PMingLiU" w:hAnsi="Calibri"/>
          <w:sz w:val="22"/>
          <w:szCs w:val="22"/>
          <w:lang w:eastAsia="zh-TW"/>
        </w:rPr>
        <w:t>Uu</w:t>
      </w:r>
      <w:proofErr w:type="spellEnd"/>
      <w:r w:rsidR="000218ED">
        <w:rPr>
          <w:rFonts w:ascii="Calibri" w:eastAsia="PMingLiU" w:hAnsi="Calibri"/>
          <w:sz w:val="22"/>
          <w:szCs w:val="22"/>
          <w:lang w:eastAsia="zh-TW"/>
        </w:rPr>
        <w:t>, the random ID could persist only through the initial exchange of messages, and the same value would be available afterwards for use by other devices.  We thus see some advantage to assigning a stable AS identifier, which we call “S-RNTI” (“S” for “short”) in this paper, although “RNTI” is something of a misnomer since the reader is not precisely a radio network.</w:t>
      </w:r>
    </w:p>
    <w:p w14:paraId="102EDC85" w14:textId="45296407" w:rsidR="000218ED" w:rsidRDefault="000218E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The reader assigns a stable S-RNTI as an AS identifier during the access procedure.</w:t>
      </w:r>
    </w:p>
    <w:p w14:paraId="30E31C49" w14:textId="0EECFEF0" w:rsidR="0016311F" w:rsidRDefault="0016311F"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level of persistence of an S-RNTI, and the feasibility of scoping it to more than one reader, can be further discussed.  From efficiency and security perspectives, it seems advantageous to use the S-RNTI over the air for as long a period and over as wide a scope as possible, to avoid transmitting a longer and more permanent identity on the air, as well as </w:t>
      </w:r>
      <w:proofErr w:type="spellStart"/>
      <w:r>
        <w:rPr>
          <w:rFonts w:ascii="Calibri" w:eastAsia="PMingLiU" w:hAnsi="Calibri"/>
          <w:sz w:val="22"/>
          <w:szCs w:val="22"/>
          <w:lang w:eastAsia="zh-TW"/>
        </w:rPr>
        <w:t>miminising</w:t>
      </w:r>
      <w:proofErr w:type="spellEnd"/>
      <w:r>
        <w:rPr>
          <w:rFonts w:ascii="Calibri" w:eastAsia="PMingLiU" w:hAnsi="Calibri"/>
          <w:sz w:val="22"/>
          <w:szCs w:val="22"/>
          <w:lang w:eastAsia="zh-TW"/>
        </w:rPr>
        <w:t xml:space="preserve"> the risk of collisions between random identities.</w:t>
      </w:r>
    </w:p>
    <w:p w14:paraId="68F6C0EA" w14:textId="27AF9C69" w:rsidR="0016311F" w:rsidRPr="0016311F" w:rsidRDefault="0016311F"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Further discuss the persistence and scope of the S-RNTI.</w:t>
      </w:r>
    </w:p>
    <w:p w14:paraId="71AD20E1" w14:textId="34819002" w:rsidR="00791E03" w:rsidRDefault="00791E03" w:rsidP="00791E03">
      <w:pPr>
        <w:pStyle w:val="Heading2"/>
        <w:rPr>
          <w:rFonts w:eastAsia="PMingLiU"/>
          <w:lang w:eastAsia="zh-TW"/>
        </w:rPr>
      </w:pPr>
      <w:r>
        <w:rPr>
          <w:rFonts w:eastAsia="PMingLiU"/>
          <w:lang w:eastAsia="zh-TW"/>
        </w:rPr>
        <w:t>2.2</w:t>
      </w:r>
      <w:r>
        <w:rPr>
          <w:rFonts w:eastAsia="PMingLiU"/>
          <w:lang w:eastAsia="zh-TW"/>
        </w:rPr>
        <w:tab/>
        <w:t>Paging/enquiry procedure</w:t>
      </w:r>
    </w:p>
    <w:p w14:paraId="51D5FA7C" w14:textId="391CFA18" w:rsidR="00791E03" w:rsidRDefault="00791E03"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process of bringing a device into contact with the reader has been described as a form of paging, although this name may suggest a connection with mobility that is not aligned with the WID.  It could perhaps be better described as an “enquiry” procedure, with the semantics “Are you there?” (or “Who is there?” in group/broadcast cases).</w:t>
      </w:r>
    </w:p>
    <w:p w14:paraId="2168A9FF" w14:textId="2B5C4F3E" w:rsidR="00791E03" w:rsidRDefault="00791E03"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Irrespective of the name, the procedure is conceptually straightforward: The reader sends an initial message to one or more devices, with an identifier in the initial message indicating which device(s) are addressed</w:t>
      </w:r>
      <w:r w:rsidR="00225D2C">
        <w:rPr>
          <w:rFonts w:ascii="Calibri" w:eastAsia="PMingLiU" w:hAnsi="Calibri"/>
          <w:sz w:val="22"/>
          <w:szCs w:val="22"/>
          <w:lang w:eastAsia="zh-TW"/>
        </w:rPr>
        <w:t xml:space="preserve">.  It is clearly necessary to identify the recipient device(s) by upper-layer ID in </w:t>
      </w:r>
      <w:r w:rsidR="0024241D">
        <w:rPr>
          <w:rFonts w:ascii="Calibri" w:eastAsia="PMingLiU" w:hAnsi="Calibri"/>
          <w:sz w:val="22"/>
          <w:szCs w:val="22"/>
          <w:lang w:eastAsia="zh-TW"/>
        </w:rPr>
        <w:t>some</w:t>
      </w:r>
      <w:r w:rsidR="00225D2C">
        <w:rPr>
          <w:rFonts w:ascii="Calibri" w:eastAsia="PMingLiU" w:hAnsi="Calibri"/>
          <w:sz w:val="22"/>
          <w:szCs w:val="22"/>
          <w:lang w:eastAsia="zh-TW"/>
        </w:rPr>
        <w:t xml:space="preserve"> cases (it is not in RAN2 scope whether this means the IMSI-like “permanent” ID or an S-TMSI-like “NAS” ID</w:t>
      </w:r>
      <w:r w:rsidR="00024F56">
        <w:rPr>
          <w:rFonts w:ascii="Calibri" w:eastAsia="PMingLiU" w:hAnsi="Calibri"/>
          <w:sz w:val="22"/>
          <w:szCs w:val="22"/>
          <w:lang w:eastAsia="zh-TW"/>
        </w:rPr>
        <w:t xml:space="preserve"> for the case of addressing a single device</w:t>
      </w:r>
      <w:r w:rsidR="00225D2C">
        <w:rPr>
          <w:rFonts w:ascii="Calibri" w:eastAsia="PMingLiU" w:hAnsi="Calibri"/>
          <w:sz w:val="22"/>
          <w:szCs w:val="22"/>
          <w:lang w:eastAsia="zh-TW"/>
        </w:rPr>
        <w:t>)</w:t>
      </w:r>
      <w:r w:rsidR="00024F56">
        <w:rPr>
          <w:rFonts w:ascii="Calibri" w:eastAsia="PMingLiU" w:hAnsi="Calibri"/>
          <w:sz w:val="22"/>
          <w:szCs w:val="22"/>
          <w:lang w:eastAsia="zh-TW"/>
        </w:rPr>
        <w:t>, but it may also be useful in light of proposal 3 to be able to address a device by an already assigned S-RNTI</w:t>
      </w:r>
      <w:r w:rsidR="00C848EB">
        <w:rPr>
          <w:rFonts w:ascii="Calibri" w:eastAsia="PMingLiU" w:hAnsi="Calibri"/>
          <w:sz w:val="22"/>
          <w:szCs w:val="22"/>
          <w:lang w:eastAsia="zh-TW"/>
        </w:rPr>
        <w:t>.</w:t>
      </w:r>
    </w:p>
    <w:p w14:paraId="5D118A8D" w14:textId="657E1531" w:rsidR="00C848EB" w:rsidRDefault="00C848E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16311F">
        <w:rPr>
          <w:rFonts w:ascii="Calibri" w:eastAsia="PMingLiU" w:hAnsi="Calibri"/>
          <w:b/>
          <w:bCs/>
          <w:sz w:val="22"/>
          <w:szCs w:val="22"/>
          <w:lang w:eastAsia="zh-TW"/>
        </w:rPr>
        <w:t>5</w:t>
      </w:r>
      <w:r>
        <w:rPr>
          <w:rFonts w:ascii="Calibri" w:eastAsia="PMingLiU" w:hAnsi="Calibri"/>
          <w:b/>
          <w:bCs/>
          <w:sz w:val="22"/>
          <w:szCs w:val="22"/>
          <w:lang w:eastAsia="zh-TW"/>
        </w:rPr>
        <w:t>:</w:t>
      </w:r>
      <w:r>
        <w:rPr>
          <w:rFonts w:ascii="Calibri" w:eastAsia="PMingLiU" w:hAnsi="Calibri"/>
          <w:sz w:val="22"/>
          <w:szCs w:val="22"/>
          <w:lang w:eastAsia="zh-TW"/>
        </w:rPr>
        <w:t xml:space="preserve"> The initial enquiry message can address an individual device by at least an upper-layer ID (details to be determined by SA2) or a previously assigned S-RNTI.</w:t>
      </w:r>
    </w:p>
    <w:p w14:paraId="0B3D564D" w14:textId="5093D7D6" w:rsidR="00C848EB" w:rsidRDefault="00C848E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was suggested in RAN2#125bis that the message can</w:t>
      </w:r>
      <w:r w:rsidR="00596F2C">
        <w:rPr>
          <w:rFonts w:ascii="Calibri" w:eastAsia="PMingLiU" w:hAnsi="Calibri"/>
          <w:sz w:val="22"/>
          <w:szCs w:val="22"/>
          <w:lang w:eastAsia="zh-TW"/>
        </w:rPr>
        <w:t xml:space="preserve"> also</w:t>
      </w:r>
      <w:r>
        <w:rPr>
          <w:rFonts w:ascii="Calibri" w:eastAsia="PMingLiU" w:hAnsi="Calibri"/>
          <w:sz w:val="22"/>
          <w:szCs w:val="22"/>
          <w:lang w:eastAsia="zh-TW"/>
        </w:rPr>
        <w:t xml:space="preserve"> include some form of group ID, with the details to be determined by SA2</w:t>
      </w:r>
      <w:r w:rsidR="004750E3">
        <w:rPr>
          <w:rFonts w:ascii="Calibri" w:eastAsia="PMingLiU" w:hAnsi="Calibri"/>
          <w:sz w:val="22"/>
          <w:szCs w:val="22"/>
          <w:lang w:eastAsia="zh-TW"/>
        </w:rPr>
        <w:t xml:space="preserve"> ([1])</w:t>
      </w:r>
      <w:r>
        <w:rPr>
          <w:rFonts w:ascii="Calibri" w:eastAsia="PMingLiU" w:hAnsi="Calibri"/>
          <w:sz w:val="22"/>
          <w:szCs w:val="22"/>
          <w:lang w:eastAsia="zh-TW"/>
        </w:rPr>
        <w:t xml:space="preserve">.  We foresee that this facility might be used to address multiple specific devices previously assigned to a group or all devices of a class (e.g., all the forklifts in a </w:t>
      </w:r>
      <w:r w:rsidR="00596F2C">
        <w:rPr>
          <w:rFonts w:ascii="Calibri" w:eastAsia="PMingLiU" w:hAnsi="Calibri"/>
          <w:sz w:val="22"/>
          <w:szCs w:val="22"/>
          <w:lang w:eastAsia="zh-TW"/>
        </w:rPr>
        <w:t>warehouse).  In principle RAN2 should be able to confirm this expectation, subject to SA2 defining a suitable concept of a group ID.</w:t>
      </w:r>
    </w:p>
    <w:p w14:paraId="3FE15AAB" w14:textId="63E430DB" w:rsidR="00596F2C" w:rsidRDefault="00596F2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16311F">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The initial enquiry message </w:t>
      </w:r>
      <w:r w:rsidR="00847A64">
        <w:rPr>
          <w:rFonts w:ascii="Calibri" w:eastAsia="PMingLiU" w:hAnsi="Calibri"/>
          <w:sz w:val="22"/>
          <w:szCs w:val="22"/>
          <w:lang w:eastAsia="zh-TW"/>
        </w:rPr>
        <w:t>can address either a preconfigured group of devices or a class of devices of a specific type.  Details of the identifiers are up to SA2.</w:t>
      </w:r>
    </w:p>
    <w:p w14:paraId="01F2B599" w14:textId="764F2871" w:rsidR="00847A64" w:rsidRDefault="0045028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Finally, it seems necessary to trigger a response from all devices in range (e.g., for a complete census of a device population).  Such a generic enquiry might result in a flood of responses, so it seems useful to have a throttling mechanism, e.g., a response probability.</w:t>
      </w:r>
    </w:p>
    <w:p w14:paraId="1238D4B6" w14:textId="7BF61873" w:rsidR="0045028C" w:rsidRPr="0045028C" w:rsidRDefault="0045028C" w:rsidP="008D2107">
      <w:pPr>
        <w:overflowPunct/>
        <w:autoSpaceDE/>
        <w:autoSpaceDN/>
        <w:adjustRightInd/>
        <w:spacing w:after="240"/>
        <w:textAlignment w:val="auto"/>
        <w:rPr>
          <w:rFonts w:eastAsia="PMingLiU"/>
        </w:rPr>
      </w:pPr>
      <w:r>
        <w:rPr>
          <w:rFonts w:ascii="Calibri" w:eastAsia="PMingLiU" w:hAnsi="Calibri"/>
          <w:b/>
          <w:bCs/>
          <w:sz w:val="22"/>
          <w:szCs w:val="22"/>
          <w:lang w:eastAsia="zh-TW"/>
        </w:rPr>
        <w:lastRenderedPageBreak/>
        <w:t xml:space="preserve">Proposal </w:t>
      </w:r>
      <w:r w:rsidR="0016311F">
        <w:rPr>
          <w:rFonts w:ascii="Calibri" w:eastAsia="PMingLiU" w:hAnsi="Calibri"/>
          <w:b/>
          <w:bCs/>
          <w:sz w:val="22"/>
          <w:szCs w:val="22"/>
          <w:lang w:eastAsia="zh-TW"/>
        </w:rPr>
        <w:t>7</w:t>
      </w:r>
      <w:r>
        <w:rPr>
          <w:rFonts w:ascii="Calibri" w:eastAsia="PMingLiU" w:hAnsi="Calibri"/>
          <w:b/>
          <w:bCs/>
          <w:sz w:val="22"/>
          <w:szCs w:val="22"/>
          <w:lang w:eastAsia="zh-TW"/>
        </w:rPr>
        <w:t>:</w:t>
      </w:r>
      <w:r>
        <w:rPr>
          <w:rFonts w:ascii="Calibri" w:eastAsia="PMingLiU" w:hAnsi="Calibri"/>
          <w:sz w:val="22"/>
          <w:szCs w:val="22"/>
          <w:lang w:eastAsia="zh-TW"/>
        </w:rPr>
        <w:t xml:space="preserve"> The initial enquiry message can address all devices in range, optionally with a response probability to control the number of responding devices.</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46250205" w14:textId="6D23105A" w:rsidR="00415728" w:rsidRDefault="003A10C0"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44C84457" w14:textId="77777777" w:rsidR="00856B2C" w:rsidRDefault="00856B2C" w:rsidP="00856B2C">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RAN2 will </w:t>
      </w:r>
      <w:proofErr w:type="spellStart"/>
      <w:r>
        <w:rPr>
          <w:rFonts w:ascii="Calibri" w:eastAsia="PMingLiU" w:hAnsi="Calibri"/>
          <w:sz w:val="22"/>
          <w:szCs w:val="22"/>
          <w:lang w:eastAsia="zh-TW"/>
        </w:rPr>
        <w:t>downselect</w:t>
      </w:r>
      <w:proofErr w:type="spellEnd"/>
      <w:r>
        <w:rPr>
          <w:rFonts w:ascii="Calibri" w:eastAsia="PMingLiU" w:hAnsi="Calibri"/>
          <w:sz w:val="22"/>
          <w:szCs w:val="22"/>
          <w:lang w:eastAsia="zh-TW"/>
        </w:rPr>
        <w:t xml:space="preserve"> between two solutions for the “AS identifier” used between the reader and the device: (1) random value selected by the device, (2) locally unique value assigned by the reader.</w:t>
      </w:r>
    </w:p>
    <w:p w14:paraId="51F290A0" w14:textId="77777777" w:rsidR="00856B2C" w:rsidRDefault="00856B2C" w:rsidP="00856B2C">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RAN2 assume that the AS identifier may be used for multiple data transactions (read/write operations) between the reader and the device.  FFS how long the same identifier might be in use.</w:t>
      </w:r>
    </w:p>
    <w:p w14:paraId="61A32DDA" w14:textId="77777777" w:rsidR="00856B2C" w:rsidRDefault="00856B2C" w:rsidP="00856B2C">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The reader assigns a stable S-RNTI as an AS identifier during the access procedure.</w:t>
      </w:r>
    </w:p>
    <w:p w14:paraId="4C22FB55" w14:textId="77777777" w:rsidR="00856B2C" w:rsidRDefault="00856B2C" w:rsidP="00856B2C">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Further discuss the persistence and scope of the S-RNTI.</w:t>
      </w:r>
    </w:p>
    <w:p w14:paraId="7510BE5F" w14:textId="77777777" w:rsidR="00856B2C" w:rsidRDefault="00856B2C" w:rsidP="00856B2C">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The initial enquiry message can address an individual device by at least an upper-layer ID (details to be determined by SA2) or a previously assigned S-RNTI.</w:t>
      </w:r>
    </w:p>
    <w:p w14:paraId="1E644231" w14:textId="77777777" w:rsidR="00856B2C" w:rsidRDefault="00856B2C" w:rsidP="00856B2C">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The initial enquiry message can address either a preconfigured group of devices or a class of devices of a specific type.  Details of the identifiers are up to SA2.</w:t>
      </w:r>
    </w:p>
    <w:p w14:paraId="074C1910" w14:textId="77777777" w:rsidR="00856B2C" w:rsidRDefault="00856B2C" w:rsidP="00856B2C">
      <w:pPr>
        <w:overflowPunct/>
        <w:autoSpaceDE/>
        <w:adjustRightInd/>
        <w:spacing w:after="240"/>
        <w:rPr>
          <w:rFonts w:eastAsia="PMingLiU"/>
        </w:rPr>
      </w:pPr>
      <w:r>
        <w:rPr>
          <w:rFonts w:ascii="Calibri" w:eastAsia="PMingLiU" w:hAnsi="Calibri"/>
          <w:b/>
          <w:bCs/>
          <w:sz w:val="22"/>
          <w:szCs w:val="22"/>
          <w:lang w:eastAsia="zh-TW"/>
        </w:rPr>
        <w:t>Proposal 7:</w:t>
      </w:r>
      <w:r>
        <w:rPr>
          <w:rFonts w:ascii="Calibri" w:eastAsia="PMingLiU" w:hAnsi="Calibri"/>
          <w:sz w:val="22"/>
          <w:szCs w:val="22"/>
          <w:lang w:eastAsia="zh-TW"/>
        </w:rPr>
        <w:t xml:space="preserve"> The initial enquiry message can address all devices in range, optionally with a response probability to control the number of responding devices.</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0D2CC04A" w14:textId="2CB38BA1" w:rsidR="006624D2" w:rsidRDefault="006624D2" w:rsidP="006624D2">
      <w:pPr>
        <w:spacing w:after="240"/>
        <w:rPr>
          <w:rFonts w:ascii="Calibri" w:eastAsia="PMingLiU" w:hAnsi="Calibri"/>
          <w:sz w:val="22"/>
          <w:szCs w:val="22"/>
          <w:lang w:eastAsia="zh-TW"/>
        </w:rPr>
      </w:pPr>
      <w:r>
        <w:rPr>
          <w:rFonts w:ascii="Calibri" w:eastAsia="PMingLiU" w:hAnsi="Calibri"/>
          <w:sz w:val="22"/>
          <w:szCs w:val="22"/>
          <w:lang w:eastAsia="zh-TW"/>
        </w:rPr>
        <w:t xml:space="preserve">[1] </w:t>
      </w:r>
      <w:r w:rsidR="004750E3">
        <w:rPr>
          <w:rFonts w:ascii="Calibri" w:eastAsia="PMingLiU" w:hAnsi="Calibri"/>
          <w:sz w:val="22"/>
          <w:szCs w:val="22"/>
          <w:lang w:eastAsia="zh-TW"/>
        </w:rPr>
        <w:t>Chair notes, RAN2#125bis</w:t>
      </w:r>
    </w:p>
    <w:bookmarkEnd w:id="2"/>
    <w:bookmarkEnd w:id="3"/>
    <w:bookmarkEnd w:id="4"/>
    <w:bookmarkEnd w:id="5"/>
    <w:bookmarkEnd w:id="6"/>
    <w:bookmarkEnd w:id="7"/>
    <w:p w14:paraId="79A92772" w14:textId="77777777" w:rsidR="00455B3B" w:rsidRDefault="00455B3B" w:rsidP="006624D2">
      <w:pPr>
        <w:spacing w:after="240"/>
        <w:rPr>
          <w:rFonts w:ascii="Calibri" w:eastAsia="PMingLiU" w:hAnsi="Calibri"/>
          <w:sz w:val="22"/>
          <w:szCs w:val="22"/>
          <w:lang w:eastAsia="zh-TW"/>
        </w:rPr>
      </w:pPr>
    </w:p>
    <w:sectPr w:rsidR="00455B3B"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1A434" w14:textId="77777777" w:rsidR="000076A3" w:rsidRDefault="000076A3">
      <w:pPr>
        <w:spacing w:after="0"/>
      </w:pPr>
      <w:r>
        <w:separator/>
      </w:r>
    </w:p>
  </w:endnote>
  <w:endnote w:type="continuationSeparator" w:id="0">
    <w:p w14:paraId="000E5F5F" w14:textId="77777777" w:rsidR="000076A3" w:rsidRDefault="000076A3">
      <w:pPr>
        <w:spacing w:after="0"/>
      </w:pPr>
      <w:r>
        <w:continuationSeparator/>
      </w:r>
    </w:p>
  </w:endnote>
  <w:endnote w:type="continuationNotice" w:id="1">
    <w:p w14:paraId="7B6E2AC1" w14:textId="77777777" w:rsidR="000076A3" w:rsidRDefault="000076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F8EBFA" w14:textId="77777777" w:rsidR="000076A3" w:rsidRDefault="000076A3">
      <w:pPr>
        <w:spacing w:after="0"/>
      </w:pPr>
      <w:r>
        <w:separator/>
      </w:r>
    </w:p>
  </w:footnote>
  <w:footnote w:type="continuationSeparator" w:id="0">
    <w:p w14:paraId="712EDB3E" w14:textId="77777777" w:rsidR="000076A3" w:rsidRDefault="000076A3">
      <w:pPr>
        <w:spacing w:after="0"/>
      </w:pPr>
      <w:r>
        <w:continuationSeparator/>
      </w:r>
    </w:p>
  </w:footnote>
  <w:footnote w:type="continuationNotice" w:id="1">
    <w:p w14:paraId="172D3A91" w14:textId="77777777" w:rsidR="000076A3" w:rsidRDefault="000076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7"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1"/>
  </w:num>
  <w:num w:numId="3" w16cid:durableId="405494934">
    <w:abstractNumId w:val="28"/>
  </w:num>
  <w:num w:numId="4" w16cid:durableId="2098673955">
    <w:abstractNumId w:val="23"/>
  </w:num>
  <w:num w:numId="5" w16cid:durableId="16597252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29"/>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4"/>
  </w:num>
  <w:num w:numId="18" w16cid:durableId="671496083">
    <w:abstractNumId w:val="8"/>
  </w:num>
  <w:num w:numId="19" w16cid:durableId="91249721">
    <w:abstractNumId w:val="10"/>
  </w:num>
  <w:num w:numId="20" w16cid:durableId="265970387">
    <w:abstractNumId w:val="18"/>
  </w:num>
  <w:num w:numId="21" w16cid:durableId="1685325897">
    <w:abstractNumId w:val="20"/>
  </w:num>
  <w:num w:numId="22" w16cid:durableId="1616326705">
    <w:abstractNumId w:val="12"/>
  </w:num>
  <w:num w:numId="23" w16cid:durableId="2003845842">
    <w:abstractNumId w:val="15"/>
  </w:num>
  <w:num w:numId="24" w16cid:durableId="1758012337">
    <w:abstractNumId w:val="22"/>
  </w:num>
  <w:num w:numId="25" w16cid:durableId="61604864">
    <w:abstractNumId w:val="11"/>
  </w:num>
  <w:num w:numId="26" w16cid:durableId="1783725289">
    <w:abstractNumId w:val="27"/>
  </w:num>
  <w:num w:numId="27" w16cid:durableId="943154110">
    <w:abstractNumId w:val="19"/>
  </w:num>
  <w:num w:numId="28" w16cid:durableId="590508564">
    <w:abstractNumId w:val="31"/>
  </w:num>
  <w:num w:numId="29" w16cid:durableId="1333996154">
    <w:abstractNumId w:val="25"/>
  </w:num>
  <w:num w:numId="30" w16cid:durableId="1597665557">
    <w:abstractNumId w:val="13"/>
  </w:num>
  <w:num w:numId="31" w16cid:durableId="1206019505">
    <w:abstractNumId w:val="16"/>
  </w:num>
  <w:num w:numId="32" w16cid:durableId="68579267">
    <w:abstractNumId w:val="17"/>
  </w:num>
  <w:num w:numId="33" w16cid:durableId="871917870">
    <w:abstractNumId w:val="26"/>
  </w:num>
  <w:num w:numId="34" w16cid:durableId="1347367270">
    <w:abstractNumId w:val="9"/>
  </w:num>
  <w:num w:numId="35" w16cid:durableId="1509325865">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1177</Words>
  <Characters>6714</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2024-05-10T02:42:00Z</dcterms:created>
  <dcterms:modified xsi:type="dcterms:W3CDTF">2024-05-10T02:42:00Z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