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53CE0" w14:textId="19FAF422" w:rsidR="00194624" w:rsidRPr="000B6C65" w:rsidRDefault="00194624" w:rsidP="00194624">
      <w:pPr>
        <w:tabs>
          <w:tab w:val="left" w:pos="2160"/>
          <w:tab w:val="left" w:pos="3880"/>
        </w:tabs>
        <w:spacing w:after="0"/>
        <w:ind w:left="2070" w:hanging="2070"/>
        <w:rPr>
          <w:rFonts w:ascii="Arial" w:eastAsia="Times New Roman" w:hAnsi="Arial" w:cs="Times New Roman"/>
          <w:b/>
          <w:noProof/>
          <w:sz w:val="24"/>
          <w:szCs w:val="20"/>
          <w:lang w:eastAsia="zh-CN"/>
          <w14:ligatures w14:val="standardContextual"/>
        </w:rPr>
      </w:pPr>
      <w:r w:rsidRPr="000B6C65">
        <w:rPr>
          <w:rFonts w:ascii="Arial" w:eastAsia="Times New Roman" w:hAnsi="Arial" w:cs="Times New Roman"/>
          <w:b/>
          <w:noProof/>
          <w:sz w:val="24"/>
          <w:szCs w:val="20"/>
          <w:lang w:eastAsia="zh-CN"/>
          <w14:ligatures w14:val="standardContextual"/>
        </w:rPr>
        <w:t>3GPP TSG-RAN WG2 Meeting #12</w:t>
      </w:r>
      <w:r>
        <w:rPr>
          <w:rFonts w:ascii="Arial" w:eastAsia="Times New Roman" w:hAnsi="Arial" w:cs="Times New Roman"/>
          <w:b/>
          <w:noProof/>
          <w:sz w:val="24"/>
          <w:szCs w:val="20"/>
          <w:lang w:eastAsia="zh-CN"/>
          <w14:ligatures w14:val="standardContextual"/>
        </w:rPr>
        <w:t>6</w:t>
      </w:r>
      <w:r w:rsidRPr="000B6C65">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sidR="002E726D" w:rsidRPr="002E726D">
        <w:rPr>
          <w:rFonts w:ascii="Arial" w:eastAsia="Times New Roman" w:hAnsi="Arial" w:cs="Times New Roman"/>
          <w:b/>
          <w:noProof/>
          <w:sz w:val="24"/>
          <w:szCs w:val="20"/>
          <w:lang w:eastAsia="zh-CN"/>
          <w14:ligatures w14:val="standardContextual"/>
        </w:rPr>
        <w:t>R2-2404271</w:t>
      </w:r>
    </w:p>
    <w:p w14:paraId="7BE622D7" w14:textId="4B7477FE" w:rsidR="00194624" w:rsidRDefault="00194624" w:rsidP="00194624">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rPr>
        <w:t xml:space="preserve">Fukuoka, Japan May </w:t>
      </w:r>
      <w:r w:rsidR="00E877D5" w:rsidRPr="3619553D">
        <w:rPr>
          <w:rStyle w:val="normaltextrun"/>
          <w:rFonts w:ascii="Arial" w:eastAsiaTheme="majorEastAsia" w:hAnsi="Arial" w:cs="Arial"/>
          <w:b/>
          <w:bCs/>
        </w:rPr>
        <w:t>20th – 24th</w:t>
      </w:r>
      <w:r>
        <w:rPr>
          <w:rStyle w:val="normaltextrun"/>
          <w:rFonts w:ascii="Arial" w:eastAsiaTheme="majorEastAsia" w:hAnsi="Arial" w:cs="Arial"/>
          <w:b/>
          <w:bCs/>
        </w:rPr>
        <w:t>, 2024</w:t>
      </w:r>
      <w:r>
        <w:rPr>
          <w:rStyle w:val="eop"/>
          <w:rFonts w:ascii="Arial" w:eastAsiaTheme="majorEastAsia" w:hAnsi="Arial" w:cs="Arial"/>
        </w:rPr>
        <w:t> </w:t>
      </w:r>
    </w:p>
    <w:p w14:paraId="7ED7AF7E" w14:textId="77777777" w:rsidR="00194624" w:rsidRDefault="00194624" w:rsidP="00194624">
      <w:pPr>
        <w:tabs>
          <w:tab w:val="left" w:pos="2160"/>
          <w:tab w:val="left" w:pos="3880"/>
        </w:tabs>
        <w:ind w:left="2070" w:hanging="2070"/>
        <w:rPr>
          <w:rFonts w:ascii="Arial" w:eastAsia="Times New Roman" w:hAnsi="Arial" w:cs="Times New Roman"/>
          <w:b/>
          <w:noProof/>
          <w:sz w:val="24"/>
          <w:szCs w:val="20"/>
          <w:lang w:eastAsia="zh-CN"/>
          <w14:ligatures w14:val="standardContextual"/>
        </w:rPr>
      </w:pPr>
    </w:p>
    <w:p w14:paraId="33745F19" w14:textId="77777777" w:rsidR="00194624" w:rsidRPr="007F16F8" w:rsidRDefault="00194624" w:rsidP="00194624">
      <w:pPr>
        <w:tabs>
          <w:tab w:val="left" w:pos="2160"/>
          <w:tab w:val="left" w:pos="3880"/>
        </w:tabs>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Pr="003462AB">
        <w:rPr>
          <w:rFonts w:ascii="Arial" w:hAnsi="Arial" w:cs="Arial"/>
          <w:bCs/>
          <w:sz w:val="24"/>
        </w:rPr>
        <w:t>8.6.2</w:t>
      </w:r>
    </w:p>
    <w:p w14:paraId="12711255" w14:textId="77777777" w:rsidR="00194624" w:rsidRPr="007F16F8" w:rsidRDefault="00194624" w:rsidP="00194624">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 xml:space="preserve">Intel Corporation </w:t>
      </w:r>
    </w:p>
    <w:p w14:paraId="16D90EF6" w14:textId="7BE23E45" w:rsidR="00194624" w:rsidRPr="007F16F8" w:rsidRDefault="00194624" w:rsidP="00194624">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 xml:space="preserve">Supporting inter-CU LTM with intra-CU LTM </w:t>
      </w:r>
    </w:p>
    <w:p w14:paraId="201FC32B" w14:textId="77777777" w:rsidR="00194624" w:rsidRDefault="00194624" w:rsidP="00194624">
      <w:pPr>
        <w:pBdr>
          <w:bottom w:val="single" w:sz="6" w:space="1" w:color="auto"/>
        </w:pBdr>
        <w:tabs>
          <w:tab w:val="left" w:pos="2160"/>
          <w:tab w:val="left" w:pos="3880"/>
        </w:tabs>
        <w:ind w:left="2070" w:hanging="2070"/>
        <w:rPr>
          <w:rFonts w:ascii="Arial" w:hAnsi="Arial" w:cs="Arial"/>
          <w:bCs/>
          <w:sz w:val="24"/>
        </w:rPr>
      </w:pPr>
      <w:r>
        <w:rPr>
          <w:rFonts w:ascii="Arial" w:hAnsi="Arial" w:cs="Arial"/>
          <w:b/>
          <w:bCs/>
          <w:sz w:val="24"/>
        </w:rPr>
        <w:t>Document for:</w:t>
      </w:r>
      <w:r>
        <w:rPr>
          <w:rFonts w:ascii="Arial" w:hAnsi="Arial" w:cs="Arial"/>
          <w:bCs/>
          <w:sz w:val="24"/>
        </w:rPr>
        <w:tab/>
        <w:t xml:space="preserve">Discussion and </w:t>
      </w:r>
      <w:proofErr w:type="gramStart"/>
      <w:r>
        <w:rPr>
          <w:rFonts w:ascii="Arial" w:hAnsi="Arial" w:cs="Arial"/>
          <w:bCs/>
          <w:sz w:val="24"/>
        </w:rPr>
        <w:t>decision</w:t>
      </w:r>
      <w:proofErr w:type="gramEnd"/>
    </w:p>
    <w:p w14:paraId="7D8F0D41" w14:textId="77777777" w:rsidR="00194624" w:rsidRDefault="00194624" w:rsidP="00194624">
      <w:pPr>
        <w:pStyle w:val="Heading1"/>
      </w:pPr>
      <w:r>
        <w:t>Introduction</w:t>
      </w:r>
    </w:p>
    <w:p w14:paraId="283E5E50" w14:textId="4FFA2480" w:rsidR="00172E7A" w:rsidRDefault="00194624" w:rsidP="00194624">
      <w:r>
        <w:t xml:space="preserve">Intra-CU LTM is supported in Rel-18.  The scope of this Rel-19 WI is </w:t>
      </w:r>
      <w:r w:rsidR="000A5EF4">
        <w:t xml:space="preserve">to </w:t>
      </w:r>
      <w:r>
        <w:t xml:space="preserve">extend this to support inter-CU LTM.  </w:t>
      </w:r>
    </w:p>
    <w:p w14:paraId="75F8E7DA" w14:textId="45D8C65B" w:rsidR="00194624" w:rsidRDefault="00194624" w:rsidP="00194624">
      <w:r>
        <w:t>Inter-CU LTM can be seen as equivalent of inter-</w:t>
      </w:r>
      <w:proofErr w:type="spellStart"/>
      <w:r>
        <w:t>gNB</w:t>
      </w:r>
      <w:proofErr w:type="spellEnd"/>
      <w:r>
        <w:t xml:space="preserve"> LTM.  </w:t>
      </w:r>
      <w:r w:rsidR="00172E7A">
        <w:t>Any discussion here for inter-CU LTM is also applicable for inter-</w:t>
      </w:r>
      <w:proofErr w:type="spellStart"/>
      <w:r w:rsidR="00172E7A">
        <w:t>gNB</w:t>
      </w:r>
      <w:proofErr w:type="spellEnd"/>
      <w:r w:rsidR="00172E7A">
        <w:t xml:space="preserve"> LTM.</w:t>
      </w:r>
    </w:p>
    <w:p w14:paraId="11B0C741" w14:textId="6535C886" w:rsidR="00172E7A" w:rsidRDefault="00172E7A" w:rsidP="00194624">
      <w:r>
        <w:t>This document examines the possibility of re-use of intra-CU LTM also for inter-CU LTM</w:t>
      </w:r>
      <w:r w:rsidR="002E726D">
        <w:t>, including when both intra- and inter-CU LTM are configured simultaneously</w:t>
      </w:r>
      <w:r>
        <w:t>.</w:t>
      </w:r>
    </w:p>
    <w:p w14:paraId="0C94250C" w14:textId="051E3B15" w:rsidR="00172E7A" w:rsidRDefault="00172E7A" w:rsidP="00172E7A">
      <w:pPr>
        <w:pStyle w:val="Heading1"/>
      </w:pPr>
      <w:r>
        <w:t>Discussion</w:t>
      </w:r>
    </w:p>
    <w:p w14:paraId="42BF8C65" w14:textId="4E2C3B97" w:rsidR="00DF4C87" w:rsidRDefault="00DF4C87" w:rsidP="00172E7A">
      <w:r>
        <w:t xml:space="preserve">LTM is another means of </w:t>
      </w:r>
      <w:proofErr w:type="gramStart"/>
      <w:r>
        <w:t>HO</w:t>
      </w:r>
      <w:proofErr w:type="gramEnd"/>
      <w:r>
        <w:t xml:space="preserve"> and we should in general reuse the principles of HO for LTM procedure.  RAN2 procedures from UE perspective do not differentiate between inter- or intra-CU/</w:t>
      </w:r>
      <w:proofErr w:type="spellStart"/>
      <w:r>
        <w:t>gNB</w:t>
      </w:r>
      <w:proofErr w:type="spellEnd"/>
      <w:r>
        <w:t xml:space="preserve"> </w:t>
      </w:r>
      <w:r w:rsidR="002E726D">
        <w:t xml:space="preserve">HO </w:t>
      </w:r>
      <w:r>
        <w:t xml:space="preserve">as such.  UE simply follows the configuration it is given.  The specifications should allow the different handling required for intra- and inter-CU procedures based simply on the configuration provided.   Additional configuration to be provided for inter-CU HO/LTM will typically include configuration as </w:t>
      </w:r>
      <w:proofErr w:type="spellStart"/>
      <w:r>
        <w:t>RBConfig</w:t>
      </w:r>
      <w:proofErr w:type="spellEnd"/>
      <w:r>
        <w:t>, security config.</w:t>
      </w:r>
    </w:p>
    <w:p w14:paraId="73CF6EA7" w14:textId="5CC66939" w:rsidR="00172E7A" w:rsidRPr="00172E7A" w:rsidRDefault="00172E7A" w:rsidP="00172E7A">
      <w:r>
        <w:t>Intra-CU LTM consists of the following sub-procedures as captured in TS 38.300.</w:t>
      </w:r>
      <w:r w:rsidR="00DF4C87">
        <w:t xml:space="preserve">  The figure below extends it to cover inter-</w:t>
      </w:r>
      <w:proofErr w:type="spellStart"/>
      <w:r w:rsidR="00DF4C87">
        <w:t>gNB</w:t>
      </w:r>
      <w:proofErr w:type="spellEnd"/>
      <w:r w:rsidR="00DF4C87">
        <w:t xml:space="preserve"> scenario.</w:t>
      </w:r>
    </w:p>
    <w:p w14:paraId="7A5BE36C" w14:textId="77777777" w:rsidR="00194624" w:rsidRPr="00194624" w:rsidRDefault="00194624" w:rsidP="00194624"/>
    <w:p w14:paraId="4AD2A11A" w14:textId="35A5B973" w:rsidR="00681090" w:rsidRDefault="00DF4C87">
      <w:pPr>
        <w:rPr>
          <w:rFonts w:ascii="Times New Roman" w:eastAsia="Times New Roman" w:hAnsi="Times New Roman" w:cs="Times New Roman"/>
          <w:noProof/>
          <w:sz w:val="20"/>
          <w:szCs w:val="20"/>
          <w:lang w:eastAsia="ja-JP"/>
        </w:rPr>
      </w:pPr>
      <w:r>
        <w:rPr>
          <w:rFonts w:ascii="Times New Roman" w:eastAsia="Times New Roman" w:hAnsi="Times New Roman" w:cs="Times New Roman"/>
          <w:noProof/>
          <w:sz w:val="20"/>
          <w:szCs w:val="20"/>
          <w:lang w:eastAsia="ja-JP"/>
        </w:rPr>
        <w:object w:dxaOrig="7516" w:dyaOrig="8251" w14:anchorId="7E16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412.6pt" o:ole="">
            <v:imagedata r:id="rId8" o:title=""/>
          </v:shape>
          <o:OLEObject Type="Embed" ProgID="Visio.Drawing.15" ShapeID="_x0000_i1025" DrawAspect="Content" ObjectID="_1776777752" r:id="rId9"/>
        </w:object>
      </w:r>
    </w:p>
    <w:p w14:paraId="79D24CC2" w14:textId="32FDF349" w:rsidR="00C148E1" w:rsidRDefault="00C148E1">
      <w:pPr>
        <w:rPr>
          <w:rFonts w:ascii="Times New Roman" w:eastAsia="Times New Roman" w:hAnsi="Times New Roman" w:cs="Times New Roman"/>
          <w:noProof/>
          <w:sz w:val="20"/>
          <w:szCs w:val="20"/>
          <w:lang w:eastAsia="ja-JP"/>
        </w:rPr>
      </w:pPr>
    </w:p>
    <w:p w14:paraId="4E72C0ED" w14:textId="29AE90BB" w:rsidR="00225A57" w:rsidRDefault="00DF4C87" w:rsidP="008F56CA">
      <w:r>
        <w:t>A</w:t>
      </w:r>
      <w:r w:rsidR="0005440A">
        <w:t>s</w:t>
      </w:r>
      <w:r>
        <w:t xml:space="preserve"> can be seen from the figure, extending intra-CU LTM to also cover inter-CU-LTM is straightforward in general.  </w:t>
      </w:r>
    </w:p>
    <w:p w14:paraId="5F851DAC" w14:textId="58228E67" w:rsidR="00C148E1" w:rsidRDefault="00225A57" w:rsidP="008F56CA">
      <w:pPr>
        <w:pStyle w:val="Obs-prop"/>
      </w:pPr>
      <w:r>
        <w:t xml:space="preserve">Observation #1: Most of the </w:t>
      </w:r>
      <w:r w:rsidR="00C148E1">
        <w:t>intra-</w:t>
      </w:r>
      <w:proofErr w:type="spellStart"/>
      <w:r w:rsidR="00C148E1">
        <w:t>gNB</w:t>
      </w:r>
      <w:proofErr w:type="spellEnd"/>
      <w:r w:rsidR="00C148E1">
        <w:t xml:space="preserve"> radio interface procedures </w:t>
      </w:r>
      <w:r>
        <w:t>for LTM can be re-used for inter-</w:t>
      </w:r>
      <w:proofErr w:type="spellStart"/>
      <w:r>
        <w:t>gNB</w:t>
      </w:r>
      <w:proofErr w:type="spellEnd"/>
      <w:r>
        <w:t xml:space="preserve"> LTM.  Some exceptions are related to the RB handling </w:t>
      </w:r>
      <w:r w:rsidR="00C148E1">
        <w:t xml:space="preserve">such as security, </w:t>
      </w:r>
      <w:proofErr w:type="spellStart"/>
      <w:r w:rsidR="00C148E1">
        <w:t>RoHC</w:t>
      </w:r>
      <w:proofErr w:type="spellEnd"/>
      <w:r w:rsidR="00C148E1">
        <w:t xml:space="preserve"> handling, only </w:t>
      </w:r>
      <w:proofErr w:type="gramStart"/>
      <w:r w:rsidR="00C148E1">
        <w:t>where</w:t>
      </w:r>
      <w:proofErr w:type="gramEnd"/>
      <w:r w:rsidR="00C148E1">
        <w:t xml:space="preserve"> essential.</w:t>
      </w:r>
    </w:p>
    <w:p w14:paraId="08AA2844" w14:textId="77777777" w:rsidR="00792817" w:rsidRDefault="000F791E" w:rsidP="00792817">
      <w:pPr>
        <w:pStyle w:val="Heading2"/>
      </w:pPr>
      <w:r>
        <w:t xml:space="preserve">Supporting intra-CU and inter-CU </w:t>
      </w:r>
      <w:r w:rsidR="00792817">
        <w:t xml:space="preserve">LTM candidate </w:t>
      </w:r>
      <w:r>
        <w:t>cells.</w:t>
      </w:r>
    </w:p>
    <w:p w14:paraId="5415524F" w14:textId="2A5D9A00" w:rsidR="000F791E" w:rsidRDefault="00E1013F">
      <w:r>
        <w:t>I</w:t>
      </w:r>
      <w:r w:rsidR="000F791E">
        <w:t>n a realistic deployment</w:t>
      </w:r>
      <w:r>
        <w:t xml:space="preserve"> with inter-CU LTM, it is expected that </w:t>
      </w:r>
      <w:r w:rsidR="000F791E">
        <w:t xml:space="preserve">the pre-configured candidate cells </w:t>
      </w:r>
      <w:r>
        <w:t xml:space="preserve">will </w:t>
      </w:r>
      <w:r w:rsidR="000F791E">
        <w:t xml:space="preserve">include cells within a CU and across CUs.  </w:t>
      </w:r>
      <w:r>
        <w:t>That is, both intra-CU and inter-CU LTM cells will be pre-configured simultaneously.</w:t>
      </w:r>
    </w:p>
    <w:p w14:paraId="330AC023" w14:textId="74366F4D" w:rsidR="00792817" w:rsidRDefault="00BC2A4C" w:rsidP="00792817">
      <w:pPr>
        <w:jc w:val="center"/>
      </w:pPr>
      <w:r>
        <w:object w:dxaOrig="6916" w:dyaOrig="4471" w14:anchorId="3E79D9FA">
          <v:shape id="_x0000_i1026" type="#_x0000_t75" style="width:345.6pt;height:224.15pt" o:ole="">
            <v:imagedata r:id="rId10" o:title=""/>
          </v:shape>
          <o:OLEObject Type="Embed" ProgID="Visio.Drawing.15" ShapeID="_x0000_i1026" DrawAspect="Content" ObjectID="_1776777753" r:id="rId11"/>
        </w:object>
      </w:r>
    </w:p>
    <w:p w14:paraId="67CFB53F" w14:textId="160804CA" w:rsidR="00E841B5" w:rsidRDefault="008F56CA" w:rsidP="00E841B5">
      <w:r>
        <w:t xml:space="preserve">As discussed in the WID and last meeting, when UE moves across cells from different CUs, a new security key </w:t>
      </w:r>
      <w:r w:rsidR="00E1013F">
        <w:t>must</w:t>
      </w:r>
      <w:r>
        <w:t xml:space="preserve"> be used.  </w:t>
      </w:r>
      <w:r w:rsidR="00E841B5">
        <w:t>The security key</w:t>
      </w:r>
      <w:r w:rsidR="004D1B8A">
        <w:t xml:space="preserve">, </w:t>
      </w:r>
      <w:proofErr w:type="spellStart"/>
      <w:r w:rsidR="004D1B8A">
        <w:t>KgNB</w:t>
      </w:r>
      <w:proofErr w:type="spellEnd"/>
      <w:r w:rsidR="004D1B8A">
        <w:t>,</w:t>
      </w:r>
      <w:r w:rsidR="00E841B5">
        <w:t xml:space="preserve"> is updated when the UE moves to a cell of a different CU.  The security key</w:t>
      </w:r>
      <w:r w:rsidR="004D1B8A">
        <w:t xml:space="preserve">, </w:t>
      </w:r>
      <w:proofErr w:type="spellStart"/>
      <w:r w:rsidR="004D1B8A">
        <w:t>KgNB</w:t>
      </w:r>
      <w:proofErr w:type="spellEnd"/>
      <w:r w:rsidR="004D1B8A">
        <w:t xml:space="preserve">, </w:t>
      </w:r>
      <w:r w:rsidR="00E841B5">
        <w:t xml:space="preserve">is associated to this </w:t>
      </w:r>
      <w:proofErr w:type="gramStart"/>
      <w:r w:rsidR="00E841B5">
        <w:t>particular cell</w:t>
      </w:r>
      <w:proofErr w:type="gramEnd"/>
      <w:r w:rsidR="00E841B5">
        <w:t xml:space="preserve"> as the cell PCI and AFRCN is used for derivation of the key.  When the UE then moves to another cell of the CU, the current key is re-used.  Hence the key used in the cells of a CU is the key of the first cell where the UE entered the CU.  </w:t>
      </w:r>
    </w:p>
    <w:p w14:paraId="26691D1C" w14:textId="4CAC666A" w:rsidR="00E841B5" w:rsidRDefault="00E841B5" w:rsidP="00E841B5">
      <w:pPr>
        <w:pStyle w:val="Obs-prop"/>
      </w:pPr>
      <w:r>
        <w:t xml:space="preserve">Observation #2:  </w:t>
      </w:r>
      <w:r w:rsidR="004D1B8A">
        <w:t>T</w:t>
      </w:r>
      <w:r>
        <w:t>he key</w:t>
      </w:r>
      <w:r w:rsidR="004D1B8A">
        <w:t xml:space="preserve">, </w:t>
      </w:r>
      <w:proofErr w:type="spellStart"/>
      <w:r w:rsidR="004D1B8A">
        <w:t>KgNB</w:t>
      </w:r>
      <w:proofErr w:type="spellEnd"/>
      <w:r w:rsidR="004D1B8A">
        <w:t>,</w:t>
      </w:r>
      <w:r>
        <w:t xml:space="preserve"> used in the cells of a CU is the key of the first cell where the UE entered the CU.  </w:t>
      </w:r>
    </w:p>
    <w:p w14:paraId="397897AD" w14:textId="0CE1D0B8" w:rsidR="008F56CA" w:rsidRDefault="00E841B5">
      <w:r>
        <w:t xml:space="preserve">A change of security key </w:t>
      </w:r>
      <w:r w:rsidR="008F56CA">
        <w:t xml:space="preserve">also requires PDCP reestablishment.  Additionally, </w:t>
      </w:r>
      <w:proofErr w:type="spellStart"/>
      <w:r w:rsidR="008F56CA">
        <w:t>RoHC</w:t>
      </w:r>
      <w:proofErr w:type="spellEnd"/>
      <w:r w:rsidR="008F56CA">
        <w:t xml:space="preserve"> may be reset</w:t>
      </w:r>
      <w:r w:rsidR="005257C5">
        <w:t xml:space="preserve"> when the UE moves between two CUs and the PDCP is relocated</w:t>
      </w:r>
      <w:r w:rsidR="008F56CA">
        <w:t xml:space="preserve">.  There may also be other </w:t>
      </w:r>
      <w:proofErr w:type="spellStart"/>
      <w:r w:rsidR="008F56CA">
        <w:t>RBConfig</w:t>
      </w:r>
      <w:proofErr w:type="spellEnd"/>
      <w:r w:rsidR="008F56CA">
        <w:t xml:space="preserve"> changes associated with a change of CU.  This will be the case when the UE moves from cell C1</w:t>
      </w:r>
      <w:r w:rsidR="005257C5">
        <w:t>,</w:t>
      </w:r>
      <w:r w:rsidR="008F56CA">
        <w:t xml:space="preserve">2 to C2,1.  This implies that the </w:t>
      </w:r>
      <w:r w:rsidR="005257C5">
        <w:t>pre-</w:t>
      </w:r>
      <w:r w:rsidR="008F56CA">
        <w:t>configuration of C2,1 will involve a PDCP re-establishment</w:t>
      </w:r>
      <w:r w:rsidR="00E92D03">
        <w:t xml:space="preserve"> and other configuration changes</w:t>
      </w:r>
      <w:r w:rsidR="005257C5">
        <w:t xml:space="preserve"> to cover the mobility from C1,2</w:t>
      </w:r>
      <w:r w:rsidR="00E92D03">
        <w:t>.</w:t>
      </w:r>
    </w:p>
    <w:p w14:paraId="4597C709" w14:textId="73D4E215" w:rsidR="00E92D03" w:rsidRDefault="00E92D03">
      <w:r>
        <w:t>However, consider the scenario when UE is cell C2,3 and then moves to cell C2,1.  In this case, the UE mobility is within the same CU and hence it does not require the configuration changes mentioned above.</w:t>
      </w:r>
      <w:r w:rsidR="005257C5">
        <w:t xml:space="preserve">  This implies that pre-configuration of C2,1 does not involve a PDCP re-establishment and other configuration changes to cover the mobility from C2,3.</w:t>
      </w:r>
    </w:p>
    <w:p w14:paraId="386C647B" w14:textId="78484A75" w:rsidR="00E92D03" w:rsidRDefault="00E92D03">
      <w:r>
        <w:t>That is, the configuration UE appl</w:t>
      </w:r>
      <w:r w:rsidR="005257C5">
        <w:t>ies</w:t>
      </w:r>
      <w:r>
        <w:t xml:space="preserve"> in Cell C2,1 depends on whether UE is entering the cell from a cell of a different CU or the same CU.  Cell C2,1 will hence need two </w:t>
      </w:r>
      <w:r w:rsidR="005257C5">
        <w:t>pre-</w:t>
      </w:r>
      <w:r>
        <w:t>configurations, one to be applied for each of these two scenarios.</w:t>
      </w:r>
    </w:p>
    <w:p w14:paraId="63774CA8" w14:textId="088FAC54" w:rsidR="00E92D03" w:rsidRDefault="00E92D03" w:rsidP="00E92D03">
      <w:pPr>
        <w:pStyle w:val="Obs-prop"/>
      </w:pPr>
      <w:r>
        <w:t>Observation #</w:t>
      </w:r>
      <w:r w:rsidR="00E841B5">
        <w:t>3</w:t>
      </w:r>
      <w:r>
        <w:t xml:space="preserve">: Peripheral cells of a CU will require two </w:t>
      </w:r>
      <w:r w:rsidR="00170BDD">
        <w:t>pre-</w:t>
      </w:r>
      <w:r>
        <w:t xml:space="preserve">configurations, one to be used when UE is moving to the cell from another CU, and other to be used when UE is moving from a cell within the same CU.  </w:t>
      </w:r>
    </w:p>
    <w:p w14:paraId="0BCD5A55" w14:textId="085D5894" w:rsidR="00792817" w:rsidRDefault="00792817">
      <w:r>
        <w:t xml:space="preserve">As intra and inter-CU </w:t>
      </w:r>
      <w:r w:rsidR="00170BDD">
        <w:t xml:space="preserve">mobility </w:t>
      </w:r>
      <w:r>
        <w:t>is itself hidden from the UE, an ID can be used to group cells of a CU</w:t>
      </w:r>
      <w:r w:rsidR="00170BDD">
        <w:t xml:space="preserve"> as is done in R18</w:t>
      </w:r>
      <w:r>
        <w:t>.  UE mobility within the cells with the same ID will invoke one configuration, while cells with different ID will invoke the other configuration.</w:t>
      </w:r>
    </w:p>
    <w:p w14:paraId="489B9DAA" w14:textId="4672BC51" w:rsidR="00E92D03" w:rsidRDefault="00E92D03" w:rsidP="00792817">
      <w:pPr>
        <w:pStyle w:val="Obs-prop"/>
      </w:pPr>
      <w:r>
        <w:t xml:space="preserve">Proposal </w:t>
      </w:r>
      <w:r w:rsidR="00792817">
        <w:t xml:space="preserve">#1: Peripheral cells of a CU can be provided two </w:t>
      </w:r>
      <w:r w:rsidR="00170BDD">
        <w:t>pre-</w:t>
      </w:r>
      <w:r w:rsidR="00792817">
        <w:t>configurations, one to be used when UE is moving to the cell from another CU, and other to be used when UE is moving from a cell within the same CU.</w:t>
      </w:r>
      <w:r w:rsidR="00170BDD">
        <w:t xml:space="preserve"> A</w:t>
      </w:r>
      <w:r w:rsidR="00792817">
        <w:t xml:space="preserve">n ID </w:t>
      </w:r>
      <w:r w:rsidR="00170BDD">
        <w:t>is</w:t>
      </w:r>
      <w:r w:rsidR="00792817">
        <w:t xml:space="preserve"> used to group cells of a CU.  UE mobility within the cells with the same ID will invoke one configuration, while cells with different ID will invoke the other configuration.</w:t>
      </w:r>
    </w:p>
    <w:p w14:paraId="290AFE6C" w14:textId="47028886" w:rsidR="00792817" w:rsidRDefault="00792817" w:rsidP="00792817">
      <w:pPr>
        <w:pStyle w:val="Heading2"/>
      </w:pPr>
      <w:r>
        <w:t>Number of reference configurations</w:t>
      </w:r>
    </w:p>
    <w:p w14:paraId="7F49027C" w14:textId="7FC5533E" w:rsidR="00792817" w:rsidRDefault="00792817" w:rsidP="00792817">
      <w:r>
        <w:t xml:space="preserve">One of the other issues </w:t>
      </w:r>
      <w:r w:rsidR="00170BDD">
        <w:t xml:space="preserve">is </w:t>
      </w:r>
      <w:r>
        <w:t>whether there is a need for different reference configurations</w:t>
      </w:r>
      <w:r w:rsidR="00526286">
        <w:t xml:space="preserve"> for inter-CU LTM, one for each CU.  A reference configuration is only used as a baseline for delta configuration.  A non-optimal reference configuration will only result in a slightly larger delta configuration.  Further, for current inter-</w:t>
      </w:r>
      <w:proofErr w:type="spellStart"/>
      <w:r w:rsidR="00526286">
        <w:t>gNB</w:t>
      </w:r>
      <w:proofErr w:type="spellEnd"/>
      <w:r w:rsidR="00526286">
        <w:t xml:space="preserve"> HO, the target </w:t>
      </w:r>
      <w:proofErr w:type="spellStart"/>
      <w:r w:rsidR="00526286">
        <w:t>gNB</w:t>
      </w:r>
      <w:proofErr w:type="spellEnd"/>
      <w:r w:rsidR="00526286">
        <w:t xml:space="preserve"> should be able to handle any source </w:t>
      </w:r>
      <w:proofErr w:type="spellStart"/>
      <w:r w:rsidR="00526286">
        <w:t>gNB</w:t>
      </w:r>
      <w:proofErr w:type="spellEnd"/>
      <w:r w:rsidR="00526286">
        <w:t xml:space="preserve"> configuration as the baseline for delta configuration.</w:t>
      </w:r>
    </w:p>
    <w:p w14:paraId="71EA6A0B" w14:textId="77777777" w:rsidR="00464950" w:rsidRDefault="00526286" w:rsidP="00792817">
      <w:r>
        <w:t xml:space="preserve">Hence </w:t>
      </w:r>
      <w:r w:rsidR="00464950">
        <w:t>there is no real motivation to support multiple reference configurations, one per CU, for inter-CU LTM.</w:t>
      </w:r>
    </w:p>
    <w:p w14:paraId="66D9852A" w14:textId="2E6D45F5" w:rsidR="00526286" w:rsidRPr="00792817" w:rsidRDefault="00464950" w:rsidP="00464950">
      <w:pPr>
        <w:pStyle w:val="Obs-prop"/>
      </w:pPr>
      <w:r>
        <w:t>Proposal #2: Only one reference configuration is used for intra and inter-CU LTM.</w:t>
      </w:r>
      <w:r w:rsidR="00526286">
        <w:t xml:space="preserve"> </w:t>
      </w:r>
    </w:p>
    <w:p w14:paraId="447300B4" w14:textId="77777777" w:rsidR="00464950" w:rsidRDefault="00464950" w:rsidP="00464950">
      <w:pPr>
        <w:pStyle w:val="Heading2"/>
      </w:pPr>
      <w:proofErr w:type="spellStart"/>
      <w:r>
        <w:t>Xn</w:t>
      </w:r>
      <w:proofErr w:type="spellEnd"/>
      <w:r>
        <w:t xml:space="preserve"> and NG LTM cell switch</w:t>
      </w:r>
    </w:p>
    <w:p w14:paraId="7688EEB1" w14:textId="348A18D2" w:rsidR="00225A57" w:rsidRDefault="00464950">
      <w:r>
        <w:t xml:space="preserve">Traditionally, RAN2 does not differentiate between </w:t>
      </w:r>
      <w:proofErr w:type="spellStart"/>
      <w:r>
        <w:t>Xn</w:t>
      </w:r>
      <w:proofErr w:type="spellEnd"/>
      <w:r>
        <w:t xml:space="preserve"> and NG</w:t>
      </w:r>
      <w:r w:rsidR="49425E05">
        <w:t>-C</w:t>
      </w:r>
      <w:r>
        <w:t xml:space="preserve"> </w:t>
      </w:r>
      <w:proofErr w:type="spellStart"/>
      <w:r>
        <w:t>HOs.</w:t>
      </w:r>
      <w:proofErr w:type="spellEnd"/>
      <w:r>
        <w:t xml:space="preserve">  That is, UE procedures are the same and UE is agnostic of whether it is an </w:t>
      </w:r>
      <w:proofErr w:type="spellStart"/>
      <w:r>
        <w:t>Xn</w:t>
      </w:r>
      <w:proofErr w:type="spellEnd"/>
      <w:r>
        <w:t xml:space="preserve"> or NG</w:t>
      </w:r>
      <w:r w:rsidR="0D0D273A">
        <w:t>-C</w:t>
      </w:r>
      <w:r>
        <w:t xml:space="preserve"> HO.  Network deployments may not always support </w:t>
      </w:r>
      <w:proofErr w:type="spellStart"/>
      <w:r>
        <w:t>Xn</w:t>
      </w:r>
      <w:proofErr w:type="spellEnd"/>
      <w:r>
        <w:t xml:space="preserve"> interface across neighbouring cells.  NG</w:t>
      </w:r>
      <w:r w:rsidR="7B4868C3">
        <w:t>-C</w:t>
      </w:r>
      <w:r>
        <w:t xml:space="preserve"> HO is the fallback HO in </w:t>
      </w:r>
      <w:r w:rsidR="007951B8">
        <w:t xml:space="preserve">such </w:t>
      </w:r>
      <w:r>
        <w:t>network deployments</w:t>
      </w:r>
      <w:r w:rsidR="000E5094">
        <w:t xml:space="preserve">.  </w:t>
      </w:r>
      <w:r w:rsidR="39CD34BA">
        <w:t xml:space="preserve">On the other hand, CHO is not supported over NG-C.  While supporting </w:t>
      </w:r>
      <w:r w:rsidR="000E5094">
        <w:t xml:space="preserve">LTM cell switch </w:t>
      </w:r>
      <w:r w:rsidR="7E547E2D">
        <w:t xml:space="preserve">over NG-C is likely to be useful, it can introduce additional complexity with key handling depending on the solution.  </w:t>
      </w:r>
      <w:r w:rsidR="000E5094">
        <w:t xml:space="preserve"> </w:t>
      </w:r>
      <w:r w:rsidR="239E36CA">
        <w:t>Hence this could be addressed after the response from SA3 on the security solution direction</w:t>
      </w:r>
      <w:r w:rsidR="007951B8">
        <w:t xml:space="preserve"> and complexity to support NG-C LTM</w:t>
      </w:r>
      <w:r w:rsidR="000E5094">
        <w:t>.</w:t>
      </w:r>
    </w:p>
    <w:p w14:paraId="5FB30DC6" w14:textId="30E6FAD8" w:rsidR="000E5094" w:rsidRDefault="000E5094" w:rsidP="000E5094">
      <w:pPr>
        <w:pStyle w:val="Obs-prop"/>
      </w:pPr>
      <w:r>
        <w:t>Observation #</w:t>
      </w:r>
      <w:r w:rsidR="00E841B5">
        <w:t>4</w:t>
      </w:r>
      <w:r>
        <w:t xml:space="preserve">: Network deployments may not always support </w:t>
      </w:r>
      <w:proofErr w:type="spellStart"/>
      <w:r>
        <w:t>Xn</w:t>
      </w:r>
      <w:proofErr w:type="spellEnd"/>
      <w:r>
        <w:t xml:space="preserve"> interface across neighbouring cells.  NG</w:t>
      </w:r>
      <w:r w:rsidR="435FF9C3">
        <w:t>-C</w:t>
      </w:r>
      <w:r>
        <w:t xml:space="preserve"> HO is the fallback HO in network deployments and is always supported.</w:t>
      </w:r>
      <w:r w:rsidR="5303C856">
        <w:t xml:space="preserve">  </w:t>
      </w:r>
      <w:proofErr w:type="gramStart"/>
      <w:r w:rsidR="5303C856">
        <w:t>However</w:t>
      </w:r>
      <w:proofErr w:type="gramEnd"/>
      <w:r w:rsidR="5303C856">
        <w:t xml:space="preserve"> CHO is not supported over NG-C.</w:t>
      </w:r>
    </w:p>
    <w:p w14:paraId="165CDED5" w14:textId="45F95755" w:rsidR="5303C856" w:rsidRDefault="5303C856" w:rsidP="007951B8">
      <w:pPr>
        <w:pStyle w:val="Obs-prop"/>
      </w:pPr>
      <w:r>
        <w:t>Observation #5: Complexity of supporting NG-C based LTM depends on the security solution.</w:t>
      </w:r>
    </w:p>
    <w:p w14:paraId="4F4D066B" w14:textId="267B3B5E" w:rsidR="000E5094" w:rsidRDefault="000E5094" w:rsidP="000E5094">
      <w:pPr>
        <w:pStyle w:val="Obs-prop"/>
      </w:pPr>
      <w:r>
        <w:t xml:space="preserve">Proposal #3: </w:t>
      </w:r>
      <w:r w:rsidR="07E74337">
        <w:t xml:space="preserve">Postpone the decision on supporting </w:t>
      </w:r>
      <w:r>
        <w:t>NG</w:t>
      </w:r>
      <w:r w:rsidR="1212E929">
        <w:t>-C</w:t>
      </w:r>
      <w:r>
        <w:t xml:space="preserve"> based inter-CU LTM cell switch </w:t>
      </w:r>
      <w:r w:rsidR="5AF0BB29">
        <w:t>until after the security solution</w:t>
      </w:r>
      <w:r w:rsidR="7F003269">
        <w:t xml:space="preserve"> direction</w:t>
      </w:r>
      <w:r w:rsidR="5AF0BB29">
        <w:t xml:space="preserve"> is </w:t>
      </w:r>
      <w:r w:rsidR="3FC14DBD">
        <w:t>better</w:t>
      </w:r>
      <w:r w:rsidR="4E7F4316">
        <w:t xml:space="preserve"> understood</w:t>
      </w:r>
      <w:r>
        <w:t>.</w:t>
      </w:r>
    </w:p>
    <w:p w14:paraId="2EA23971" w14:textId="0AEA7064" w:rsidR="00E841B5" w:rsidRDefault="00E841B5" w:rsidP="00E841B5">
      <w:pPr>
        <w:pStyle w:val="Heading1"/>
      </w:pPr>
      <w:r>
        <w:t>Summary and proposals</w:t>
      </w:r>
    </w:p>
    <w:p w14:paraId="48E4E46A" w14:textId="1AC411BD" w:rsidR="00E841B5" w:rsidRDefault="00E841B5" w:rsidP="00E841B5">
      <w:r>
        <w:t xml:space="preserve">This document discussed </w:t>
      </w:r>
      <w:r w:rsidR="000E20BF">
        <w:t xml:space="preserve">further details of supporting inter-CU LTM </w:t>
      </w:r>
      <w:proofErr w:type="gramStart"/>
      <w:r w:rsidR="000E20BF">
        <w:t>and also</w:t>
      </w:r>
      <w:proofErr w:type="gramEnd"/>
      <w:r w:rsidR="000E20BF">
        <w:t xml:space="preserve"> the combination of intra- and inter-CU LTM candidate cells.  The following observations and proposals were made.</w:t>
      </w:r>
    </w:p>
    <w:p w14:paraId="45DB1103" w14:textId="77777777" w:rsidR="007951B8" w:rsidRPr="007951B8" w:rsidRDefault="007951B8" w:rsidP="007951B8">
      <w:pPr>
        <w:pStyle w:val="Obs-prop"/>
        <w:rPr>
          <w:b w:val="0"/>
          <w:bCs w:val="0"/>
        </w:rPr>
      </w:pPr>
      <w:r>
        <w:t xml:space="preserve">Observation #1: </w:t>
      </w:r>
      <w:r w:rsidRPr="007951B8">
        <w:rPr>
          <w:b w:val="0"/>
          <w:bCs w:val="0"/>
        </w:rPr>
        <w:t>Most of the intra-</w:t>
      </w:r>
      <w:proofErr w:type="spellStart"/>
      <w:r w:rsidRPr="007951B8">
        <w:rPr>
          <w:b w:val="0"/>
          <w:bCs w:val="0"/>
        </w:rPr>
        <w:t>gNB</w:t>
      </w:r>
      <w:proofErr w:type="spellEnd"/>
      <w:r w:rsidRPr="007951B8">
        <w:rPr>
          <w:b w:val="0"/>
          <w:bCs w:val="0"/>
        </w:rPr>
        <w:t xml:space="preserve"> radio interface procedures for LTM can be re-used for inter-</w:t>
      </w:r>
      <w:proofErr w:type="spellStart"/>
      <w:r w:rsidRPr="007951B8">
        <w:rPr>
          <w:b w:val="0"/>
          <w:bCs w:val="0"/>
        </w:rPr>
        <w:t>gNB</w:t>
      </w:r>
      <w:proofErr w:type="spellEnd"/>
      <w:r w:rsidRPr="007951B8">
        <w:rPr>
          <w:b w:val="0"/>
          <w:bCs w:val="0"/>
        </w:rPr>
        <w:t xml:space="preserve"> LTM.  Some exceptions are related to the RB handling such as security, </w:t>
      </w:r>
      <w:proofErr w:type="spellStart"/>
      <w:r w:rsidRPr="007951B8">
        <w:rPr>
          <w:b w:val="0"/>
          <w:bCs w:val="0"/>
        </w:rPr>
        <w:t>RoHC</w:t>
      </w:r>
      <w:proofErr w:type="spellEnd"/>
      <w:r w:rsidRPr="007951B8">
        <w:rPr>
          <w:b w:val="0"/>
          <w:bCs w:val="0"/>
        </w:rPr>
        <w:t xml:space="preserve"> handling, only </w:t>
      </w:r>
      <w:proofErr w:type="gramStart"/>
      <w:r w:rsidRPr="007951B8">
        <w:rPr>
          <w:b w:val="0"/>
          <w:bCs w:val="0"/>
        </w:rPr>
        <w:t>where</w:t>
      </w:r>
      <w:proofErr w:type="gramEnd"/>
      <w:r w:rsidRPr="007951B8">
        <w:rPr>
          <w:b w:val="0"/>
          <w:bCs w:val="0"/>
        </w:rPr>
        <w:t xml:space="preserve"> essential.</w:t>
      </w:r>
    </w:p>
    <w:p w14:paraId="002879B5" w14:textId="0AF5EDCF" w:rsidR="007951B8" w:rsidRPr="007951B8" w:rsidRDefault="007951B8" w:rsidP="007951B8">
      <w:pPr>
        <w:pStyle w:val="Obs-prop"/>
        <w:rPr>
          <w:b w:val="0"/>
          <w:bCs w:val="0"/>
        </w:rPr>
      </w:pPr>
      <w:r>
        <w:t xml:space="preserve">Observation #2:  </w:t>
      </w:r>
      <w:r w:rsidRPr="007951B8">
        <w:rPr>
          <w:b w:val="0"/>
          <w:bCs w:val="0"/>
        </w:rPr>
        <w:t xml:space="preserve">The key, </w:t>
      </w:r>
      <w:proofErr w:type="spellStart"/>
      <w:r w:rsidRPr="007951B8">
        <w:rPr>
          <w:b w:val="0"/>
          <w:bCs w:val="0"/>
        </w:rPr>
        <w:t>KgNB</w:t>
      </w:r>
      <w:proofErr w:type="spellEnd"/>
      <w:r w:rsidRPr="007951B8">
        <w:rPr>
          <w:b w:val="0"/>
          <w:bCs w:val="0"/>
        </w:rPr>
        <w:t xml:space="preserve">, used in the cells of a CU is the key of the first cell where the UE entered the CU.  </w:t>
      </w:r>
    </w:p>
    <w:p w14:paraId="2BD1D186" w14:textId="77777777" w:rsidR="007951B8" w:rsidRDefault="007951B8" w:rsidP="007951B8">
      <w:pPr>
        <w:pStyle w:val="Obs-prop"/>
      </w:pPr>
      <w:r>
        <w:t xml:space="preserve">Observation #3: </w:t>
      </w:r>
      <w:r w:rsidRPr="007951B8">
        <w:rPr>
          <w:b w:val="0"/>
          <w:bCs w:val="0"/>
        </w:rPr>
        <w:t>Peripheral cells of a CU will require two pre-configurations, one to be used when UE is moving to the cell from another CU, and other to be used when UE is moving from a cell within the same CU.</w:t>
      </w:r>
      <w:r>
        <w:t xml:space="preserve">  </w:t>
      </w:r>
    </w:p>
    <w:p w14:paraId="2B5FC112" w14:textId="765FE065" w:rsidR="007951B8" w:rsidRDefault="007951B8" w:rsidP="007951B8">
      <w:pPr>
        <w:pStyle w:val="Obs-prop"/>
      </w:pPr>
      <w:r>
        <w:t xml:space="preserve">Proposal #1: </w:t>
      </w:r>
      <w:r w:rsidRPr="007951B8">
        <w:rPr>
          <w:b w:val="0"/>
          <w:bCs w:val="0"/>
        </w:rPr>
        <w:t>Peripheral cells of a CU can be provided two pre-configurations, one to be used when UE is moving to the cell from another CU, and other to be used when UE is moving from a cell within the same CU. An ID is used to group cells of a CU.  UE mobility within the cells with the same ID will invoke one configuration, while cells with different ID will invoke the other configuration.</w:t>
      </w:r>
    </w:p>
    <w:p w14:paraId="137EAB08" w14:textId="77777777" w:rsidR="007951B8" w:rsidRPr="00792817" w:rsidRDefault="007951B8" w:rsidP="007951B8">
      <w:pPr>
        <w:pStyle w:val="Obs-prop"/>
      </w:pPr>
      <w:r>
        <w:t xml:space="preserve">Proposal #2: </w:t>
      </w:r>
      <w:r w:rsidRPr="007951B8">
        <w:rPr>
          <w:b w:val="0"/>
          <w:bCs w:val="0"/>
        </w:rPr>
        <w:t xml:space="preserve">Only one reference configuration is used for intra and inter-CU LTM. </w:t>
      </w:r>
    </w:p>
    <w:p w14:paraId="7D73FD10" w14:textId="5730794D" w:rsidR="007951B8" w:rsidRDefault="007951B8" w:rsidP="007951B8">
      <w:pPr>
        <w:pStyle w:val="Obs-prop"/>
      </w:pPr>
      <w:r>
        <w:t xml:space="preserve">Observation #4: </w:t>
      </w:r>
      <w:r w:rsidRPr="007951B8">
        <w:rPr>
          <w:b w:val="0"/>
          <w:bCs w:val="0"/>
        </w:rPr>
        <w:t xml:space="preserve">Network deployments may not always support </w:t>
      </w:r>
      <w:proofErr w:type="spellStart"/>
      <w:r w:rsidRPr="007951B8">
        <w:rPr>
          <w:b w:val="0"/>
          <w:bCs w:val="0"/>
        </w:rPr>
        <w:t>Xn</w:t>
      </w:r>
      <w:proofErr w:type="spellEnd"/>
      <w:r w:rsidRPr="007951B8">
        <w:rPr>
          <w:b w:val="0"/>
          <w:bCs w:val="0"/>
        </w:rPr>
        <w:t xml:space="preserve"> interface across neighbouring cells.  NG-C HO is the fallback HO in network deployments and is always supported.  </w:t>
      </w:r>
      <w:proofErr w:type="gramStart"/>
      <w:r w:rsidRPr="007951B8">
        <w:rPr>
          <w:b w:val="0"/>
          <w:bCs w:val="0"/>
        </w:rPr>
        <w:t>However</w:t>
      </w:r>
      <w:proofErr w:type="gramEnd"/>
      <w:r w:rsidRPr="007951B8">
        <w:rPr>
          <w:b w:val="0"/>
          <w:bCs w:val="0"/>
        </w:rPr>
        <w:t xml:space="preserve"> CHO is not supported over NG-C.</w:t>
      </w:r>
    </w:p>
    <w:p w14:paraId="65C040A0" w14:textId="77777777" w:rsidR="007951B8" w:rsidRDefault="007951B8" w:rsidP="007951B8">
      <w:pPr>
        <w:pStyle w:val="Obs-prop"/>
      </w:pPr>
      <w:r>
        <w:t xml:space="preserve">Observation #5: </w:t>
      </w:r>
      <w:r w:rsidRPr="007951B8">
        <w:rPr>
          <w:b w:val="0"/>
          <w:bCs w:val="0"/>
        </w:rPr>
        <w:t>Complexity of supporting NG-C based LTM depends on the security solution.</w:t>
      </w:r>
    </w:p>
    <w:p w14:paraId="1B7C3708" w14:textId="4D9FAF5E" w:rsidR="007951B8" w:rsidRDefault="007951B8" w:rsidP="007951B8">
      <w:pPr>
        <w:pStyle w:val="Obs-prop"/>
      </w:pPr>
      <w:r>
        <w:t xml:space="preserve">Proposal #3: </w:t>
      </w:r>
      <w:r w:rsidRPr="007951B8">
        <w:rPr>
          <w:b w:val="0"/>
          <w:bCs w:val="0"/>
        </w:rPr>
        <w:t>Postpone the decision on supporting NG-C based inter-CU LTM cell switch until after the security solution direction is better understood.</w:t>
      </w:r>
    </w:p>
    <w:p w14:paraId="42595184" w14:textId="77777777" w:rsidR="00E841B5" w:rsidRPr="00E841B5" w:rsidRDefault="00E841B5" w:rsidP="00E841B5"/>
    <w:sectPr w:rsidR="00E841B5" w:rsidRPr="00E841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F8414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4855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66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40A"/>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5EF4"/>
    <w:rsid w:val="000A6AC1"/>
    <w:rsid w:val="000A6C96"/>
    <w:rsid w:val="000A6F4D"/>
    <w:rsid w:val="000A75B0"/>
    <w:rsid w:val="000B7A4F"/>
    <w:rsid w:val="000C0749"/>
    <w:rsid w:val="000C088C"/>
    <w:rsid w:val="000C1817"/>
    <w:rsid w:val="000C1FE2"/>
    <w:rsid w:val="000C2537"/>
    <w:rsid w:val="000C4BD4"/>
    <w:rsid w:val="000C523A"/>
    <w:rsid w:val="000C641B"/>
    <w:rsid w:val="000C7A7E"/>
    <w:rsid w:val="000D031F"/>
    <w:rsid w:val="000D0609"/>
    <w:rsid w:val="000D2585"/>
    <w:rsid w:val="000D2D90"/>
    <w:rsid w:val="000D33D7"/>
    <w:rsid w:val="000D53F8"/>
    <w:rsid w:val="000D54E1"/>
    <w:rsid w:val="000D59A5"/>
    <w:rsid w:val="000D5D4E"/>
    <w:rsid w:val="000E17F5"/>
    <w:rsid w:val="000E20BF"/>
    <w:rsid w:val="000E419D"/>
    <w:rsid w:val="000E5094"/>
    <w:rsid w:val="000E558E"/>
    <w:rsid w:val="000E5F14"/>
    <w:rsid w:val="000E7453"/>
    <w:rsid w:val="000E7F74"/>
    <w:rsid w:val="000F0563"/>
    <w:rsid w:val="000F0E19"/>
    <w:rsid w:val="000F0FE5"/>
    <w:rsid w:val="000F16D5"/>
    <w:rsid w:val="000F43AB"/>
    <w:rsid w:val="000F4AD6"/>
    <w:rsid w:val="000F6280"/>
    <w:rsid w:val="000F7296"/>
    <w:rsid w:val="000F791E"/>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0BDD"/>
    <w:rsid w:val="00171235"/>
    <w:rsid w:val="00172E7A"/>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624"/>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5A57"/>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F13"/>
    <w:rsid w:val="002D6512"/>
    <w:rsid w:val="002D702D"/>
    <w:rsid w:val="002E18D2"/>
    <w:rsid w:val="002E20F8"/>
    <w:rsid w:val="002E35FA"/>
    <w:rsid w:val="002E4701"/>
    <w:rsid w:val="002E4813"/>
    <w:rsid w:val="002E5245"/>
    <w:rsid w:val="002E675A"/>
    <w:rsid w:val="002E726D"/>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1735A"/>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C38"/>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739"/>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2F50"/>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950"/>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1B8A"/>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7C5"/>
    <w:rsid w:val="00525BE0"/>
    <w:rsid w:val="00526286"/>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26FB"/>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490E"/>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6F8"/>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817"/>
    <w:rsid w:val="0079473D"/>
    <w:rsid w:val="00794D2C"/>
    <w:rsid w:val="007951B8"/>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B7F"/>
    <w:rsid w:val="008D7D7D"/>
    <w:rsid w:val="008E2A44"/>
    <w:rsid w:val="008E4758"/>
    <w:rsid w:val="008F0FD3"/>
    <w:rsid w:val="008F1BF2"/>
    <w:rsid w:val="008F235D"/>
    <w:rsid w:val="008F2B4B"/>
    <w:rsid w:val="008F3B2E"/>
    <w:rsid w:val="008F4925"/>
    <w:rsid w:val="008F5091"/>
    <w:rsid w:val="008F56CA"/>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98E"/>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165A"/>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66C"/>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811"/>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A4C"/>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8E1"/>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4C87"/>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13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1B5"/>
    <w:rsid w:val="00E8467A"/>
    <w:rsid w:val="00E8497F"/>
    <w:rsid w:val="00E877D5"/>
    <w:rsid w:val="00E906A0"/>
    <w:rsid w:val="00E90C69"/>
    <w:rsid w:val="00E91C09"/>
    <w:rsid w:val="00E9221B"/>
    <w:rsid w:val="00E92D03"/>
    <w:rsid w:val="00E92EEE"/>
    <w:rsid w:val="00E949F0"/>
    <w:rsid w:val="00E967B1"/>
    <w:rsid w:val="00E9787A"/>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C1A"/>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7E74337"/>
    <w:rsid w:val="0B168CFC"/>
    <w:rsid w:val="0D0D273A"/>
    <w:rsid w:val="1212E929"/>
    <w:rsid w:val="239E36CA"/>
    <w:rsid w:val="34306E91"/>
    <w:rsid w:val="35600BFD"/>
    <w:rsid w:val="3619553D"/>
    <w:rsid w:val="39CD34BA"/>
    <w:rsid w:val="3C3B8076"/>
    <w:rsid w:val="3FC14DBD"/>
    <w:rsid w:val="435FF9C3"/>
    <w:rsid w:val="49425E05"/>
    <w:rsid w:val="4E7F4316"/>
    <w:rsid w:val="5063DF98"/>
    <w:rsid w:val="5303C856"/>
    <w:rsid w:val="539B805A"/>
    <w:rsid w:val="5AF0BB29"/>
    <w:rsid w:val="62736C7F"/>
    <w:rsid w:val="6BAB7B32"/>
    <w:rsid w:val="7539351B"/>
    <w:rsid w:val="7B4868C3"/>
    <w:rsid w:val="7E547E2D"/>
    <w:rsid w:val="7F003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E160E2C"/>
  <w15:docId w15:val="{CEB0BC52-011A-4056-B771-EFC82508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494"/>
  </w:style>
  <w:style w:type="paragraph" w:styleId="Heading1">
    <w:name w:val="heading 1"/>
    <w:basedOn w:val="Normal"/>
    <w:next w:val="Normal"/>
    <w:link w:val="Heading1Char"/>
    <w:uiPriority w:val="9"/>
    <w:qFormat/>
    <w:rsid w:val="00194624"/>
    <w:pPr>
      <w:keepNext/>
      <w:keepLines/>
      <w:numPr>
        <w:numId w:val="1"/>
      </w:numPr>
      <w:spacing w:before="240" w:after="0" w:line="240" w:lineRule="auto"/>
      <w:outlineLvl w:val="0"/>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194624"/>
    <w:pPr>
      <w:keepNext/>
      <w:keepLines/>
      <w:numPr>
        <w:ilvl w:val="1"/>
        <w:numId w:val="1"/>
      </w:numPr>
      <w:spacing w:before="40" w:after="0" w:line="240"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paragraph" w:styleId="Heading3">
    <w:name w:val="heading 3"/>
    <w:basedOn w:val="Normal"/>
    <w:next w:val="Normal"/>
    <w:link w:val="Heading3Char"/>
    <w:uiPriority w:val="9"/>
    <w:semiHidden/>
    <w:unhideWhenUsed/>
    <w:qFormat/>
    <w:rsid w:val="00194624"/>
    <w:pPr>
      <w:keepNext/>
      <w:keepLines/>
      <w:numPr>
        <w:ilvl w:val="2"/>
        <w:numId w:val="1"/>
      </w:numPr>
      <w:spacing w:before="40" w:after="0" w:line="240" w:lineRule="auto"/>
      <w:outlineLvl w:val="2"/>
    </w:pPr>
    <w:rPr>
      <w:rFonts w:asciiTheme="majorHAnsi" w:eastAsiaTheme="majorEastAsia" w:hAnsiTheme="majorHAnsi" w:cstheme="majorBidi"/>
      <w:color w:val="1F3763" w:themeColor="accent1" w:themeShade="7F"/>
      <w:kern w:val="2"/>
      <w:sz w:val="24"/>
      <w:szCs w:val="24"/>
      <w14:ligatures w14:val="standardContextual"/>
    </w:rPr>
  </w:style>
  <w:style w:type="paragraph" w:styleId="Heading4">
    <w:name w:val="heading 4"/>
    <w:basedOn w:val="Normal"/>
    <w:next w:val="Normal"/>
    <w:link w:val="Heading4Char"/>
    <w:uiPriority w:val="9"/>
    <w:semiHidden/>
    <w:unhideWhenUsed/>
    <w:qFormat/>
    <w:rsid w:val="00194624"/>
    <w:pPr>
      <w:keepNext/>
      <w:keepLines/>
      <w:numPr>
        <w:ilvl w:val="3"/>
        <w:numId w:val="1"/>
      </w:numPr>
      <w:spacing w:before="40" w:after="0" w:line="240" w:lineRule="auto"/>
      <w:outlineLvl w:val="3"/>
    </w:pPr>
    <w:rPr>
      <w:rFonts w:asciiTheme="majorHAnsi" w:eastAsiaTheme="majorEastAsia" w:hAnsiTheme="maj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94624"/>
    <w:pPr>
      <w:keepNext/>
      <w:keepLines/>
      <w:numPr>
        <w:ilvl w:val="4"/>
        <w:numId w:val="1"/>
      </w:numPr>
      <w:spacing w:before="40" w:after="0" w:line="240" w:lineRule="auto"/>
      <w:outlineLvl w:val="4"/>
    </w:pPr>
    <w:rPr>
      <w:rFonts w:asciiTheme="majorHAnsi" w:eastAsiaTheme="majorEastAsia" w:hAnsiTheme="maj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9462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kern w:val="2"/>
      <w14:ligatures w14:val="standardContextual"/>
    </w:rPr>
  </w:style>
  <w:style w:type="paragraph" w:styleId="Heading7">
    <w:name w:val="heading 7"/>
    <w:basedOn w:val="Normal"/>
    <w:next w:val="Normal"/>
    <w:link w:val="Heading7Char"/>
    <w:uiPriority w:val="9"/>
    <w:semiHidden/>
    <w:unhideWhenUsed/>
    <w:qFormat/>
    <w:rsid w:val="0019462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kern w:val="2"/>
      <w14:ligatures w14:val="standardContextual"/>
    </w:rPr>
  </w:style>
  <w:style w:type="paragraph" w:styleId="Heading8">
    <w:name w:val="heading 8"/>
    <w:basedOn w:val="Normal"/>
    <w:next w:val="Normal"/>
    <w:link w:val="Heading8Char"/>
    <w:uiPriority w:val="9"/>
    <w:semiHidden/>
    <w:unhideWhenUsed/>
    <w:qFormat/>
    <w:rsid w:val="0019462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Heading9">
    <w:name w:val="heading 9"/>
    <w:basedOn w:val="Normal"/>
    <w:next w:val="Normal"/>
    <w:link w:val="Heading9Char"/>
    <w:uiPriority w:val="9"/>
    <w:semiHidden/>
    <w:unhideWhenUsed/>
    <w:qFormat/>
    <w:rsid w:val="0019462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194624"/>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2Char">
    <w:name w:val="Heading 2 Char"/>
    <w:basedOn w:val="DefaultParagraphFont"/>
    <w:link w:val="Heading2"/>
    <w:uiPriority w:val="9"/>
    <w:rsid w:val="00194624"/>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Heading3Char">
    <w:name w:val="Heading 3 Char"/>
    <w:basedOn w:val="DefaultParagraphFont"/>
    <w:link w:val="Heading3"/>
    <w:uiPriority w:val="9"/>
    <w:semiHidden/>
    <w:rsid w:val="00194624"/>
    <w:rPr>
      <w:rFonts w:asciiTheme="majorHAnsi" w:eastAsiaTheme="majorEastAsia" w:hAnsiTheme="majorHAnsi" w:cstheme="majorBidi"/>
      <w:color w:val="1F3763" w:themeColor="accent1" w:themeShade="7F"/>
      <w:kern w:val="2"/>
      <w:sz w:val="24"/>
      <w:szCs w:val="24"/>
      <w14:ligatures w14:val="standardContextual"/>
    </w:rPr>
  </w:style>
  <w:style w:type="character" w:customStyle="1" w:styleId="Heading4Char">
    <w:name w:val="Heading 4 Char"/>
    <w:basedOn w:val="DefaultParagraphFont"/>
    <w:link w:val="Heading4"/>
    <w:uiPriority w:val="9"/>
    <w:semiHidden/>
    <w:rsid w:val="00194624"/>
    <w:rPr>
      <w:rFonts w:asciiTheme="majorHAnsi" w:eastAsiaTheme="majorEastAsia" w:hAnsiTheme="majorHAnsi"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194624"/>
    <w:rPr>
      <w:rFonts w:asciiTheme="majorHAnsi" w:eastAsiaTheme="majorEastAsia" w:hAnsiTheme="majorHAnsi"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194624"/>
    <w:rPr>
      <w:rFonts w:asciiTheme="majorHAnsi" w:eastAsiaTheme="majorEastAsia" w:hAnsiTheme="majorHAnsi" w:cstheme="majorBidi"/>
      <w:color w:val="1F3763" w:themeColor="accent1" w:themeShade="7F"/>
      <w:kern w:val="2"/>
      <w14:ligatures w14:val="standardContextual"/>
    </w:rPr>
  </w:style>
  <w:style w:type="character" w:customStyle="1" w:styleId="Heading7Char">
    <w:name w:val="Heading 7 Char"/>
    <w:basedOn w:val="DefaultParagraphFont"/>
    <w:link w:val="Heading7"/>
    <w:uiPriority w:val="9"/>
    <w:semiHidden/>
    <w:rsid w:val="00194624"/>
    <w:rPr>
      <w:rFonts w:asciiTheme="majorHAnsi" w:eastAsiaTheme="majorEastAsia" w:hAnsiTheme="majorHAnsi" w:cstheme="majorBidi"/>
      <w:i/>
      <w:iCs/>
      <w:color w:val="1F3763" w:themeColor="accent1" w:themeShade="7F"/>
      <w:kern w:val="2"/>
      <w14:ligatures w14:val="standardContextual"/>
    </w:rPr>
  </w:style>
  <w:style w:type="character" w:customStyle="1" w:styleId="Heading8Char">
    <w:name w:val="Heading 8 Char"/>
    <w:basedOn w:val="DefaultParagraphFont"/>
    <w:link w:val="Heading8"/>
    <w:uiPriority w:val="9"/>
    <w:semiHidden/>
    <w:rsid w:val="00194624"/>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Heading9Char">
    <w:name w:val="Heading 9 Char"/>
    <w:basedOn w:val="DefaultParagraphFont"/>
    <w:link w:val="Heading9"/>
    <w:uiPriority w:val="9"/>
    <w:semiHidden/>
    <w:rsid w:val="00194624"/>
    <w:rPr>
      <w:rFonts w:asciiTheme="majorHAnsi" w:eastAsiaTheme="majorEastAsia" w:hAnsiTheme="majorHAnsi" w:cstheme="majorBidi"/>
      <w:i/>
      <w:iCs/>
      <w:color w:val="272727" w:themeColor="text1" w:themeTint="D8"/>
      <w:kern w:val="2"/>
      <w:sz w:val="21"/>
      <w:szCs w:val="21"/>
      <w14:ligatures w14:val="standardContextual"/>
    </w:rPr>
  </w:style>
  <w:style w:type="paragraph" w:customStyle="1" w:styleId="paragraph">
    <w:name w:val="paragraph"/>
    <w:basedOn w:val="Normal"/>
    <w:rsid w:val="0019462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4624"/>
  </w:style>
  <w:style w:type="character" w:customStyle="1" w:styleId="tabchar">
    <w:name w:val="tabchar"/>
    <w:basedOn w:val="DefaultParagraphFont"/>
    <w:rsid w:val="00194624"/>
  </w:style>
  <w:style w:type="character" w:customStyle="1" w:styleId="eop">
    <w:name w:val="eop"/>
    <w:basedOn w:val="DefaultParagraphFont"/>
    <w:rsid w:val="00194624"/>
  </w:style>
  <w:style w:type="paragraph" w:styleId="Revision">
    <w:name w:val="Revision"/>
    <w:hidden/>
    <w:uiPriority w:val="99"/>
    <w:semiHidden/>
    <w:rsid w:val="007566F8"/>
    <w:pPr>
      <w:spacing w:after="0" w:line="240" w:lineRule="auto"/>
    </w:pPr>
  </w:style>
  <w:style w:type="character" w:styleId="CommentReference">
    <w:name w:val="annotation reference"/>
    <w:basedOn w:val="DefaultParagraphFont"/>
    <w:uiPriority w:val="99"/>
    <w:semiHidden/>
    <w:unhideWhenUsed/>
    <w:rsid w:val="007566F8"/>
    <w:rPr>
      <w:sz w:val="16"/>
      <w:szCs w:val="16"/>
    </w:rPr>
  </w:style>
  <w:style w:type="paragraph" w:styleId="CommentText">
    <w:name w:val="annotation text"/>
    <w:basedOn w:val="Normal"/>
    <w:link w:val="CommentTextChar"/>
    <w:uiPriority w:val="99"/>
    <w:unhideWhenUsed/>
    <w:rsid w:val="007566F8"/>
    <w:pPr>
      <w:spacing w:line="240" w:lineRule="auto"/>
    </w:pPr>
    <w:rPr>
      <w:sz w:val="20"/>
      <w:szCs w:val="20"/>
    </w:rPr>
  </w:style>
  <w:style w:type="character" w:customStyle="1" w:styleId="CommentTextChar">
    <w:name w:val="Comment Text Char"/>
    <w:basedOn w:val="DefaultParagraphFont"/>
    <w:link w:val="CommentText"/>
    <w:uiPriority w:val="99"/>
    <w:rsid w:val="007566F8"/>
    <w:rPr>
      <w:sz w:val="20"/>
      <w:szCs w:val="20"/>
    </w:rPr>
  </w:style>
  <w:style w:type="paragraph" w:styleId="CommentSubject">
    <w:name w:val="annotation subject"/>
    <w:basedOn w:val="CommentText"/>
    <w:next w:val="CommentText"/>
    <w:link w:val="CommentSubjectChar"/>
    <w:uiPriority w:val="99"/>
    <w:semiHidden/>
    <w:unhideWhenUsed/>
    <w:rsid w:val="007566F8"/>
    <w:rPr>
      <w:b/>
      <w:bCs/>
    </w:rPr>
  </w:style>
  <w:style w:type="character" w:customStyle="1" w:styleId="CommentSubjectChar">
    <w:name w:val="Comment Subject Char"/>
    <w:basedOn w:val="CommentTextChar"/>
    <w:link w:val="CommentSubject"/>
    <w:uiPriority w:val="99"/>
    <w:semiHidden/>
    <w:rsid w:val="007566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839458">
      <w:bodyDiv w:val="1"/>
      <w:marLeft w:val="0"/>
      <w:marRight w:val="0"/>
      <w:marTop w:val="0"/>
      <w:marBottom w:val="0"/>
      <w:divBdr>
        <w:top w:val="none" w:sz="0" w:space="0" w:color="auto"/>
        <w:left w:val="none" w:sz="0" w:space="0" w:color="auto"/>
        <w:bottom w:val="none" w:sz="0" w:space="0" w:color="auto"/>
        <w:right w:val="none" w:sz="0" w:space="0" w:color="auto"/>
      </w:divBdr>
      <w:divsChild>
        <w:div w:id="624122484">
          <w:marLeft w:val="0"/>
          <w:marRight w:val="0"/>
          <w:marTop w:val="0"/>
          <w:marBottom w:val="0"/>
          <w:divBdr>
            <w:top w:val="none" w:sz="0" w:space="0" w:color="auto"/>
            <w:left w:val="none" w:sz="0" w:space="0" w:color="auto"/>
            <w:bottom w:val="none" w:sz="0" w:space="0" w:color="auto"/>
            <w:right w:val="none" w:sz="0" w:space="0" w:color="auto"/>
          </w:divBdr>
        </w:div>
        <w:div w:id="7483831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EC6C37C-D28A-4E91-A4C8-C413A4EAF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DF1A9-5EAA-4C35-B064-509F8C16C07E}">
  <ds:schemaRefs>
    <ds:schemaRef ds:uri="http://schemas.microsoft.com/sharepoint/v3/contenttype/forms"/>
  </ds:schemaRefs>
</ds:datastoreItem>
</file>

<file path=customXml/itemProps3.xml><?xml version="1.0" encoding="utf-8"?>
<ds:datastoreItem xmlns:ds="http://schemas.openxmlformats.org/officeDocument/2006/customXml" ds:itemID="{45E73777-A835-47F4-A6E4-547DC7C12B54}">
  <ds:schemaRefs>
    <ds:schemaRef ds:uri="042397af-7977-45ef-9118-11c18c8623b6"/>
    <ds:schemaRef ds:uri="80530660-24fd-4391-a7a1-d653900fee43"/>
    <ds:schemaRef ds:uri="http://purl.org/dc/terms/"/>
    <ds:schemaRef ds:uri="a7bc6c04-a6f3-4b85-abcc-278c78dc556b"/>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NR_Mob_enh2-Core</cp:lastModifiedBy>
  <cp:revision>6</cp:revision>
  <dcterms:created xsi:type="dcterms:W3CDTF">2024-05-06T17:53:00Z</dcterms:created>
  <dcterms:modified xsi:type="dcterms:W3CDTF">2024-05-09T15:34:00Z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