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media/image1.png" ContentType="image/png"/>
  <Override PartName="/word/document.xml" ContentType="application/vnd.openxmlformats-officedocument.wordprocessingml.document.main+xml"/>
  <Override PartName="/_rels/.rels" ContentType="application/vnd.openxmlformats-package.relationships+xml"/>
  <Override PartName="/customXml/item1.xml" ContentType="application/xml"/>
  <Override PartName="/customXml/itemProps5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_rels/item5.xml.rels" ContentType="application/vnd.openxmlformats-package.relationships+xml"/>
  <Override PartName="/customXml/_rels/item2.xml.rels" ContentType="application/vnd.openxmlformats-package.relationship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  <Override PartName="/customXml/item5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tabs>
          <w:tab w:val="clear" w:pos="284"/>
          <w:tab w:val="right" w:pos="9639" w:leader="none"/>
        </w:tabs>
        <w:rPr>
          <w:bCs/>
          <w:i/>
          <w:i/>
          <w:sz w:val="24"/>
          <w:szCs w:val="24"/>
        </w:rPr>
      </w:pPr>
      <w:r>
        <w:rPr>
          <w:bCs/>
          <w:sz w:val="24"/>
          <w:szCs w:val="24"/>
        </w:rPr>
        <w:t>3GPP TSG-RAN WG2 Meeting #125</w:t>
        <w:tab/>
        <w:t>R2-</w:t>
      </w:r>
      <w:r>
        <w:rPr>
          <w:bCs/>
          <w:i/>
          <w:sz w:val="24"/>
          <w:szCs w:val="24"/>
        </w:rPr>
        <w:t>2403238</w:t>
      </w:r>
    </w:p>
    <w:p>
      <w:pPr>
        <w:pStyle w:val="Header"/>
        <w:tabs>
          <w:tab w:val="clear" w:pos="284"/>
          <w:tab w:val="right" w:pos="9639" w:leader="none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Changsha, Hunan Province, China, 15 April – 19 April 2024</w:t>
      </w:r>
      <w:r>
        <w:rPr>
          <w:rFonts w:eastAsia="SimSun"/>
          <w:sz w:val="24"/>
          <w:szCs w:val="24"/>
          <w:lang w:eastAsia="zh-CN"/>
        </w:rPr>
        <w:tab/>
      </w:r>
    </w:p>
    <w:p>
      <w:pPr>
        <w:pStyle w:val="Header"/>
        <w:rPr>
          <w:bCs/>
          <w:sz w:val="24"/>
        </w:rPr>
      </w:pPr>
      <w:r>
        <w:rPr>
          <w:bCs/>
          <w:sz w:val="24"/>
        </w:rPr>
      </w:r>
    </w:p>
    <w:p>
      <w:pPr>
        <w:pStyle w:val="Header"/>
        <w:rPr>
          <w:bCs/>
          <w:sz w:val="24"/>
        </w:rPr>
      </w:pPr>
      <w:r>
        <w:rPr>
          <w:bCs/>
          <w:sz w:val="24"/>
        </w:rPr>
      </w:r>
    </w:p>
    <w:p>
      <w:pPr>
        <w:pStyle w:val="CRCoverPage"/>
        <w:tabs>
          <w:tab w:val="clear" w:pos="284"/>
          <w:tab w:val="left" w:pos="1985" w:leader="none"/>
        </w:tabs>
        <w:rPr>
          <w:rFonts w:cs="Arial"/>
          <w:b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  <w:tab/>
        <w:t>8.6.2</w:t>
      </w:r>
    </w:p>
    <w:p>
      <w:pPr>
        <w:pStyle w:val="Normal"/>
        <w:tabs>
          <w:tab w:val="clear" w:pos="284"/>
          <w:tab w:val="left" w:pos="1985" w:leader="none"/>
        </w:tabs>
        <w:ind w:left="1985" w:hanging="1985"/>
        <w:rPr>
          <w:rFonts w:ascii="Arial" w:hAnsi="Arial" w:cs="Arial"/>
          <w:b/>
          <w:b/>
          <w:bCs/>
          <w:sz w:val="24"/>
        </w:rPr>
      </w:pPr>
      <w:r>
        <w:rPr>
          <w:rFonts w:cs="Arial" w:ascii="Arial" w:hAnsi="Arial"/>
          <w:b/>
          <w:bCs/>
          <w:sz w:val="24"/>
        </w:rPr>
        <w:t>Source:</w:t>
        <w:tab/>
        <w:t>CEWiT, IITM, India</w:t>
      </w:r>
    </w:p>
    <w:p>
      <w:pPr>
        <w:pStyle w:val="Normal"/>
        <w:ind w:left="1985" w:hanging="1985"/>
        <w:rPr>
          <w:rFonts w:ascii="Arial" w:hAnsi="Arial" w:cs="Arial"/>
          <w:b/>
          <w:b/>
          <w:bCs/>
          <w:sz w:val="24"/>
        </w:rPr>
      </w:pPr>
      <w:r>
        <w:rPr>
          <w:rFonts w:cs="Arial" w:ascii="Arial" w:hAnsi="Arial"/>
          <w:b/>
          <w:bCs/>
          <w:sz w:val="24"/>
        </w:rPr>
        <w:t>Title:</w:t>
        <w:tab/>
        <w:t>LTM enhancements for Inter-CU mobility</w:t>
      </w:r>
    </w:p>
    <w:p>
      <w:pPr>
        <w:pStyle w:val="Normal"/>
        <w:ind w:left="1985" w:hanging="1985"/>
        <w:rPr>
          <w:rFonts w:ascii="Arial" w:hAnsi="Arial" w:cs="Arial"/>
          <w:b/>
          <w:b/>
          <w:bCs/>
          <w:sz w:val="24"/>
        </w:rPr>
      </w:pPr>
      <w:r>
        <w:rPr>
          <w:rFonts w:cs="Arial" w:ascii="Arial" w:hAnsi="Arial"/>
          <w:b/>
          <w:bCs/>
          <w:sz w:val="24"/>
        </w:rPr>
        <w:t>WID/SID:</w:t>
        <w:tab/>
      </w:r>
      <w:r>
        <w:rPr>
          <w:rFonts w:eastAsia="Malgun Gothic" w:cs="Arial" w:ascii="Arial" w:hAnsi="Arial"/>
          <w:b/>
          <w:bCs/>
          <w:sz w:val="24"/>
          <w:szCs w:val="20"/>
          <w:lang w:val="en-US" w:eastAsia="en-US"/>
        </w:rPr>
        <w:t>NR_Mob_Ph4-Core</w:t>
      </w:r>
      <w:r>
        <w:rPr>
          <w:rFonts w:cs="Arial" w:ascii="Arial" w:hAnsi="Arial"/>
          <w:b/>
          <w:bCs/>
          <w:sz w:val="24"/>
        </w:rPr>
        <w:t>;- Release 19</w:t>
      </w:r>
    </w:p>
    <w:p>
      <w:pPr>
        <w:pStyle w:val="Normal"/>
        <w:tabs>
          <w:tab w:val="clear" w:pos="284"/>
          <w:tab w:val="left" w:pos="1985" w:leader="none"/>
        </w:tabs>
        <w:rPr>
          <w:rFonts w:ascii="Arial" w:hAnsi="Arial" w:cs="Arial"/>
          <w:b/>
          <w:b/>
          <w:bCs/>
          <w:sz w:val="24"/>
        </w:rPr>
      </w:pPr>
      <w:r>
        <w:rPr>
          <w:rFonts w:cs="Arial" w:ascii="Arial" w:hAnsi="Arial"/>
          <w:b/>
          <w:bCs/>
          <w:sz w:val="24"/>
        </w:rPr>
        <w:t>Document for:</w:t>
        <w:tab/>
        <w:t>Discussion and Decision</w:t>
      </w:r>
    </w:p>
    <w:p>
      <w:pPr>
        <w:pStyle w:val="Heading1"/>
        <w:numPr>
          <w:ilvl w:val="0"/>
          <w:numId w:val="1"/>
        </w:numPr>
        <w:rPr/>
      </w:pPr>
      <w:r>
        <w:rPr/>
        <w:t>Introduction</w:t>
      </w:r>
    </w:p>
    <w:p>
      <w:pPr>
        <w:pStyle w:val="Normal"/>
        <w:rPr/>
      </w:pPr>
      <w:r>
        <w:rPr/>
        <w:t>According to the agreements in [1]:</w:t>
      </w:r>
    </w:p>
    <w:tbl>
      <w:tblPr>
        <w:tblStyle w:val="TableGrid"/>
        <w:tblW w:w="9581" w:type="dxa"/>
        <w:jc w:val="left"/>
        <w:tblInd w:w="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581"/>
      </w:tblGrid>
      <w:tr>
        <w:trPr/>
        <w:tc>
          <w:tcPr>
            <w:tcW w:w="9581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rPr>
                <w:bCs/>
              </w:rPr>
            </w:pPr>
            <w:r>
              <w:rPr>
                <w:bCs/>
              </w:rPr>
              <w:t>Specify support for inter-CU Layer1/Layer 2 Triggered Mobility (LTM) [RAN2, RAN3]</w:t>
            </w:r>
          </w:p>
          <w:p>
            <w:pPr>
              <w:pStyle w:val="Normal"/>
              <w:widowControl w:val="false"/>
              <w:numPr>
                <w:ilvl w:val="1"/>
                <w:numId w:val="2"/>
              </w:numPr>
              <w:spacing w:before="0" w:after="0"/>
              <w:rPr>
                <w:bCs/>
              </w:rPr>
            </w:pPr>
            <w:r>
              <w:rPr>
                <w:bCs/>
              </w:rPr>
              <w:t>Prioritize the case when CU is acting as MN when DC is not configured</w:t>
            </w:r>
          </w:p>
          <w:p>
            <w:pPr>
              <w:pStyle w:val="Normal"/>
              <w:widowControl w:val="false"/>
              <w:numPr>
                <w:ilvl w:val="1"/>
                <w:numId w:val="2"/>
              </w:numPr>
              <w:spacing w:before="0" w:after="0"/>
              <w:rPr>
                <w:bCs/>
              </w:rPr>
            </w:pPr>
            <w:r>
              <w:rPr>
                <w:bCs/>
              </w:rPr>
              <w:t>As secondary priority, support the case when NR-DC is configured and CU is acting as SN and MCG is unchanged</w:t>
            </w:r>
          </w:p>
          <w:p>
            <w:pPr>
              <w:pStyle w:val="Normal"/>
              <w:widowControl w:val="false"/>
              <w:numPr>
                <w:ilvl w:val="1"/>
                <w:numId w:val="2"/>
              </w:numPr>
              <w:spacing w:before="0" w:after="0"/>
              <w:rPr>
                <w:bCs/>
              </w:rPr>
            </w:pPr>
            <w:r>
              <w:rPr>
                <w:bCs/>
              </w:rPr>
              <w:t>As secondary priority, support the case when NR-DC is configured, CU is acting as MN and SCG is unchanged or SCG is released</w:t>
            </w:r>
          </w:p>
          <w:p>
            <w:pPr>
              <w:pStyle w:val="Normal"/>
              <w:widowControl w:val="false"/>
              <w:numPr>
                <w:ilvl w:val="2"/>
                <w:numId w:val="2"/>
              </w:numPr>
              <w:spacing w:before="0" w:after="0"/>
              <w:rPr>
                <w:bCs/>
              </w:rPr>
            </w:pPr>
            <w:r>
              <w:rPr>
                <w:bCs/>
              </w:rPr>
              <w:t xml:space="preserve">Note: The case that LTM is configured in both MCG and SCG is excluded </w:t>
            </w:r>
          </w:p>
          <w:p>
            <w:pPr>
              <w:pStyle w:val="Normal"/>
              <w:widowControl w:val="false"/>
              <w:numPr>
                <w:ilvl w:val="1"/>
                <w:numId w:val="2"/>
              </w:numPr>
              <w:spacing w:before="0" w:after="0"/>
              <w:rPr>
                <w:bCs/>
              </w:rPr>
            </w:pPr>
            <w:r>
              <w:rPr>
                <w:bCs/>
              </w:rPr>
              <w:t>Specify support for subsequent LTM mobility procedures aiming to avoid RRC configuration between cell switches as per Rel-18 LTM</w:t>
            </w:r>
          </w:p>
          <w:p>
            <w:pPr>
              <w:pStyle w:val="Normal"/>
              <w:widowControl w:val="false"/>
              <w:numPr>
                <w:ilvl w:val="2"/>
                <w:numId w:val="2"/>
              </w:numPr>
              <w:spacing w:before="0" w:after="0"/>
              <w:rPr>
                <w:bCs/>
              </w:rPr>
            </w:pPr>
            <w:r>
              <w:rPr>
                <w:bCs/>
              </w:rPr>
              <w:t xml:space="preserve">Coordination with SA3 needed with respect to security key handling </w:t>
            </w:r>
          </w:p>
          <w:p>
            <w:pPr>
              <w:pStyle w:val="Normal"/>
              <w:widowControl w:val="false"/>
              <w:numPr>
                <w:ilvl w:val="1"/>
                <w:numId w:val="2"/>
              </w:numPr>
              <w:spacing w:before="0" w:after="0"/>
              <w:rPr>
                <w:bCs/>
              </w:rPr>
            </w:pPr>
            <w:r>
              <w:rPr>
                <w:bCs/>
              </w:rPr>
              <w:t>Note: Rel. 18 intra-CU LTM procedure is considered as baseline for adding inter-CU support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highlight w:val="cyan"/>
              </w:rPr>
            </w:pPr>
            <w:r>
              <w:rPr>
                <w:highlight w:val="cyan"/>
              </w:rPr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rPr>
                <w:bCs/>
              </w:rPr>
            </w:pPr>
            <w:r>
              <w:rPr>
                <w:bCs/>
              </w:rPr>
              <w:t>Measurements related enhancements for purpose of supporting LTM: [RAN2, RAN1]</w:t>
            </w:r>
          </w:p>
          <w:p>
            <w:pPr>
              <w:pStyle w:val="Normal"/>
              <w:widowControl w:val="false"/>
              <w:numPr>
                <w:ilvl w:val="1"/>
                <w:numId w:val="2"/>
              </w:numPr>
              <w:spacing w:before="0" w:after="0"/>
              <w:rPr>
                <w:bCs/>
              </w:rPr>
            </w:pPr>
            <w:r>
              <w:rPr>
                <w:bCs/>
              </w:rPr>
              <w:t>Measurement related enhancements are applicable to Intra-CU MCG/SCG LTM and Inter-CU MCG/SCG LTM</w:t>
            </w:r>
          </w:p>
          <w:p>
            <w:pPr>
              <w:pStyle w:val="Normal"/>
              <w:widowControl w:val="false"/>
              <w:numPr>
                <w:ilvl w:val="1"/>
                <w:numId w:val="2"/>
              </w:numPr>
              <w:spacing w:before="0" w:after="0"/>
              <w:rPr>
                <w:bCs/>
              </w:rPr>
            </w:pPr>
            <w:r>
              <w:rPr>
                <w:bCs/>
              </w:rPr>
              <w:t>Specify necessary components to support event triggered L1 measurement reporting [RAN2, RAN1]</w:t>
            </w:r>
          </w:p>
          <w:p>
            <w:pPr>
              <w:pStyle w:val="Normal"/>
              <w:widowControl w:val="false"/>
              <w:numPr>
                <w:ilvl w:val="2"/>
                <w:numId w:val="2"/>
              </w:numPr>
              <w:spacing w:before="0" w:after="0"/>
              <w:rPr>
                <w:bCs/>
              </w:rPr>
            </w:pPr>
            <w:r>
              <w:rPr>
                <w:bCs/>
              </w:rPr>
              <w:t>RAN1 and RAN2 to progress independently on the event triggered measurements objectives of their respective MIMO and Mobility enhancement WIs. Review progress at RAN#105 to see if any modification of objectives is required to avoid/manage any overlap in the work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120" w:after="120"/>
              <w:ind w:left="482" w:hanging="482"/>
              <w:contextualSpacing w:val="false"/>
              <w:jc w:val="both"/>
              <w:rPr>
                <w:rFonts w:ascii="Times" w:hAnsi="Times" w:cs="Times"/>
              </w:rPr>
            </w:pPr>
            <w:r>
              <w:rPr>
                <w:rFonts w:eastAsia="Times New Roman" w:cs="Times" w:ascii="Times" w:hAnsi="Times"/>
                <w:bCs/>
                <w:kern w:val="0"/>
                <w:sz w:val="20"/>
                <w:szCs w:val="20"/>
                <w:lang w:val="en-GB" w:bidi="ar-SA"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</w:tc>
      </w:tr>
    </w:tbl>
    <w:p>
      <w:pPr>
        <w:pStyle w:val="Normal"/>
        <w:ind w:right="200" w:hanging="0"/>
        <w:rPr/>
      </w:pPr>
      <w:r>
        <w:rPr>
          <w:rFonts w:eastAsia="PMingLiU"/>
        </w:rPr>
        <w:br/>
      </w:r>
      <w:r>
        <w:rPr>
          <w:rFonts w:eastAsia="Times New Roman" w:cs="Times" w:ascii="Times" w:hAnsi="Times"/>
          <w:kern w:val="0"/>
          <w:sz w:val="20"/>
          <w:szCs w:val="20"/>
          <w:lang w:val="en-GB" w:bidi="ar-SA"/>
        </w:rPr>
        <w:t>In Rel-18 LTM was supported only fro Intra-CU Inter-DU scenario. It comes with sevaral limitations as discussed in the WID RP-240299.  In Rel-19, one of the objectives is to support Inter-CU LTM. Another aspect that is being looked at is the measurments enhancements. In Rel-18 LTM, only SSB measurements are supported. In Rel-19, it is expected to support CSI-RS measurements in order to enable greater throughput on target cell immediately after cell-</w:t>
      </w:r>
      <w:r>
        <w:rPr>
          <w:rFonts w:eastAsia="Times New Roman" w:cs="Times" w:ascii="Times" w:hAnsi="Times"/>
          <w:color w:val="auto"/>
          <w:kern w:val="0"/>
          <w:sz w:val="20"/>
          <w:szCs w:val="20"/>
          <w:lang w:val="en-GB" w:eastAsia="en-US" w:bidi="ar-SA"/>
        </w:rPr>
        <w:t>switch. There is also a requirement to support subsequent LTM without signalling overhead. In this document, we will be discussing procedures and views related to</w:t>
      </w:r>
      <w:r>
        <w:rPr>
          <w:rFonts w:eastAsia="Times New Roman" w:cs="Times" w:ascii="Times" w:hAnsi="Times"/>
          <w:strike/>
          <w:color w:val="auto"/>
          <w:kern w:val="0"/>
          <w:sz w:val="20"/>
          <w:szCs w:val="20"/>
          <w:lang w:val="en-GB" w:eastAsia="en-US" w:bidi="ar-SA"/>
        </w:rPr>
        <w:t xml:space="preserve"> </w:t>
      </w:r>
      <w:r>
        <w:rPr>
          <w:rFonts w:eastAsia="Times New Roman" w:cs="Times" w:ascii="Times" w:hAnsi="Times"/>
          <w:strike w:val="false"/>
          <w:dstrike w:val="false"/>
          <w:color w:val="auto"/>
          <w:kern w:val="0"/>
          <w:sz w:val="20"/>
          <w:szCs w:val="20"/>
          <w:lang w:val="en-GB" w:eastAsia="en-US" w:bidi="ar-SA"/>
        </w:rPr>
        <w:t>the above items.</w:t>
      </w:r>
    </w:p>
    <w:p>
      <w:pPr>
        <w:pStyle w:val="Normal"/>
        <w:rPr>
          <w:rFonts w:ascii="Times" w:hAnsi="Times" w:eastAsia="Times New Roman" w:cs="Times"/>
          <w:color w:val="auto"/>
          <w:kern w:val="0"/>
          <w:sz w:val="20"/>
          <w:szCs w:val="20"/>
          <w:lang w:val="en-GB" w:eastAsia="en-US" w:bidi="ar-SA"/>
        </w:rPr>
      </w:pPr>
      <w:r>
        <w:rPr>
          <w:rFonts w:eastAsia="Times New Roman" w:cs="Times" w:ascii="Times" w:hAnsi="Times"/>
          <w:color w:val="auto"/>
          <w:kern w:val="0"/>
          <w:sz w:val="20"/>
          <w:szCs w:val="20"/>
          <w:lang w:val="en-GB" w:eastAsia="en-US" w:bidi="ar-SA"/>
        </w:rPr>
        <w:t xml:space="preserve">For Inter-CU LTM in Section 2, we consider a case where CU is acting as the MN when DC is not configured. We will be discussing the below aspects </w:t>
      </w:r>
    </w:p>
    <w:p>
      <w:pPr>
        <w:pStyle w:val="TextBody"/>
        <w:widowControl w:val="false"/>
        <w:numPr>
          <w:ilvl w:val="0"/>
          <w:numId w:val="3"/>
        </w:numPr>
        <w:spacing w:before="240" w:after="120"/>
        <w:ind w:left="284" w:hanging="0"/>
        <w:jc w:val="left"/>
        <w:rPr>
          <w:rFonts w:ascii="Times" w:hAnsi="Times" w:eastAsia="Times New Roman" w:cs="Times"/>
          <w:color w:val="auto"/>
          <w:kern w:val="0"/>
          <w:sz w:val="20"/>
          <w:szCs w:val="20"/>
          <w:lang w:val="en-GB" w:eastAsia="en-US" w:bidi="ar-SA"/>
        </w:rPr>
      </w:pPr>
      <w:r>
        <w:rPr>
          <w:rFonts w:eastAsia="Times New Roman" w:cs="Times" w:ascii="Times" w:hAnsi="Times"/>
          <w:color w:val="auto"/>
          <w:kern w:val="0"/>
          <w:sz w:val="20"/>
          <w:szCs w:val="20"/>
          <w:lang w:val="en-GB" w:eastAsia="en-US" w:bidi="ar-SA"/>
        </w:rPr>
        <w:t>Security related</w:t>
      </w:r>
    </w:p>
    <w:p>
      <w:pPr>
        <w:pStyle w:val="TextBody"/>
        <w:widowControl w:val="false"/>
        <w:numPr>
          <w:ilvl w:val="0"/>
          <w:numId w:val="3"/>
        </w:numPr>
        <w:spacing w:before="240" w:after="120"/>
        <w:ind w:left="284" w:hanging="0"/>
        <w:jc w:val="left"/>
        <w:rPr>
          <w:rFonts w:ascii="Times" w:hAnsi="Times" w:eastAsia="Times New Roman" w:cs="Times"/>
          <w:color w:val="auto"/>
          <w:kern w:val="0"/>
          <w:sz w:val="20"/>
          <w:szCs w:val="20"/>
          <w:lang w:val="en-GB" w:eastAsia="en-US" w:bidi="ar-SA"/>
        </w:rPr>
      </w:pPr>
      <w:r>
        <w:rPr>
          <w:rFonts w:eastAsia="Times New Roman" w:cs="Times" w:ascii="Times" w:hAnsi="Times"/>
          <w:color w:val="auto"/>
          <w:kern w:val="0"/>
          <w:sz w:val="20"/>
          <w:szCs w:val="20"/>
          <w:lang w:val="en-GB" w:eastAsia="en-US" w:bidi="ar-SA"/>
        </w:rPr>
        <w:t>Candidate List Preparation</w:t>
      </w:r>
    </w:p>
    <w:p>
      <w:pPr>
        <w:pStyle w:val="TextBody"/>
        <w:widowControl w:val="false"/>
        <w:numPr>
          <w:ilvl w:val="0"/>
          <w:numId w:val="0"/>
        </w:numPr>
        <w:spacing w:before="240" w:after="120"/>
        <w:ind w:left="0" w:hanging="0"/>
        <w:jc w:val="left"/>
        <w:rPr>
          <w:rFonts w:ascii="Times" w:hAnsi="Times" w:eastAsia="Times New Roman" w:cs="Times"/>
          <w:color w:val="auto"/>
          <w:kern w:val="0"/>
          <w:sz w:val="20"/>
          <w:szCs w:val="20"/>
          <w:lang w:val="en-GB" w:eastAsia="en-US" w:bidi="ar-SA"/>
        </w:rPr>
      </w:pPr>
      <w:r>
        <w:rPr>
          <w:rFonts w:eastAsia="Times New Roman" w:cs="Times" w:ascii="Times" w:hAnsi="Times"/>
          <w:strike w:val="false"/>
          <w:dstrike w:val="false"/>
          <w:color w:val="auto"/>
          <w:kern w:val="0"/>
          <w:sz w:val="20"/>
          <w:szCs w:val="20"/>
          <w:lang w:val="en-GB" w:eastAsia="en-US" w:bidi="ar-SA"/>
        </w:rPr>
        <w:t>We will also see possible solutions to security related aspects in Subsequent LTM in Section 3</w:t>
      </w:r>
    </w:p>
    <w:p>
      <w:pPr>
        <w:pStyle w:val="Heading1"/>
        <w:rPr/>
      </w:pPr>
      <w:r>
        <w:rPr/>
        <w:t>2</w:t>
        <w:tab/>
        <w:t>Inter-CU LTM</w:t>
      </w:r>
    </w:p>
    <w:p>
      <w:pPr>
        <w:pStyle w:val="Heading2"/>
        <w:rPr/>
      </w:pPr>
      <w:r>
        <w:rPr/>
        <w:t>2.1</w:t>
        <w:tab/>
        <w:t>Security Aspects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 w:val="false"/>
          <w:bCs w:val="false"/>
          <w:lang w:val="en-US" w:eastAsia="en-GB"/>
        </w:rPr>
        <w:t>In Rel-15 Xn-based HO, K-gNB* is calculated and sent by Source gNB-CU in Handover Request. To facilitate this in LTM, it should be done for all the candidate cells using the corresponding TRAN-IDs. This is already a part of Handover Request. Hence RAN3 impact is not there. Since Handover Command is not there in LTM, NCC value should be a part of RRC reconfiguration message or LTM Cell Switch Command. UE has to regenerate K-gNB* for each candidate cell in prior to establishing a connection with Target-gNB.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eastAsia="en-GB"/>
        </w:rPr>
        <w:t xml:space="preserve">Proposal 1: </w:t>
      </w:r>
      <w:r>
        <w:rPr>
          <w:b w:val="false"/>
          <w:bCs w:val="false"/>
          <w:lang w:eastAsia="en-GB"/>
        </w:rPr>
        <w:t>Source CU to send K-gNB* to candidate CUs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 w:val="false"/>
          <w:bCs w:val="false"/>
          <w:lang w:eastAsia="en-GB"/>
        </w:rPr>
        <w:t>FFS if we can reuse the HO Request used for Xn-based L3 handover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eastAsia="en-GB"/>
        </w:rPr>
        <w:t xml:space="preserve">Proposal 2: </w:t>
      </w:r>
      <w:r>
        <w:rPr>
          <w:b w:val="false"/>
          <w:bCs w:val="false"/>
          <w:lang w:eastAsia="en-GB"/>
        </w:rPr>
        <w:t>NCC value to be communicated to the UE as a configuration. FFS whether it is in Cell-Switch Command or RRC candidate cell configurations</w:t>
      </w:r>
    </w:p>
    <w:p>
      <w:pPr>
        <w:pStyle w:val="Normal"/>
        <w:jc w:val="both"/>
        <w:rPr>
          <w:lang w:eastAsia="en-GB"/>
        </w:rPr>
      </w:pPr>
      <w:r>
        <w:rPr>
          <w:lang w:eastAsia="en-GB"/>
        </w:rPr>
      </w:r>
    </w:p>
    <w:p>
      <w:pPr>
        <w:pStyle w:val="Heading2"/>
        <w:rPr/>
      </w:pPr>
      <w:r>
        <w:rPr/>
        <w:t>2.2</w:t>
        <w:tab/>
        <w:t>Candidate List Preparation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b w:val="false"/>
          <w:bCs w:val="false"/>
          <w:lang w:val="en-US"/>
        </w:rPr>
        <w:t>In Rel-15 L3 based handover, handover request acknowledge message will contain the configuration set. In LTM, the same has to be done for multiple DUs of the same candidate CU. Source-CU must now compile all of these before sending it out to the UE in RRC reconfiguration message.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val="en-US" w:eastAsia="en-GB"/>
        </w:rPr>
        <w:t xml:space="preserve">Proposal 3: </w:t>
      </w:r>
      <w:r>
        <w:rPr>
          <w:b w:val="false"/>
          <w:bCs w:val="false"/>
          <w:lang w:val="en-US" w:eastAsia="en-GB"/>
        </w:rPr>
        <w:t>Source CU to send the list of all CGIs in a</w:t>
      </w:r>
      <w:r>
        <w:rPr>
          <w:rFonts w:eastAsia="Times New Roman" w:cs="Times New Roman"/>
          <w:b w:val="false"/>
          <w:bCs w:val="false"/>
          <w:color w:val="auto"/>
          <w:kern w:val="0"/>
          <w:sz w:val="20"/>
          <w:szCs w:val="20"/>
          <w:lang w:val="en-US" w:eastAsia="en-GB" w:bidi="ar-SA"/>
        </w:rPr>
        <w:t>n Xn request message, reque</w:t>
      </w:r>
      <w:r>
        <w:rPr>
          <w:b w:val="false"/>
          <w:bCs w:val="false"/>
          <w:lang w:val="en-US" w:eastAsia="en-GB"/>
        </w:rPr>
        <w:t>sting for candidate cell configuration o</w:t>
      </w:r>
      <w:r>
        <w:rPr>
          <w:rFonts w:eastAsia="Times New Roman" w:cs="Times New Roman"/>
          <w:b w:val="false"/>
          <w:bCs w:val="false"/>
          <w:color w:val="auto"/>
          <w:kern w:val="0"/>
          <w:sz w:val="20"/>
          <w:szCs w:val="20"/>
          <w:lang w:val="en-US" w:eastAsia="en-GB" w:bidi="ar-SA"/>
        </w:rPr>
        <w:t xml:space="preserve">f </w:t>
      </w:r>
      <w:r>
        <w:rPr>
          <w:rFonts w:eastAsia="Times New Roman" w:cs="Times New Roman"/>
          <w:b w:val="false"/>
          <w:bCs w:val="false"/>
          <w:strike w:val="false"/>
          <w:dstrike w:val="false"/>
          <w:color w:val="auto"/>
          <w:kern w:val="0"/>
          <w:sz w:val="20"/>
          <w:szCs w:val="20"/>
          <w:lang w:val="en-US" w:eastAsia="en-GB" w:bidi="ar-SA"/>
        </w:rPr>
        <w:t>candidat</w:t>
      </w:r>
      <w:r>
        <w:rPr>
          <w:rFonts w:eastAsia="Times New Roman" w:cs="Times New Roman"/>
          <w:b w:val="false"/>
          <w:bCs w:val="false"/>
          <w:strike w:val="false"/>
          <w:dstrike w:val="false"/>
          <w:color w:val="auto"/>
          <w:kern w:val="0"/>
          <w:sz w:val="20"/>
          <w:szCs w:val="20"/>
          <w:lang w:val="en-US" w:eastAsia="en-GB" w:bidi="ar-SA"/>
        </w:rPr>
        <w:t>e D</w:t>
      </w:r>
      <w:r>
        <w:rPr>
          <w:rFonts w:eastAsia="Times New Roman" w:cs="Times New Roman"/>
          <w:b w:val="false"/>
          <w:bCs w:val="false"/>
          <w:strike w:val="false"/>
          <w:dstrike w:val="false"/>
          <w:color w:val="auto"/>
          <w:kern w:val="0"/>
          <w:sz w:val="20"/>
          <w:szCs w:val="20"/>
          <w:lang w:val="en-US" w:eastAsia="en-GB" w:bidi="ar-SA"/>
        </w:rPr>
        <w:t>U</w:t>
      </w:r>
      <w:r>
        <w:rPr>
          <w:rFonts w:eastAsia="Times New Roman" w:cs="Times New Roman"/>
          <w:b w:val="false"/>
          <w:bCs w:val="false"/>
          <w:strike w:val="false"/>
          <w:dstrike w:val="false"/>
          <w:color w:val="auto"/>
          <w:kern w:val="0"/>
          <w:sz w:val="20"/>
          <w:szCs w:val="20"/>
          <w:lang w:val="en-US" w:eastAsia="en-GB" w:bidi="ar-SA"/>
        </w:rPr>
        <w:t>s</w:t>
      </w:r>
      <w:r>
        <w:rPr>
          <w:rFonts w:eastAsia="Times New Roman" w:cs="Times New Roman"/>
          <w:b w:val="false"/>
          <w:bCs w:val="false"/>
          <w:color w:val="auto"/>
          <w:kern w:val="0"/>
          <w:sz w:val="20"/>
          <w:szCs w:val="20"/>
          <w:lang w:val="en-US" w:eastAsia="en-GB" w:bidi="ar-SA"/>
        </w:rPr>
        <w:t>. FFS if we can reuse HO Request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b/>
          <w:bCs/>
          <w:lang w:val="en-US"/>
        </w:rPr>
        <w:t xml:space="preserve">Proposal 4:  </w:t>
      </w:r>
      <w:r>
        <w:rPr>
          <w:b w:val="false"/>
          <w:bCs w:val="false"/>
          <w:lang w:val="en-US"/>
        </w:rPr>
        <w:t>Every candidate CU shall provide i</w:t>
      </w:r>
      <w:r>
        <w:rPr>
          <w:rFonts w:eastAsia="Times New Roman" w:cs="Times New Roman"/>
          <w:b w:val="false"/>
          <w:bCs w:val="false"/>
          <w:color w:val="auto"/>
          <w:kern w:val="0"/>
          <w:sz w:val="20"/>
          <w:szCs w:val="20"/>
          <w:lang w:val="en-US" w:eastAsia="en-GB" w:bidi="ar-SA"/>
        </w:rPr>
        <w:t>n response to request, the candidate cell configurations for the candidate DUs belonging to it.  FFS if we can reuse HO Request Acknowledge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b w:val="false"/>
          <w:bCs w:val="false"/>
          <w:lang w:val="en-US"/>
        </w:rPr>
        <w:t>RAN3 to decide on the details and feasibility of the above proposals.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b w:val="false"/>
          <w:bCs w:val="false"/>
          <w:lang w:val="en-US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5724525" cy="992505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92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1"/>
        <w:rPr/>
      </w:pPr>
      <w:r>
        <w:rPr/>
        <w:t xml:space="preserve">3 </w:t>
        <w:tab/>
        <w:t>Subsequent LTM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b w:val="false"/>
          <w:bCs w:val="false"/>
          <w:lang w:val="en-US"/>
        </w:rPr>
        <w:t>For subsequent LTM, say, i</w:t>
      </w:r>
      <w:r>
        <w:rPr>
          <w:b w:val="false"/>
          <w:bCs w:val="false"/>
          <w:lang w:val="en-US"/>
        </w:rPr>
        <w:t xml:space="preserve">f UE is moving from Source CU → T1→ T2 → T3 when UE has candidate configuration sent by source CU, </w:t>
      </w:r>
      <w:r>
        <w:rPr>
          <w:b w:val="false"/>
          <w:bCs w:val="false"/>
          <w:lang w:val="en-US"/>
        </w:rPr>
        <w:t>a</w:t>
      </w:r>
      <w:r>
        <w:rPr>
          <w:b w:val="false"/>
          <w:bCs w:val="false"/>
          <w:lang w:val="en-US"/>
        </w:rPr>
        <w:t>fter the first handover from Source CU to T1 : T1 need not send an RRC reconfiguration if it is within some spe</w:t>
      </w:r>
      <w:r>
        <w:rPr>
          <w:rFonts w:eastAsia="Times New Roman" w:cs="Times New Roman"/>
          <w:b w:val="false"/>
          <w:bCs w:val="false"/>
          <w:color w:val="auto"/>
          <w:kern w:val="0"/>
          <w:sz w:val="20"/>
          <w:szCs w:val="20"/>
          <w:lang w:val="en-US" w:eastAsia="en-US" w:bidi="ar-SA"/>
        </w:rPr>
        <w:t>cific time after the previous handover [RAN4 to specify what that time duration is]</w:t>
      </w:r>
    </w:p>
    <w:p>
      <w:pPr>
        <w:pStyle w:val="Normal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kern w:val="0"/>
          <w:sz w:val="20"/>
          <w:szCs w:val="20"/>
          <w:lang w:val="en-US" w:eastAsia="en-US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0"/>
          <w:szCs w:val="20"/>
          <w:lang w:val="en-US" w:eastAsia="en-US" w:bidi="ar-SA"/>
        </w:rPr>
        <w:t>UE need not wait for a new RRC reconfiguration if T1, T2, and T3 belongs to the candidate cell list, and within the above mentioned time duration.</w:t>
      </w:r>
    </w:p>
    <w:p>
      <w:pPr>
        <w:pStyle w:val="Normal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kern w:val="0"/>
          <w:sz w:val="20"/>
          <w:szCs w:val="20"/>
          <w:lang w:val="en-US" w:eastAsia="en-US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0"/>
          <w:szCs w:val="20"/>
          <w:lang w:val="en-US" w:eastAsia="en-US" w:bidi="ar-SA"/>
        </w:rPr>
        <w:t>FFS what NCC value could remain unchanged or has to be changed to recalculate the K-gNB at each hop. It must be implicitly understood by both ME and target gNB.</w:t>
      </w:r>
    </w:p>
    <w:p>
      <w:pPr>
        <w:pStyle w:val="Normal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kern w:val="0"/>
          <w:sz w:val="20"/>
          <w:szCs w:val="20"/>
          <w:lang w:val="en-US" w:eastAsia="en-US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0"/>
          <w:szCs w:val="20"/>
          <w:lang w:val="en-US" w:eastAsia="en-US" w:bidi="ar-SA"/>
        </w:rPr>
        <w:t>FFS the case where K</w:t>
      </w:r>
      <w:r>
        <w:rPr>
          <w:rFonts w:eastAsia="Times New Roman" w:cs="Times New Roman"/>
          <w:b w:val="false"/>
          <w:bCs w:val="false"/>
          <w:color w:val="auto"/>
          <w:kern w:val="0"/>
          <w:sz w:val="20"/>
          <w:szCs w:val="20"/>
          <w:vertAlign w:val="subscript"/>
          <w:lang w:val="en-US" w:eastAsia="en-US" w:bidi="ar-SA"/>
        </w:rPr>
        <w:t>AMF</w:t>
      </w:r>
      <w:r>
        <w:rPr>
          <w:rFonts w:eastAsia="Times New Roman" w:cs="Times New Roman"/>
          <w:b w:val="false"/>
          <w:bCs w:val="false"/>
          <w:color w:val="auto"/>
          <w:kern w:val="0"/>
          <w:sz w:val="20"/>
          <w:szCs w:val="20"/>
          <w:lang w:val="en-US" w:eastAsia="en-US" w:bidi="ar-SA"/>
        </w:rPr>
        <w:t xml:space="preserve"> changes in the target gNB. Coordination with SA3 required on this.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b/>
          <w:bCs/>
          <w:lang w:val="en-US"/>
        </w:rPr>
        <w:t xml:space="preserve">Proposal 5:  </w:t>
      </w:r>
      <w:r>
        <w:rPr>
          <w:b w:val="false"/>
          <w:bCs w:val="false"/>
          <w:lang w:val="en-US"/>
        </w:rPr>
        <w:t xml:space="preserve">For subsequent LTM, </w:t>
      </w:r>
      <w:r>
        <w:rPr>
          <w:b w:val="false"/>
          <w:bCs w:val="false"/>
          <w:lang w:val="en-US"/>
        </w:rPr>
        <w:t xml:space="preserve">UE could move (subsequent to an LTM handover) to cells within the candidate cell list given in the latest RRC reconfiguration, </w:t>
      </w:r>
      <w:r>
        <w:rPr>
          <w:b w:val="false"/>
          <w:bCs w:val="false"/>
          <w:lang w:val="en-US"/>
        </w:rPr>
        <w:t>within a specific time duration,</w:t>
      </w:r>
      <w:r>
        <w:rPr>
          <w:b w:val="false"/>
          <w:bCs w:val="false"/>
          <w:lang w:val="en-US"/>
        </w:rPr>
        <w:t xml:space="preserve"> </w:t>
      </w:r>
      <w:r>
        <w:rPr>
          <w:b w:val="false"/>
          <w:bCs w:val="false"/>
          <w:lang w:val="en-US"/>
        </w:rPr>
        <w:t xml:space="preserve">without any requirement for updated </w:t>
      </w:r>
      <w:r>
        <w:rPr>
          <w:b w:val="false"/>
          <w:bCs w:val="false"/>
          <w:lang w:val="en-US"/>
        </w:rPr>
        <w:t>RRC reconfiguration.</w:t>
      </w:r>
    </w:p>
    <w:p>
      <w:pPr>
        <w:pStyle w:val="Heading1"/>
        <w:rPr/>
      </w:pPr>
      <w:r>
        <w:rPr/>
        <w:t>4</w:t>
        <w:tab/>
        <w:t>Conclusion</w:t>
      </w:r>
    </w:p>
    <w:p>
      <w:pPr>
        <w:pStyle w:val="Normal"/>
        <w:rPr/>
      </w:pPr>
      <w:r>
        <w:rPr/>
        <w:t>This document has made the following proposals:</w:t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  <w:lang w:val="en-US" w:eastAsia="en-GB"/>
        </w:rPr>
        <w:t>Proposal 1: Source CU to send K-gNB* to candidate CUs</w:t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  <w:lang w:val="en-US" w:eastAsia="en-GB"/>
        </w:rPr>
        <w:t>Proposal 2: NCC value to be communicated to the UE as a configuration. FFS whether it is in Cell-Switch Command or RRC candidate cell configurations</w:t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  <w:lang w:val="en-US" w:eastAsia="en-GB"/>
        </w:rPr>
        <w:t>Proposal 3: Source CU to send the list of all CGIs in an Xn request message, requesting for candidate cell configuration of candidatetarget-DUs. FFS if we can reuse HO Request</w:t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  <w:lang w:val="en-US" w:eastAsia="en-GB"/>
        </w:rPr>
        <w:t>Proposal 4:  Every candidate CU shall provide in response to request, the candidate cell configurations for the candidate DUs belonging to it.  FFS if we can reuse HO Request Acknowledge</w:t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  <w:lang w:val="en-US"/>
        </w:rPr>
        <w:t xml:space="preserve">Proposal 5:  </w:t>
      </w:r>
      <w:r>
        <w:rPr>
          <w:b/>
          <w:bCs/>
          <w:lang w:val="en-US"/>
        </w:rPr>
        <w:t xml:space="preserve">For subsequent LTM, </w:t>
      </w:r>
      <w:r>
        <w:rPr>
          <w:b/>
          <w:bCs/>
          <w:lang w:val="en-US"/>
        </w:rPr>
        <w:t xml:space="preserve">UE could move (subsequent to an LTM handover) to cells within the candidate cell list given in the latest RRC reconfiguration, </w:t>
      </w:r>
      <w:r>
        <w:rPr>
          <w:b/>
          <w:bCs/>
          <w:lang w:val="en-US"/>
        </w:rPr>
        <w:t>within a specific time duration,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without any requirement for updated </w:t>
      </w:r>
      <w:r>
        <w:rPr>
          <w:b/>
          <w:bCs/>
          <w:lang w:val="en-US"/>
        </w:rPr>
        <w:t>RRC reconfiguration.</w:t>
      </w:r>
    </w:p>
    <w:p>
      <w:pPr>
        <w:pStyle w:val="Heading1"/>
        <w:rPr/>
      </w:pPr>
      <w:r>
        <w:rPr/>
        <w:t>References</w:t>
      </w:r>
    </w:p>
    <w:p>
      <w:pPr>
        <w:pStyle w:val="Normal"/>
        <w:rPr/>
      </w:pPr>
      <w:r>
        <w:rPr/>
        <w:t>[1] Revised Work Item: NR mobility enhancements Phase 4. RP-240299, Apple Inc, China Telecom</w:t>
      </w:r>
    </w:p>
    <w:p>
      <w:pPr>
        <w:pStyle w:val="Normal"/>
        <w:rPr/>
      </w:pPr>
      <w:r>
        <w:rPr/>
        <w:t>[2] LTM Enhancements for Inter-CU Handover, RP-233508, CEWiT, IIT-K, Tejas Networks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suppressAutoHyphens w:val="true"/>
        <w:bidi w:val="0"/>
        <w:spacing w:before="0" w:after="180"/>
        <w:jc w:val="left"/>
        <w:rPr/>
      </w:pPr>
      <w:r>
        <w:rPr/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133" w:right="1133" w:gutter="0" w:header="850" w:top="1416" w:footer="340" w:bottom="1133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Helvetica">
    <w:altName w:val="Arial"/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Times">
    <w:altName w:val="Times New Roman"/>
    <w:charset w:val="01"/>
    <w:family w:val="roman"/>
    <w:pitch w:val="variable"/>
  </w:font>
  <w:font w:name="Wingdings">
    <w:charset w:val="02"/>
    <w:family w:val="auto"/>
    <w:pitch w:val="default"/>
  </w:font>
  <w:font w:name="Calibri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1490" w:hanging="113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"/>
      <w:lvlJc w:val="left"/>
      <w:pPr>
        <w:tabs>
          <w:tab w:val="num" w:pos="0"/>
        </w:tabs>
        <w:ind w:left="480" w:hanging="480"/>
      </w:pPr>
      <w:rPr>
        <w:rFonts w:ascii="Wingdings" w:hAnsi="Wingdings" w:cs="Wingdings" w:hint="default"/>
      </w:rPr>
    </w:lvl>
    <w:lvl w:ilvl="1">
      <w:start w:val="0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Calibri" w:hAnsi="Calibri" w:cs="Calibri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4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60"/>
  <w:embedSystemFonts/>
  <w:defaultTabStop w:val="284"/>
  <w:autoHyphenation w:val="true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en-GB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Heading1">
    <w:name w:val="Heading 1"/>
    <w:next w:val="Normal"/>
    <w:qFormat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left="1134" w:hanging="1134"/>
      <w:jc w:val="left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/>
  </w:style>
  <w:style w:type="paragraph" w:styleId="Heading7">
    <w:name w:val="Heading 7"/>
    <w:basedOn w:val="H6"/>
    <w:next w:val="Normal"/>
    <w:qFormat/>
    <w:pPr>
      <w:outlineLvl w:val="6"/>
    </w:pPr>
    <w:rPr/>
  </w:style>
  <w:style w:type="paragraph" w:styleId="Heading8">
    <w:name w:val="Heading 8"/>
    <w:basedOn w:val="Heading1"/>
    <w:next w:val="Normal"/>
    <w:qFormat/>
    <w:pPr>
      <w:ind w:left="0" w:hanging="0"/>
      <w:outlineLvl w:val="7"/>
    </w:pPr>
    <w:rPr/>
  </w:style>
  <w:style w:type="paragraph" w:styleId="Heading9">
    <w:name w:val="Heading 9"/>
    <w:basedOn w:val="Heading8"/>
    <w:next w:val="Normal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GSM" w:customStyle="1">
    <w:name w:val="ZGSM"/>
    <w:qFormat/>
    <w:rPr/>
  </w:style>
  <w:style w:type="character" w:styleId="HeaderChar" w:customStyle="1">
    <w:name w:val="Header Char"/>
    <w:link w:val="Header"/>
    <w:qFormat/>
    <w:rsid w:val="00cd4c7b"/>
    <w:rPr>
      <w:rFonts w:ascii="Arial" w:hAnsi="Arial"/>
      <w:b/>
      <w:sz w:val="18"/>
      <w:lang w:val="en-GB" w:eastAsia="ja-JP" w:bidi="ar-SA"/>
    </w:rPr>
  </w:style>
  <w:style w:type="character" w:styleId="InternetLink">
    <w:name w:val="Hyperlink"/>
    <w:rsid w:val="0056573f"/>
    <w:rPr>
      <w:color w:val="0000FF"/>
      <w:u w:val="single"/>
    </w:rPr>
  </w:style>
  <w:style w:type="character" w:styleId="DocumentMapChar" w:customStyle="1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character" w:styleId="BalloonTextChar" w:customStyle="1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qFormat/>
    <w:rsid w:val="00de25d2"/>
    <w:rPr>
      <w:color w:val="605E5C"/>
      <w:shd w:fill="E1DFDD" w:val="clear"/>
    </w:rPr>
  </w:style>
  <w:style w:type="character" w:styleId="BodyTextChar" w:customStyle="1">
    <w:name w:val="Body Text Char"/>
    <w:basedOn w:val="DefaultParagraphFont"/>
    <w:qFormat/>
    <w:rsid w:val="008e6930"/>
    <w:rPr>
      <w:rFonts w:eastAsia="MS Mincho"/>
      <w:sz w:val="24"/>
      <w:lang w:eastAsia="en-US"/>
    </w:rPr>
  </w:style>
  <w:style w:type="character" w:styleId="ListParagraphChar" w:customStyle="1">
    <w:name w:val="List Paragraph Char"/>
    <w:basedOn w:val="DefaultParagraphFont"/>
    <w:link w:val="ListParagraph"/>
    <w:uiPriority w:val="34"/>
    <w:qFormat/>
    <w:locked/>
    <w:rsid w:val="008e6930"/>
    <w:rPr>
      <w:lang w:eastAsia="en-US"/>
    </w:rPr>
  </w:style>
  <w:style w:type="character" w:styleId="Heading2Char" w:customStyle="1">
    <w:name w:val="Heading 2 Char"/>
    <w:basedOn w:val="DefaultParagraphFont"/>
    <w:link w:val="Heading2"/>
    <w:qFormat/>
    <w:rsid w:val="008e6930"/>
    <w:rPr>
      <w:rFonts w:ascii="Arial" w:hAnsi="Arial"/>
      <w:sz w:val="32"/>
      <w:lang w:eastAsia="en-US"/>
    </w:rPr>
  </w:style>
  <w:style w:type="character" w:styleId="Annotationreference">
    <w:name w:val="annotation reference"/>
    <w:basedOn w:val="DefaultParagraphFont"/>
    <w:uiPriority w:val="99"/>
    <w:qFormat/>
    <w:rsid w:val="008e6930"/>
    <w:rPr>
      <w:sz w:val="16"/>
      <w:szCs w:val="16"/>
    </w:rPr>
  </w:style>
  <w:style w:type="character" w:styleId="CommentTextChar" w:customStyle="1">
    <w:name w:val="Comment Text Char"/>
    <w:basedOn w:val="DefaultParagraphFont"/>
    <w:link w:val="Annotationtext"/>
    <w:uiPriority w:val="99"/>
    <w:qFormat/>
    <w:rsid w:val="008e6930"/>
    <w:rPr>
      <w:lang w:eastAsia="en-US"/>
    </w:rPr>
  </w:style>
  <w:style w:type="character" w:styleId="CommentSubjectChar" w:customStyle="1">
    <w:name w:val="Comment Subject Char"/>
    <w:basedOn w:val="CommentTextChar"/>
    <w:link w:val="Annotationsubject"/>
    <w:qFormat/>
    <w:rsid w:val="008e6930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qFormat/>
    <w:rsid w:val="008e6930"/>
    <w:rPr>
      <w:color w:val="2B579A"/>
      <w:shd w:fill="E1DFDD" w:val="clear"/>
    </w:rPr>
  </w:style>
  <w:style w:type="character" w:styleId="Normaltextrun" w:customStyle="1">
    <w:name w:val="normaltextrun"/>
    <w:basedOn w:val="DefaultParagraphFont"/>
    <w:qFormat/>
    <w:rsid w:val="00473466"/>
    <w:rPr/>
  </w:style>
  <w:style w:type="character" w:styleId="FootnoteCharacters">
    <w:name w:val="Footnote Character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link w:val="BodyTextChar"/>
    <w:unhideWhenUsed/>
    <w:qFormat/>
    <w:rsid w:val="008e6930"/>
    <w:pPr>
      <w:widowControl w:val="false"/>
      <w:spacing w:lineRule="auto" w:line="252" w:before="0" w:after="120"/>
      <w:jc w:val="both"/>
    </w:pPr>
    <w:rPr>
      <w:rFonts w:eastAsia="MS Mincho"/>
      <w:sz w:val="24"/>
    </w:rPr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H6" w:customStyle="1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ntents9">
    <w:name w:val="TOC 9"/>
    <w:basedOn w:val="Contents8"/>
    <w:semiHidden/>
    <w:pPr>
      <w:ind w:left="1418" w:hanging="1418"/>
    </w:pPr>
    <w:rPr/>
  </w:style>
  <w:style w:type="paragraph" w:styleId="Contents8">
    <w:name w:val="TOC 8"/>
    <w:basedOn w:val="Contents1"/>
    <w:semiHidden/>
    <w:pPr>
      <w:spacing w:before="180" w:after="180"/>
      <w:ind w:left="2693" w:hanging="2693"/>
    </w:pPr>
    <w:rPr>
      <w:b/>
    </w:rPr>
  </w:style>
  <w:style w:type="paragraph" w:styleId="Contents1">
    <w:name w:val="TOC 1"/>
    <w:semiHidden/>
    <w:pPr>
      <w:keepNext w:val="true"/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left="567" w:right="425" w:hanging="567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US" w:bidi="ar-SA"/>
    </w:rPr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link w:val="HeaderChar"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ja-JP" w:bidi="ar-SA"/>
    </w:rPr>
  </w:style>
  <w:style w:type="paragraph" w:styleId="ZD" w:customStyle="1">
    <w:name w:val="ZD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en-GB" w:eastAsia="en-US" w:bidi="ar-SA"/>
    </w:rPr>
  </w:style>
  <w:style w:type="paragraph" w:styleId="Contents5">
    <w:name w:val="TOC 5"/>
    <w:basedOn w:val="Contents4"/>
    <w:semiHidden/>
    <w:pPr>
      <w:ind w:left="1701" w:hanging="1701"/>
    </w:pPr>
    <w:rPr/>
  </w:style>
  <w:style w:type="paragraph" w:styleId="Contents4">
    <w:name w:val="TOC 4"/>
    <w:basedOn w:val="Contents3"/>
    <w:semiHidden/>
    <w:pPr>
      <w:ind w:left="1418" w:hanging="1418"/>
    </w:pPr>
    <w:rPr/>
  </w:style>
  <w:style w:type="paragraph" w:styleId="Contents3">
    <w:name w:val="TOC 3"/>
    <w:basedOn w:val="Contents2"/>
    <w:semiHidden/>
    <w:pPr>
      <w:ind w:left="1134" w:hanging="1134"/>
    </w:pPr>
    <w:rPr/>
  </w:style>
  <w:style w:type="paragraph" w:styleId="Contents2">
    <w:name w:val="TOC 2"/>
    <w:basedOn w:val="Contents1"/>
    <w:semiHidden/>
    <w:pPr>
      <w:keepNext w:val="false"/>
      <w:spacing w:before="0" w:after="0"/>
      <w:ind w:left="851" w:right="425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qFormat/>
    <w:pPr>
      <w:outlineLvl w:val="9"/>
    </w:pPr>
    <w:rPr/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NO" w:customStyle="1">
    <w:name w:val="NO"/>
    <w:basedOn w:val="Normal"/>
    <w:qFormat/>
    <w:pPr>
      <w:keepLines/>
      <w:ind w:left="1135" w:hanging="851"/>
    </w:pPr>
    <w:rPr/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US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TAL" w:customStyle="1">
    <w:name w:val="TAL"/>
    <w:basedOn w:val="Normal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TAH" w:customStyle="1">
    <w:name w:val="TAH"/>
    <w:basedOn w:val="TAC"/>
    <w:qFormat/>
    <w:pPr/>
    <w:rPr>
      <w:b/>
    </w:rPr>
  </w:style>
  <w:style w:type="paragraph" w:styleId="TAC" w:customStyle="1">
    <w:name w:val="TAC"/>
    <w:basedOn w:val="TAL"/>
    <w:qFormat/>
    <w:pPr>
      <w:jc w:val="center"/>
    </w:pPr>
    <w:rPr/>
  </w:style>
  <w:style w:type="paragraph" w:styleId="LD" w:customStyle="1">
    <w:name w:val="LD"/>
    <w:qFormat/>
    <w:pPr>
      <w:keepNext w:val="true"/>
      <w:keepLines/>
      <w:widowControl/>
      <w:suppressAutoHyphens w:val="true"/>
      <w:bidi w:val="0"/>
      <w:spacing w:lineRule="exact" w:line="18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EX" w:customStyle="1">
    <w:name w:val="EX"/>
    <w:basedOn w:val="Normal"/>
    <w:qFormat/>
    <w:pPr>
      <w:keepLines/>
      <w:ind w:left="1702" w:hanging="1418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B1" w:customStyle="1">
    <w:name w:val="B1"/>
    <w:basedOn w:val="Normal"/>
    <w:qFormat/>
    <w:pPr>
      <w:ind w:left="568" w:hanging="284"/>
    </w:pPr>
    <w:rPr/>
  </w:style>
  <w:style w:type="paragraph" w:styleId="Contents6">
    <w:name w:val="TOC 6"/>
    <w:basedOn w:val="Contents5"/>
    <w:next w:val="Normal"/>
    <w:semiHidden/>
    <w:pPr>
      <w:ind w:left="1985" w:hanging="1985"/>
    </w:pPr>
    <w:rPr/>
  </w:style>
  <w:style w:type="paragraph" w:styleId="Contents7">
    <w:name w:val="TOC 7"/>
    <w:basedOn w:val="Contents6"/>
    <w:next w:val="Normal"/>
    <w:semiHidden/>
    <w:pPr>
      <w:ind w:left="2268" w:hanging="2268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TH" w:customStyle="1">
    <w:name w:val="TH"/>
    <w:basedOn w:val="Normal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US" w:bidi="ar-SA"/>
    </w:rPr>
  </w:style>
  <w:style w:type="paragraph" w:styleId="ZB" w:customStyle="1">
    <w:name w:val="ZB"/>
    <w:qFormat/>
    <w:pPr>
      <w:widowControl w:val="false"/>
      <w:suppressAutoHyphens w:val="true"/>
      <w:bidi w:val="0"/>
      <w:spacing w:before="0" w:after="0"/>
      <w:ind w:right="28" w:hanging="0"/>
      <w:jc w:val="right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en-US" w:bidi="ar-SA"/>
    </w:rPr>
  </w:style>
  <w:style w:type="paragraph" w:styleId="ZT" w:customStyle="1">
    <w:name w:val="ZT"/>
    <w:qFormat/>
    <w:pPr>
      <w:widowControl w:val="false"/>
      <w:suppressAutoHyphens w:val="true"/>
      <w:bidi w:val="0"/>
      <w:spacing w:lineRule="atLeast" w:line="240" w:before="0" w:after="0"/>
      <w:jc w:val="right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US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AN" w:customStyle="1">
    <w:name w:val="TAN"/>
    <w:basedOn w:val="TAL"/>
    <w:qFormat/>
    <w:pPr>
      <w:ind w:left="851" w:hanging="851"/>
    </w:pPr>
    <w:rPr/>
  </w:style>
  <w:style w:type="paragraph" w:styleId="ZH" w:customStyle="1">
    <w:name w:val="ZH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ZG" w:customStyle="1">
    <w:name w:val="ZG"/>
    <w:qFormat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B2" w:customStyle="1">
    <w:name w:val="B2"/>
    <w:basedOn w:val="Normal"/>
    <w:qFormat/>
    <w:pPr>
      <w:ind w:left="851" w:hanging="284"/>
    </w:pPr>
    <w:rPr/>
  </w:style>
  <w:style w:type="paragraph" w:styleId="B3" w:customStyle="1">
    <w:name w:val="B3"/>
    <w:basedOn w:val="Normal"/>
    <w:qFormat/>
    <w:pPr>
      <w:ind w:left="1135" w:hanging="284"/>
    </w:pPr>
    <w:rPr/>
  </w:style>
  <w:style w:type="paragraph" w:styleId="B4" w:customStyle="1">
    <w:name w:val="B4"/>
    <w:basedOn w:val="Normal"/>
    <w:qFormat/>
    <w:pPr>
      <w:ind w:left="1418" w:hanging="284"/>
    </w:pPr>
    <w:rPr/>
  </w:style>
  <w:style w:type="paragraph" w:styleId="B5" w:customStyle="1">
    <w:name w:val="B5"/>
    <w:basedOn w:val="Normal"/>
    <w:qFormat/>
    <w:pPr>
      <w:ind w:left="1702" w:hanging="284"/>
    </w:pPr>
    <w:rPr/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ZV" w:customStyle="1">
    <w:name w:val="ZV"/>
    <w:basedOn w:val="ZU"/>
    <w:qFormat/>
    <w:pPr/>
    <w:rPr/>
  </w:style>
  <w:style w:type="paragraph" w:styleId="TAJ" w:customStyle="1">
    <w:name w:val="TAJ"/>
    <w:basedOn w:val="TH"/>
    <w:qFormat/>
    <w:pPr/>
    <w:rPr/>
  </w:style>
  <w:style w:type="paragraph" w:styleId="Guidance" w:customStyle="1">
    <w:name w:val="Guidance"/>
    <w:basedOn w:val="Normal"/>
    <w:qFormat/>
    <w:pPr/>
    <w:rPr>
      <w:i/>
      <w:color w:val="0000FF"/>
    </w:rPr>
  </w:style>
  <w:style w:type="paragraph" w:styleId="CRCoverPage" w:customStyle="1">
    <w:name w:val="CR Cover Page"/>
    <w:qFormat/>
    <w:rsid w:val="00cd4c7b"/>
    <w:pPr>
      <w:widowControl/>
      <w:suppressAutoHyphens w:val="true"/>
      <w:bidi w:val="0"/>
      <w:spacing w:before="0" w:after="120"/>
      <w:jc w:val="left"/>
    </w:pPr>
    <w:rPr>
      <w:rFonts w:ascii="Arial" w:hAnsi="Arial" w:eastAsia="MS Mincho" w:cs="Times New Roman"/>
      <w:color w:val="auto"/>
      <w:kern w:val="0"/>
      <w:sz w:val="20"/>
      <w:szCs w:val="20"/>
      <w:lang w:val="en-GB" w:eastAsia="en-US" w:bidi="ar-SA"/>
    </w:rPr>
  </w:style>
  <w:style w:type="paragraph" w:styleId="DocumentMap">
    <w:name w:val="Document Map"/>
    <w:basedOn w:val="Normal"/>
    <w:link w:val="DocumentMapChar"/>
    <w:qFormat/>
    <w:rsid w:val="009d74a6"/>
    <w:pPr>
      <w:spacing w:before="0" w:after="0"/>
    </w:pPr>
    <w:rPr>
      <w:sz w:val="24"/>
      <w:szCs w:val="24"/>
    </w:rPr>
  </w:style>
  <w:style w:type="paragraph" w:styleId="BalloonText">
    <w:name w:val="Balloon Text"/>
    <w:basedOn w:val="Normal"/>
    <w:link w:val="BalloonTextChar"/>
    <w:qFormat/>
    <w:rsid w:val="00b27303"/>
    <w:pPr>
      <w:spacing w:before="0" w:after="0"/>
    </w:pPr>
    <w:rPr>
      <w:rFonts w:ascii="Helvetica" w:hAnsi="Helvetica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8e6930"/>
    <w:pPr>
      <w:spacing w:before="0" w:after="18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8e6930"/>
    <w:pPr>
      <w:spacing w:beforeAutospacing="1" w:afterAutospacing="1"/>
    </w:pPr>
    <w:rPr>
      <w:sz w:val="24"/>
      <w:szCs w:val="24"/>
      <w:lang w:val="en-US"/>
    </w:rPr>
  </w:style>
  <w:style w:type="paragraph" w:styleId="Annotationtext">
    <w:name w:val="annotation text"/>
    <w:basedOn w:val="Normal"/>
    <w:link w:val="CommentTextChar"/>
    <w:uiPriority w:val="99"/>
    <w:qFormat/>
    <w:rsid w:val="008e6930"/>
    <w:pPr/>
    <w:rPr/>
  </w:style>
  <w:style w:type="paragraph" w:styleId="Annotationsubject">
    <w:name w:val="annotation subject"/>
    <w:basedOn w:val="Annotationtext"/>
    <w:next w:val="Annotationtext"/>
    <w:link w:val="CommentSubjectChar"/>
    <w:qFormat/>
    <w:rsid w:val="008e6930"/>
    <w:pPr/>
    <w:rPr>
      <w:b/>
      <w:bCs/>
    </w:rPr>
  </w:style>
  <w:style w:type="paragraph" w:styleId="Revision">
    <w:name w:val="Revision"/>
    <w:uiPriority w:val="99"/>
    <w:semiHidden/>
    <w:qFormat/>
    <w:rsid w:val="0047346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8e693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<Relationship Id="rId14" Type="http://schemas.openxmlformats.org/officeDocument/2006/relationships/customXml" Target="../customXml/item2.xml"/><Relationship Id="rId15" Type="http://schemas.openxmlformats.org/officeDocument/2006/relationships/customXml" Target="../customXml/item3.xml"/><Relationship Id="rId16" Type="http://schemas.openxmlformats.org/officeDocument/2006/relationships/customXml" Target="../customXml/item4.xml"/><Relationship Id="rId17" Type="http://schemas.openxmlformats.org/officeDocument/2006/relationships/customXml" Target="../customXml/item5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_rels/item5.xml.rels><?xml version="1.0" encoding="UTF-8"?>
<Relationships xmlns="http://schemas.openxmlformats.org/package/2006/relationships"><Relationship Id="rId1" Type="http://schemas.openxmlformats.org/officeDocument/2006/relationships/customXmlProps" Target="itemProps5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5AIRPNAIUNRU-859666464-13270</_dlc_DocId>
    <_dlc_DocIdUrl xmlns="71c5aaf6-e6ce-465b-b873-5148d2a4c105">
      <Url>https://nokia.sharepoint.com/sites/c5g/e2earch/_layouts/15/DocIdRedir.aspx?ID=5AIRPNAIUNRU-859666464-13270</Url>
      <Description>5AIRPNAIUNRU-859666464-13270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Application>LibreOffice/7.3.7.2$Linux_X86_64 LibreOffice_project/30$Build-2</Application>
  <AppVersion>15.0000</AppVersion>
  <Pages>4</Pages>
  <Words>1045</Words>
  <Characters>5283</Characters>
  <CharactersWithSpaces>6271</CharactersWithSpaces>
  <Paragraphs>55</Paragraphs>
  <Company>Nokia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2016-08-12T13:53:00Z</dcterms:created>
  <dc:creator>Benoist</dc:creator>
  <dc:description/>
  <dc:language>en-IN</dc:language>
  <cp:lastModifiedBy/>
  <dcterms:modified xsi:type="dcterms:W3CDTF">2024-04-05T12:16:53Z</dcterms:modified>
  <cp:revision>249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GrammarlyDocumentId">
    <vt:lpwstr>79c12c8bba29cef3d5d7f0e1e61395ef32839d147b719e2043c595d86f6d140a</vt:lpwstr>
  </property>
  <property fmtid="{D5CDD505-2E9C-101B-9397-08002B2CF9AE}" pid="4" name="_dlc_DocIdItemGuid">
    <vt:lpwstr>38c4e378-ee0e-4f04-9184-88da06115dc6</vt:lpwstr>
  </property>
</Properties>
</file>