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6886DE8A"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#125</w:t>
      </w:r>
      <w:r w:rsidR="00926D4B">
        <w:rPr>
          <w:rFonts w:ascii="Arial" w:hAnsi="Arial" w:cs="Arial"/>
          <w:b/>
          <w:sz w:val="24"/>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D1AD7" w:rsidRPr="009D1AD7">
        <w:rPr>
          <w:rFonts w:ascii="Arial" w:hAnsi="Arial" w:cs="Arial"/>
          <w:b/>
          <w:sz w:val="24"/>
        </w:rPr>
        <w:t>R2-2402898</w:t>
      </w:r>
    </w:p>
    <w:p w14:paraId="3293D479" w14:textId="07FB9EB1" w:rsidR="00C56D74" w:rsidRPr="00E6516F" w:rsidRDefault="00926D4B" w:rsidP="00E6516F">
      <w:pPr>
        <w:tabs>
          <w:tab w:val="left" w:pos="2160"/>
        </w:tabs>
        <w:rPr>
          <w:rFonts w:ascii="Arial" w:hAnsi="Arial" w:cs="Arial"/>
          <w:b/>
          <w:sz w:val="24"/>
        </w:rPr>
      </w:pPr>
      <w:r w:rsidRPr="00926D4B">
        <w:rPr>
          <w:rFonts w:ascii="Arial" w:hAnsi="Arial" w:cs="Arial"/>
          <w:b/>
          <w:sz w:val="24"/>
        </w:rPr>
        <w:t xml:space="preserve">Changsha, </w:t>
      </w:r>
      <w:proofErr w:type="gramStart"/>
      <w:r w:rsidRPr="00926D4B">
        <w:rPr>
          <w:rFonts w:ascii="Arial" w:hAnsi="Arial" w:cs="Arial"/>
          <w:b/>
          <w:sz w:val="24"/>
        </w:rPr>
        <w:t>China,  April</w:t>
      </w:r>
      <w:proofErr w:type="gramEnd"/>
      <w:r w:rsidRPr="00926D4B">
        <w:rPr>
          <w:rFonts w:ascii="Arial" w:hAnsi="Arial" w:cs="Arial"/>
          <w:b/>
          <w:sz w:val="24"/>
        </w:rPr>
        <w:t xml:space="preserve"> 15th – 19th, 2024</w:t>
      </w:r>
    </w:p>
    <w:p w14:paraId="6C4AF3F4" w14:textId="5068AD80" w:rsidR="00C56D74" w:rsidRPr="0008103A" w:rsidRDefault="00C56D74" w:rsidP="00C56D74">
      <w:pPr>
        <w:pStyle w:val="CH"/>
        <w:rPr>
          <w:b w:val="0"/>
        </w:rPr>
      </w:pPr>
      <w:r w:rsidRPr="0008103A">
        <w:t>Agenda item:</w:t>
      </w:r>
      <w:r>
        <w:tab/>
      </w:r>
      <w:r w:rsidR="00926D4B">
        <w:t>8.</w:t>
      </w:r>
      <w:r w:rsidR="00CC09DE">
        <w:t>3.</w:t>
      </w:r>
      <w:r w:rsidR="00FD3C60">
        <w:t>3</w:t>
      </w:r>
    </w:p>
    <w:p w14:paraId="127DDB38" w14:textId="77777777" w:rsidR="00C56D74" w:rsidRPr="00A558BE" w:rsidRDefault="00C56D74" w:rsidP="00C56D74">
      <w:pPr>
        <w:pStyle w:val="CH"/>
        <w:rPr>
          <w:b w:val="0"/>
          <w:lang w:val="en-US" w:eastAsia="zh-CN"/>
        </w:rPr>
      </w:pPr>
      <w:r>
        <w:t>Source:</w:t>
      </w:r>
      <w:r>
        <w:tab/>
        <w:t>Apple</w:t>
      </w:r>
    </w:p>
    <w:p w14:paraId="014FA553" w14:textId="1B0CD37E" w:rsidR="00C56D74" w:rsidRPr="00D212FB" w:rsidRDefault="00C56D74" w:rsidP="00C56D74">
      <w:pPr>
        <w:pStyle w:val="CH"/>
        <w:ind w:left="2260" w:hanging="2260"/>
        <w:rPr>
          <w:lang w:val="en-US" w:eastAsia="zh-CN"/>
        </w:rPr>
      </w:pPr>
      <w:r w:rsidRPr="0008103A">
        <w:t>Title:</w:t>
      </w:r>
      <w:r w:rsidRPr="0008103A">
        <w:tab/>
      </w:r>
      <w:r w:rsidR="00CC09DE">
        <w:t xml:space="preserve">On </w:t>
      </w:r>
      <w:r w:rsidR="0000251F">
        <w:t>measurement</w:t>
      </w:r>
      <w:r w:rsidR="0083538A">
        <w:t xml:space="preserve"> </w:t>
      </w:r>
      <w:r w:rsidR="00290B9F">
        <w:t xml:space="preserve">event </w:t>
      </w:r>
      <w:r w:rsidR="0083538A">
        <w:t>prediction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3E35921C" w14:textId="0F929DF8" w:rsidR="00FC497C" w:rsidRPr="00EA0668" w:rsidRDefault="005B4882" w:rsidP="0083538A">
      <w:pPr>
        <w:rPr>
          <w:lang w:val="en-US" w:eastAsia="zh-CN"/>
        </w:rPr>
      </w:pPr>
      <w:r w:rsidRPr="00EA0668">
        <w:rPr>
          <w:lang w:val="en-US" w:eastAsia="zh-CN"/>
        </w:rPr>
        <w:t xml:space="preserve">In this contribution </w:t>
      </w:r>
      <w:r w:rsidR="00CC09DE" w:rsidRPr="00EA0668">
        <w:rPr>
          <w:lang w:val="en-US" w:eastAsia="zh-CN"/>
        </w:rPr>
        <w:t xml:space="preserve">we discuss </w:t>
      </w:r>
      <w:r w:rsidR="00EA0668" w:rsidRPr="00EA0668">
        <w:rPr>
          <w:lang w:val="en-US" w:eastAsia="zh-CN"/>
        </w:rPr>
        <w:t xml:space="preserve">the following SI objectives (highlighted in </w:t>
      </w:r>
      <w:r w:rsidR="00EA0668" w:rsidRPr="00EA0668">
        <w:rPr>
          <w:highlight w:val="yellow"/>
          <w:lang w:val="en-US" w:eastAsia="zh-CN"/>
        </w:rPr>
        <w:t>yellow</w:t>
      </w:r>
      <w:r w:rsidR="00EA0668" w:rsidRPr="00EA0668">
        <w:rPr>
          <w:lang w:val="en-US" w:eastAsia="zh-CN"/>
        </w:rPr>
        <w:t>):</w:t>
      </w:r>
    </w:p>
    <w:p w14:paraId="2EC96A5F" w14:textId="77777777" w:rsidR="00EA0668" w:rsidRPr="00EA0668" w:rsidRDefault="00EA0668" w:rsidP="00EA0668">
      <w:pPr>
        <w:widowControl w:val="0"/>
        <w:numPr>
          <w:ilvl w:val="0"/>
          <w:numId w:val="52"/>
        </w:numPr>
        <w:spacing w:after="0"/>
        <w:jc w:val="both"/>
        <w:rPr>
          <w:bCs/>
          <w:i/>
          <w:iCs/>
          <w:lang w:val="en-US"/>
        </w:rPr>
      </w:pPr>
      <w:r w:rsidRPr="00EA0668">
        <w:rPr>
          <w:rFonts w:eastAsia="Calibri"/>
          <w:bCs/>
          <w:i/>
          <w:iCs/>
          <w:lang w:val="en-US"/>
        </w:rPr>
        <w:t xml:space="preserve">AI/ML based RRM measurement and event prediction, </w:t>
      </w:r>
    </w:p>
    <w:p w14:paraId="0002785C" w14:textId="77777777" w:rsidR="00EA0668" w:rsidRPr="00855819" w:rsidRDefault="00EA0668" w:rsidP="00EA0668">
      <w:pPr>
        <w:widowControl w:val="0"/>
        <w:numPr>
          <w:ilvl w:val="1"/>
          <w:numId w:val="52"/>
        </w:numPr>
        <w:spacing w:after="0"/>
        <w:jc w:val="both"/>
        <w:rPr>
          <w:rFonts w:eastAsia="DengXian"/>
          <w:bCs/>
          <w:i/>
          <w:iCs/>
          <w:lang w:val="en-US"/>
        </w:rPr>
      </w:pPr>
      <w:r w:rsidRPr="00855819">
        <w:rPr>
          <w:rFonts w:eastAsia="Calibri"/>
          <w:bCs/>
          <w:i/>
          <w:iCs/>
          <w:lang w:val="en-US"/>
        </w:rPr>
        <w:t>Cell-level measurement prediction including intra and inter-frequency (UE sided and NW sided model) [RAN2]</w:t>
      </w:r>
    </w:p>
    <w:p w14:paraId="79D01D96" w14:textId="77777777" w:rsidR="00EA0668" w:rsidRPr="00855819" w:rsidRDefault="00EA0668" w:rsidP="00EA0668">
      <w:pPr>
        <w:widowControl w:val="0"/>
        <w:numPr>
          <w:ilvl w:val="2"/>
          <w:numId w:val="52"/>
        </w:numPr>
        <w:spacing w:after="0"/>
        <w:jc w:val="both"/>
        <w:rPr>
          <w:rFonts w:eastAsia="DengXian"/>
          <w:bCs/>
          <w:i/>
          <w:iCs/>
          <w:lang w:val="en-US"/>
        </w:rPr>
      </w:pPr>
      <w:r w:rsidRPr="00855819">
        <w:rPr>
          <w:rFonts w:eastAsia="Calibri"/>
          <w:bCs/>
          <w:i/>
          <w:iCs/>
          <w:lang w:val="en-US"/>
        </w:rPr>
        <w:t>Inter-cell Beam-level measurement prediction for L3 Mobility (UE sided and NW sided model) [RAN2]</w:t>
      </w:r>
    </w:p>
    <w:p w14:paraId="400BFE3A" w14:textId="77777777" w:rsidR="00EA0668" w:rsidRPr="00EA0668" w:rsidRDefault="00EA0668" w:rsidP="00EA0668">
      <w:pPr>
        <w:widowControl w:val="0"/>
        <w:numPr>
          <w:ilvl w:val="1"/>
          <w:numId w:val="52"/>
        </w:numPr>
        <w:spacing w:after="0"/>
        <w:jc w:val="both"/>
        <w:rPr>
          <w:bCs/>
          <w:i/>
          <w:iCs/>
          <w:lang w:val="en-US"/>
        </w:rPr>
      </w:pPr>
      <w:r w:rsidRPr="00EA0668">
        <w:rPr>
          <w:rFonts w:eastAsia="Calibri"/>
          <w:bCs/>
          <w:i/>
          <w:iCs/>
          <w:lang w:val="en-US"/>
        </w:rPr>
        <w:t>HO failure/RLF prediction (UE sided model) [RAN2]</w:t>
      </w:r>
    </w:p>
    <w:p w14:paraId="2724CCB7" w14:textId="77777777" w:rsidR="00EA0668" w:rsidRPr="00EA0668" w:rsidRDefault="00EA0668" w:rsidP="00EA0668">
      <w:pPr>
        <w:widowControl w:val="0"/>
        <w:numPr>
          <w:ilvl w:val="1"/>
          <w:numId w:val="52"/>
        </w:numPr>
        <w:spacing w:after="0"/>
        <w:jc w:val="both"/>
        <w:rPr>
          <w:bCs/>
          <w:i/>
          <w:iCs/>
          <w:highlight w:val="yellow"/>
          <w:lang w:val="en-US"/>
        </w:rPr>
      </w:pPr>
      <w:r w:rsidRPr="00EA0668">
        <w:rPr>
          <w:rFonts w:eastAsia="Calibri"/>
          <w:bCs/>
          <w:i/>
          <w:iCs/>
          <w:highlight w:val="yellow"/>
          <w:lang w:val="en-US"/>
        </w:rPr>
        <w:t>Measurement events prediction (UE sided model) [RAN2]</w:t>
      </w:r>
    </w:p>
    <w:p w14:paraId="7C4E1524" w14:textId="3B6CF841" w:rsidR="00EA0668" w:rsidRPr="00EA0668" w:rsidRDefault="00EA0668" w:rsidP="00EA0668">
      <w:pPr>
        <w:widowControl w:val="0"/>
        <w:numPr>
          <w:ilvl w:val="0"/>
          <w:numId w:val="52"/>
        </w:numPr>
        <w:spacing w:after="0"/>
        <w:jc w:val="both"/>
        <w:rPr>
          <w:bCs/>
          <w:i/>
          <w:iCs/>
          <w:lang w:val="en-US"/>
        </w:rPr>
      </w:pPr>
      <w:r w:rsidRPr="00EA0668">
        <w:rPr>
          <w:bCs/>
          <w:i/>
          <w:iCs/>
          <w:lang w:val="en-US"/>
        </w:rPr>
        <w:t>Study the need/benefits of any other UE assistance information for the network side model [RAN2]</w:t>
      </w:r>
    </w:p>
    <w:p w14:paraId="6C3A8EEF" w14:textId="141FD4BB" w:rsidR="00EA0668" w:rsidRPr="001124FE" w:rsidRDefault="008E7986" w:rsidP="00E56E0F">
      <w:pPr>
        <w:pStyle w:val="Heading1"/>
        <w:rPr>
          <w:lang w:val="ru-RU" w:bidi="he-IL"/>
        </w:rPr>
      </w:pPr>
      <w:r>
        <w:t>2</w:t>
      </w:r>
      <w:r w:rsidR="00004B93">
        <w:t xml:space="preserve">  </w:t>
      </w:r>
      <w:r w:rsidR="00476CE3">
        <w:t xml:space="preserve"> </w:t>
      </w:r>
      <w:r w:rsidR="004F2C96">
        <w:tab/>
      </w:r>
      <w:r w:rsidR="009575A3">
        <w:t>Discussion</w:t>
      </w:r>
    </w:p>
    <w:p w14:paraId="38069E1D" w14:textId="3ADD04C9" w:rsidR="00EA0668" w:rsidRDefault="00EA0668" w:rsidP="00A40D46">
      <w:r>
        <w:t>As we point out in another contribution [3], the main point of the present study is not RRM as such, but AI/ML. In other words, the focus should be not so much on the details of RRM and measurements, but on how well AI/ML models and algorithms can perform in measurement and measurement event prediction.</w:t>
      </w:r>
      <w:r w:rsidR="005B3E48">
        <w:t xml:space="preserve"> Furthermore, as there are many different AI/ML models, architecture and approaches are out there we should focus on studying those and their application to RRM, and to a far lesser extent the details of RRM.</w:t>
      </w:r>
    </w:p>
    <w:p w14:paraId="11A29528" w14:textId="6CC5F12B" w:rsidR="00EA0668" w:rsidRPr="00204550" w:rsidRDefault="00EA0668" w:rsidP="00EA0668">
      <w:pPr>
        <w:rPr>
          <w:b/>
          <w:lang w:val="en-US"/>
        </w:rPr>
      </w:pPr>
      <w:r w:rsidRPr="00204550">
        <w:rPr>
          <w:b/>
          <w:lang w:val="en-US"/>
        </w:rPr>
        <w:t xml:space="preserve">Observation 1: the focus of the study is how </w:t>
      </w:r>
      <w:r>
        <w:rPr>
          <w:b/>
          <w:lang w:val="en-US"/>
        </w:rPr>
        <w:t xml:space="preserve">well </w:t>
      </w:r>
      <w:r w:rsidRPr="00204550">
        <w:rPr>
          <w:b/>
          <w:lang w:val="en-US"/>
        </w:rPr>
        <w:t xml:space="preserve">AI/ML </w:t>
      </w:r>
      <w:r>
        <w:rPr>
          <w:b/>
          <w:lang w:val="en-US"/>
        </w:rPr>
        <w:t>models can predict measurements and measurement events</w:t>
      </w:r>
      <w:r w:rsidRPr="00204550">
        <w:rPr>
          <w:b/>
          <w:lang w:val="en-US"/>
        </w:rPr>
        <w:t xml:space="preserve">, </w:t>
      </w:r>
      <w:r w:rsidR="005B3E48">
        <w:rPr>
          <w:b/>
          <w:lang w:val="en-US"/>
        </w:rPr>
        <w:t xml:space="preserve">and which models perform best in this area, </w:t>
      </w:r>
      <w:r w:rsidRPr="00204550">
        <w:rPr>
          <w:b/>
          <w:lang w:val="en-US"/>
        </w:rPr>
        <w:t xml:space="preserve">not </w:t>
      </w:r>
      <w:r>
        <w:rPr>
          <w:b/>
          <w:lang w:val="en-US"/>
        </w:rPr>
        <w:t>the RRM and measurements as such</w:t>
      </w:r>
      <w:r w:rsidRPr="00204550">
        <w:rPr>
          <w:b/>
          <w:lang w:val="en-US"/>
        </w:rPr>
        <w:t>.</w:t>
      </w:r>
    </w:p>
    <w:p w14:paraId="7DEDEC69" w14:textId="433E2F54" w:rsidR="003B06DD" w:rsidRDefault="003B06DD" w:rsidP="003B06DD">
      <w:pPr>
        <w:rPr>
          <w:bCs/>
          <w:lang w:val="en-US"/>
        </w:rPr>
      </w:pPr>
      <w:r>
        <w:rPr>
          <w:bCs/>
          <w:lang w:val="en-US"/>
        </w:rPr>
        <w:t>This observation is useful, as we show below, to determine to what extent RAN2 needs to delve into the details of which measurements and which measurement events to study.</w:t>
      </w:r>
      <w:r>
        <w:rPr>
          <w:bCs/>
          <w:lang w:val="ru-RU"/>
        </w:rPr>
        <w:t xml:space="preserve"> </w:t>
      </w:r>
    </w:p>
    <w:p w14:paraId="0DD24F00" w14:textId="04A6A282" w:rsidR="003B06DD" w:rsidRDefault="003B06DD" w:rsidP="00A40D46">
      <w:r>
        <w:t xml:space="preserve">One question we need to answer is which measurement events to study. Obviously, it makes no sense to study all of </w:t>
      </w:r>
      <w:proofErr w:type="gramStart"/>
      <w:r>
        <w:t>them, since</w:t>
      </w:r>
      <w:proofErr w:type="gramEnd"/>
      <w:r>
        <w:t xml:space="preserve"> the point (as we explained already) after all is to study the AI/ML models and their performance in predicting the measurement events. With this in mind we think we need to focus on a limited number, perhaps even one, representative measurement events that we can use to evaluate the AI/ML model(s) performance. </w:t>
      </w:r>
    </w:p>
    <w:p w14:paraId="778EDE9B" w14:textId="0DF86BE4" w:rsidR="00A40D46" w:rsidRPr="00855819" w:rsidRDefault="00A40D46" w:rsidP="00A40D46">
      <w:pPr>
        <w:rPr>
          <w:b/>
          <w:bCs/>
        </w:rPr>
      </w:pPr>
      <w:r w:rsidRPr="00855819">
        <w:rPr>
          <w:b/>
          <w:bCs/>
        </w:rPr>
        <w:t xml:space="preserve">Proposal 1: </w:t>
      </w:r>
      <w:r w:rsidR="003B06DD" w:rsidRPr="00855819">
        <w:rPr>
          <w:b/>
          <w:bCs/>
        </w:rPr>
        <w:t>select a limited number (ideally one) representative measurement event to use to study the AI/ML prediction algorithms</w:t>
      </w:r>
      <w:r w:rsidR="00257FDE" w:rsidRPr="00855819">
        <w:rPr>
          <w:b/>
          <w:bCs/>
        </w:rPr>
        <w:t>.</w:t>
      </w:r>
    </w:p>
    <w:p w14:paraId="4B95CD2A" w14:textId="4F8EA0CA" w:rsidR="003B06DD" w:rsidRDefault="00855819" w:rsidP="00A40D46">
      <w:r>
        <w:t>Naturally, we want to focus on “regular” mobility related events, specifically A1-A6:</w:t>
      </w:r>
    </w:p>
    <w:p w14:paraId="5E933873" w14:textId="4D1A2166" w:rsidR="00855819" w:rsidRDefault="00855819" w:rsidP="00855819">
      <w:pPr>
        <w:pStyle w:val="ListParagraph"/>
        <w:numPr>
          <w:ilvl w:val="0"/>
          <w:numId w:val="55"/>
        </w:numPr>
      </w:pPr>
      <w:r w:rsidRPr="00855819">
        <w:t>Event A1 (Serving becomes better than threshold)</w:t>
      </w:r>
    </w:p>
    <w:p w14:paraId="2D75CB94" w14:textId="2EB9CB68" w:rsidR="00855819" w:rsidRDefault="00855819" w:rsidP="00855819">
      <w:pPr>
        <w:pStyle w:val="ListParagraph"/>
        <w:numPr>
          <w:ilvl w:val="0"/>
          <w:numId w:val="55"/>
        </w:numPr>
      </w:pPr>
      <w:r w:rsidRPr="00855819">
        <w:t>Event A2 (Serving becomes worse than threshold)</w:t>
      </w:r>
    </w:p>
    <w:p w14:paraId="7C30064A" w14:textId="765A4EF1" w:rsidR="00855819" w:rsidRPr="00855819" w:rsidRDefault="00855819" w:rsidP="00855819">
      <w:pPr>
        <w:pStyle w:val="ListParagraph"/>
        <w:numPr>
          <w:ilvl w:val="0"/>
          <w:numId w:val="55"/>
        </w:numPr>
      </w:pPr>
      <w:r w:rsidRPr="00855819">
        <w:rPr>
          <w:lang w:val="en-US"/>
        </w:rPr>
        <w:t>Event A3 (</w:t>
      </w:r>
      <w:proofErr w:type="spellStart"/>
      <w:r w:rsidRPr="00855819">
        <w:rPr>
          <w:lang w:val="en-US"/>
        </w:rPr>
        <w:t>Neighbour</w:t>
      </w:r>
      <w:proofErr w:type="spellEnd"/>
      <w:r w:rsidRPr="00855819">
        <w:rPr>
          <w:lang w:val="en-US"/>
        </w:rPr>
        <w:t xml:space="preserve"> becomes offset better than </w:t>
      </w:r>
      <w:proofErr w:type="spellStart"/>
      <w:r w:rsidRPr="00855819">
        <w:rPr>
          <w:lang w:val="en-US"/>
        </w:rPr>
        <w:t>SpCell</w:t>
      </w:r>
      <w:proofErr w:type="spellEnd"/>
      <w:r w:rsidRPr="00855819">
        <w:rPr>
          <w:lang w:val="en-US"/>
        </w:rPr>
        <w:t>)</w:t>
      </w:r>
    </w:p>
    <w:p w14:paraId="247C6FFB" w14:textId="2DD3C9DC" w:rsidR="00855819" w:rsidRDefault="00855819" w:rsidP="00855819">
      <w:pPr>
        <w:pStyle w:val="ListParagraph"/>
        <w:numPr>
          <w:ilvl w:val="0"/>
          <w:numId w:val="55"/>
        </w:numPr>
      </w:pPr>
      <w:r w:rsidRPr="00855819">
        <w:t>Event A4 (Neighbour becomes better than threshold)</w:t>
      </w:r>
    </w:p>
    <w:p w14:paraId="723DA926" w14:textId="645A8ED1" w:rsidR="00855819" w:rsidRDefault="00855819" w:rsidP="00855819">
      <w:pPr>
        <w:pStyle w:val="ListParagraph"/>
        <w:numPr>
          <w:ilvl w:val="0"/>
          <w:numId w:val="55"/>
        </w:numPr>
      </w:pPr>
      <w:r>
        <w:t>Event A5 (</w:t>
      </w:r>
      <w:proofErr w:type="spellStart"/>
      <w:r>
        <w:t>SpCell</w:t>
      </w:r>
      <w:proofErr w:type="spellEnd"/>
      <w:r>
        <w:t xml:space="preserve"> becomes worse than threshold1 and neighbour becomes better than threshold2)</w:t>
      </w:r>
    </w:p>
    <w:p w14:paraId="208D0D9E" w14:textId="466FD056" w:rsidR="00855819" w:rsidRPr="00855819" w:rsidRDefault="00855819" w:rsidP="00855819">
      <w:pPr>
        <w:pStyle w:val="ListParagraph"/>
        <w:numPr>
          <w:ilvl w:val="0"/>
          <w:numId w:val="55"/>
        </w:numPr>
      </w:pPr>
      <w:r w:rsidRPr="00855819">
        <w:rPr>
          <w:lang w:val="en-US"/>
        </w:rPr>
        <w:t>Event A6 (</w:t>
      </w:r>
      <w:proofErr w:type="spellStart"/>
      <w:r w:rsidRPr="00855819">
        <w:rPr>
          <w:lang w:val="en-US"/>
        </w:rPr>
        <w:t>Neighbour</w:t>
      </w:r>
      <w:proofErr w:type="spellEnd"/>
      <w:r w:rsidRPr="00855819">
        <w:rPr>
          <w:lang w:val="en-US"/>
        </w:rPr>
        <w:t xml:space="preserve"> becomes offset better than </w:t>
      </w:r>
      <w:proofErr w:type="spellStart"/>
      <w:r w:rsidRPr="00855819">
        <w:rPr>
          <w:lang w:val="en-US"/>
        </w:rPr>
        <w:t>SCell</w:t>
      </w:r>
      <w:proofErr w:type="spellEnd"/>
      <w:r w:rsidRPr="00855819">
        <w:rPr>
          <w:lang w:val="en-US"/>
        </w:rPr>
        <w:t>)</w:t>
      </w:r>
    </w:p>
    <w:p w14:paraId="30B4B949" w14:textId="06AD67CB" w:rsidR="005B3E48" w:rsidRDefault="005B3E48" w:rsidP="00A07111">
      <w:r>
        <w:t>Other events, related to inter-RAT, aerial UEs, would clearly be an overkill to study before we have established any concrete conclusions on the A1-6 events.</w:t>
      </w:r>
    </w:p>
    <w:p w14:paraId="04D3EF9B" w14:textId="5557E274" w:rsidR="00855819" w:rsidRDefault="00855819" w:rsidP="00A07111">
      <w:r>
        <w:t xml:space="preserve">We can </w:t>
      </w:r>
      <w:r w:rsidR="005B3E48">
        <w:t xml:space="preserve">further </w:t>
      </w:r>
      <w:r>
        <w:t xml:space="preserve">immediately rule out event A6 as the less relevant, but the main question remains whether we need an event which involves both the serving cell and a neighbour cell. </w:t>
      </w:r>
      <w:r w:rsidR="00800A08">
        <w:t xml:space="preserve">In the Release-11 mobility study TR 36.839 [4], event </w:t>
      </w:r>
      <w:r w:rsidR="00800A08">
        <w:lastRenderedPageBreak/>
        <w:t xml:space="preserve">A3 was </w:t>
      </w:r>
      <w:proofErr w:type="gramStart"/>
      <w:r w:rsidR="00800A08">
        <w:t>used</w:t>
      </w:r>
      <w:proofErr w:type="gramEnd"/>
      <w:r w:rsidR="00800A08">
        <w:t xml:space="preserve"> and it might be tempting to blindly follow that decision, however we think there are some considerations which were not relevant in that Release-11 study worth considering</w:t>
      </w:r>
      <w:r w:rsidR="00A07111">
        <w:t>.</w:t>
      </w:r>
    </w:p>
    <w:p w14:paraId="56E88C56" w14:textId="5350AE21" w:rsidR="00A07111" w:rsidRDefault="00A07111" w:rsidP="00A07111">
      <w:r>
        <w:t xml:space="preserve">Right </w:t>
      </w:r>
      <w:proofErr w:type="gramStart"/>
      <w:r>
        <w:t>now</w:t>
      </w:r>
      <w:proofErr w:type="gramEnd"/>
      <w:r>
        <w:t xml:space="preserve"> we are considering which event to choose for AI/ML prediction, </w:t>
      </w:r>
      <w:r w:rsidR="005B3E48">
        <w:t>but</w:t>
      </w:r>
      <w:r>
        <w:t xml:space="preserve"> let’s look ahead for a moment at what kinds of AI/ML models we are likely to use. This may give us insights of which event(s) is the best candidate for study the performance and potential of such models. </w:t>
      </w:r>
    </w:p>
    <w:p w14:paraId="53F93DA9" w14:textId="7B0805D5" w:rsidR="00A07111" w:rsidRDefault="00A07111" w:rsidP="00A07111">
      <w:r>
        <w:t xml:space="preserve">Measurement event prediction models should predict the likelihood of an </w:t>
      </w:r>
      <w:r w:rsidR="005B3E48">
        <w:t>occurrence</w:t>
      </w:r>
      <w:r>
        <w:t xml:space="preserve"> of a</w:t>
      </w:r>
      <w:r w:rsidR="005B3E48">
        <w:t>n event</w:t>
      </w:r>
      <w:r w:rsidR="00865AD4">
        <w:t xml:space="preserve">, based on previous events </w:t>
      </w:r>
      <w:proofErr w:type="gramStart"/>
      <w:r w:rsidR="00865AD4">
        <w:t>and also</w:t>
      </w:r>
      <w:proofErr w:type="gramEnd"/>
      <w:r w:rsidR="00865AD4">
        <w:t xml:space="preserve"> previous measurements. Ideally, it would be good to have a model that only uses previous events but that’s unlikely to be sufficient. Therefore, measurement event prediction model is likely to use the previous measurements and the previous events as input and produce the likelihood of a measurement event at a certain prediction time window.</w:t>
      </w:r>
    </w:p>
    <w:p w14:paraId="13AAF2C2" w14:textId="29BB766A" w:rsidR="00263544" w:rsidRDefault="00263544" w:rsidP="00A07111">
      <w:r>
        <w:t xml:space="preserve">Essentially, the problem is probably best modelled as prediction based on time series, for which </w:t>
      </w:r>
      <w:r w:rsidRPr="00263544">
        <w:t>Long short-term memory (LSTM)</w:t>
      </w:r>
      <w:r>
        <w:t xml:space="preserve"> models are often used. Incidentally, this was the most popular model used by many companies in the RAN1 study on CSI prediction. </w:t>
      </w:r>
    </w:p>
    <w:p w14:paraId="402D3436" w14:textId="04B58631" w:rsidR="00865AD4" w:rsidRPr="00B35979" w:rsidRDefault="00865AD4" w:rsidP="00A07111">
      <w:pPr>
        <w:rPr>
          <w:b/>
          <w:bCs/>
        </w:rPr>
      </w:pPr>
      <w:r w:rsidRPr="00B35979">
        <w:rPr>
          <w:b/>
          <w:bCs/>
        </w:rPr>
        <w:t>Observation 2: measurement event prediction model is likely to use the previous measurements and the previous events as input and produce the likelihood of a measurement event at a certain prediction time window.</w:t>
      </w:r>
    </w:p>
    <w:p w14:paraId="1A4AB7EB" w14:textId="49C71860" w:rsidR="00865AD4" w:rsidRDefault="00865AD4" w:rsidP="00A07111">
      <w:r>
        <w:t xml:space="preserve">An important note here is that this, as well as the model architecture, </w:t>
      </w:r>
      <w:proofErr w:type="gramStart"/>
      <w:r>
        <w:t>complexity</w:t>
      </w:r>
      <w:proofErr w:type="gramEnd"/>
      <w:r>
        <w:t xml:space="preserve"> and likely performance, does not really depend on which event we chose to use for model evaluation and whether this event involves just the serving cell (e.g. A2) or both the serving and a neighbour cell (A3). </w:t>
      </w:r>
    </w:p>
    <w:p w14:paraId="505269E9" w14:textId="40BA06B8" w:rsidR="00865AD4" w:rsidRPr="00B35979" w:rsidRDefault="00865AD4" w:rsidP="00A07111">
      <w:pPr>
        <w:rPr>
          <w:b/>
          <w:bCs/>
        </w:rPr>
      </w:pPr>
      <w:r w:rsidRPr="00B35979">
        <w:rPr>
          <w:b/>
          <w:bCs/>
        </w:rPr>
        <w:t>Observation 3: AI/ML measurement prediction model evaluation is unlikely to depend on which event exactly will be used.</w:t>
      </w:r>
    </w:p>
    <w:p w14:paraId="0280F338" w14:textId="24819147" w:rsidR="00865AD4" w:rsidRDefault="00865AD4" w:rsidP="00A07111">
      <w:r>
        <w:t xml:space="preserve">On the other hand, it is also important to consider the overhead – in terms of simulation efforts and the actual discussions in RAN2 on simulation assumptions and simulation results alignment. Considering this is pretty much the first time RAN2 is formally using simulations, such discussions are likely to be time consuming – at let’s not forget that simulations aren’t even the core part of this study. Therefore, using simpler events (e.g. A2) </w:t>
      </w:r>
      <w:r w:rsidR="00B35979">
        <w:t xml:space="preserve">is </w:t>
      </w:r>
      <w:proofErr w:type="gramStart"/>
      <w:r w:rsidR="00B35979">
        <w:t>actually preferrable</w:t>
      </w:r>
      <w:proofErr w:type="gramEnd"/>
      <w:r w:rsidR="00B35979">
        <w:t>. More complex events (e.g. A3) can also be considered, but that should be justified in terms of their usefulness for the AI/ML model studies.</w:t>
      </w:r>
    </w:p>
    <w:p w14:paraId="19DCAE73" w14:textId="79064CBD" w:rsidR="00865AD4" w:rsidRPr="00B35979" w:rsidRDefault="00865AD4" w:rsidP="00A07111">
      <w:pPr>
        <w:rPr>
          <w:b/>
          <w:bCs/>
        </w:rPr>
      </w:pPr>
      <w:r w:rsidRPr="00B35979">
        <w:rPr>
          <w:b/>
          <w:bCs/>
        </w:rPr>
        <w:t xml:space="preserve">Observation 4: using simpler events (e.g. A2) will allow RAN2 to focus on the most important part of the study – AI/ML models, their characteristics, </w:t>
      </w:r>
      <w:proofErr w:type="gramStart"/>
      <w:r w:rsidRPr="00B35979">
        <w:rPr>
          <w:b/>
          <w:bCs/>
        </w:rPr>
        <w:t>architecture</w:t>
      </w:r>
      <w:proofErr w:type="gramEnd"/>
      <w:r w:rsidRPr="00B35979">
        <w:rPr>
          <w:b/>
          <w:bCs/>
        </w:rPr>
        <w:t xml:space="preserve"> and performance. </w:t>
      </w:r>
    </w:p>
    <w:p w14:paraId="10600EC6" w14:textId="19AF12BC" w:rsidR="00257FDE" w:rsidRPr="00B35979" w:rsidRDefault="00257FDE" w:rsidP="00A40D46">
      <w:pPr>
        <w:rPr>
          <w:b/>
          <w:bCs/>
        </w:rPr>
      </w:pPr>
      <w:r w:rsidRPr="00B35979">
        <w:rPr>
          <w:b/>
          <w:bCs/>
        </w:rPr>
        <w:t>Proposal 2: select A2 as the measurement event for the study</w:t>
      </w:r>
      <w:r w:rsidR="00865AD4" w:rsidRPr="00B35979">
        <w:rPr>
          <w:b/>
          <w:bCs/>
        </w:rPr>
        <w:t>; A3 can also be considered, if</w:t>
      </w:r>
      <w:r w:rsidRPr="00B35979">
        <w:rPr>
          <w:b/>
          <w:bCs/>
        </w:rPr>
        <w:t xml:space="preserve"> </w:t>
      </w:r>
      <w:r w:rsidR="00865AD4" w:rsidRPr="00B35979">
        <w:rPr>
          <w:b/>
          <w:bCs/>
        </w:rPr>
        <w:t>justified.</w:t>
      </w:r>
    </w:p>
    <w:p w14:paraId="6A3F16D7" w14:textId="013BF223" w:rsidR="00263544" w:rsidRDefault="00263544" w:rsidP="00A40D46">
      <w:r>
        <w:t>Another question we need to address is what benchmark to use for comparison in evaluating the performance of the predictive models. This is perhaps trivial but still needs to be formally agreed and so our suggestion is to use the actual measurement event triggered by the actual measurements. This is the best ground truth there is (under the limitations of the data set to be selected, see [5]) and it simply makes little sense to consider anything else, as such “ground truth” should be available in the data set to be selected for training and evaluation.</w:t>
      </w:r>
    </w:p>
    <w:p w14:paraId="4B9C57D7" w14:textId="77777777" w:rsidR="00263544" w:rsidRPr="005B3E48" w:rsidRDefault="00832F33" w:rsidP="00A40D46">
      <w:pPr>
        <w:rPr>
          <w:b/>
          <w:bCs/>
        </w:rPr>
      </w:pPr>
      <w:r w:rsidRPr="005B3E48">
        <w:rPr>
          <w:b/>
          <w:bCs/>
        </w:rPr>
        <w:t xml:space="preserve">Proposal 3: </w:t>
      </w:r>
      <w:r w:rsidR="00263544" w:rsidRPr="005B3E48">
        <w:rPr>
          <w:b/>
          <w:bCs/>
        </w:rPr>
        <w:t xml:space="preserve">the </w:t>
      </w:r>
      <w:r w:rsidRPr="005B3E48">
        <w:rPr>
          <w:b/>
          <w:bCs/>
        </w:rPr>
        <w:t xml:space="preserve">benchmark is the actual measurement event </w:t>
      </w:r>
      <w:r w:rsidR="00263544" w:rsidRPr="005B3E48">
        <w:rPr>
          <w:b/>
          <w:bCs/>
        </w:rPr>
        <w:t>based on the actual measurements (in the data set used for training and evaluation).</w:t>
      </w:r>
    </w:p>
    <w:p w14:paraId="6401D569" w14:textId="186A2837" w:rsidR="00B35979" w:rsidRDefault="00263544" w:rsidP="00A40D46">
      <w:r>
        <w:t>Finally, we need to consider the KPIs for evaluation. First</w:t>
      </w:r>
      <w:r w:rsidR="00B52455">
        <w:t>,</w:t>
      </w:r>
      <w:r>
        <w:t xml:space="preserve"> we assume that common KPIs are being discussed in another agenda item (</w:t>
      </w:r>
      <w:r w:rsidR="005B3E48">
        <w:t>s</w:t>
      </w:r>
      <w:r>
        <w:t xml:space="preserve">ee [5]) are common KPIs such as </w:t>
      </w:r>
      <w:r w:rsidRPr="00BF2E04">
        <w:t>prediction accuracy</w:t>
      </w:r>
      <w:r>
        <w:t xml:space="preserve"> and prediction window would also be used for measurement event prediction.</w:t>
      </w:r>
    </w:p>
    <w:p w14:paraId="225B7BA4" w14:textId="7C3F6419" w:rsidR="00263544" w:rsidRPr="00263544" w:rsidRDefault="00263544" w:rsidP="00263544">
      <w:pPr>
        <w:rPr>
          <w:b/>
          <w:bCs/>
          <w:lang w:val="en-US"/>
        </w:rPr>
      </w:pPr>
      <w:r w:rsidRPr="00263544">
        <w:rPr>
          <w:b/>
          <w:bCs/>
          <w:lang w:val="en-US"/>
        </w:rPr>
        <w:t>Observation 5: KPIs such as prediction accuracy are considered common KPIs and of course are needed for measurement event prediction (discussed in the common KPI agenda item).</w:t>
      </w:r>
    </w:p>
    <w:p w14:paraId="64D9B78D" w14:textId="54316217" w:rsidR="00263544" w:rsidRDefault="00263544" w:rsidP="00263544">
      <w:pPr>
        <w:rPr>
          <w:lang w:val="en-US"/>
        </w:rPr>
      </w:pPr>
      <w:r>
        <w:rPr>
          <w:lang w:val="en-US"/>
        </w:rPr>
        <w:t>The</w:t>
      </w:r>
      <w:r w:rsidR="005B3E48">
        <w:rPr>
          <w:lang w:val="en-US"/>
        </w:rPr>
        <w:t>n the</w:t>
      </w:r>
      <w:r>
        <w:rPr>
          <w:lang w:val="en-US"/>
        </w:rPr>
        <w:t xml:space="preserve"> question becomes whether to consider additional KPIs specific to this model beyon</w:t>
      </w:r>
      <w:r w:rsidR="00473414">
        <w:rPr>
          <w:lang w:val="en-US"/>
        </w:rPr>
        <w:t>d</w:t>
      </w:r>
      <w:r>
        <w:rPr>
          <w:lang w:val="en-US"/>
        </w:rPr>
        <w:t xml:space="preserve"> the common KPIs.</w:t>
      </w:r>
      <w:r w:rsidR="00473414">
        <w:rPr>
          <w:lang w:val="en-US"/>
        </w:rPr>
        <w:t xml:space="preserve"> We think one such additional KPI should be the frequency of measurements needed to be performed for AI/ML model inference. </w:t>
      </w:r>
      <w:r w:rsidR="00B52455">
        <w:rPr>
          <w:lang w:val="en-US"/>
        </w:rPr>
        <w:t xml:space="preserve">This KPI would directly impact UE power consumption, which is in a way the main purpose of using prediction (as opposed to actual measurements). However, evaluating UE power consumption directly would be difficult, as a) it depends on implementation and b) we would also need to estimate the AI/ML model inference power consumption. Therefore, we think that measurement frequency (the lower the better) is a good </w:t>
      </w:r>
      <w:r w:rsidR="00700E38">
        <w:rPr>
          <w:lang w:val="en-US"/>
        </w:rPr>
        <w:t>trade-off</w:t>
      </w:r>
      <w:r w:rsidR="00B52455">
        <w:rPr>
          <w:lang w:val="en-US"/>
        </w:rPr>
        <w:t>.</w:t>
      </w:r>
    </w:p>
    <w:p w14:paraId="1A8C9F3F" w14:textId="63C9A3AB" w:rsidR="00473414" w:rsidRPr="00473414" w:rsidRDefault="00473414" w:rsidP="00263544">
      <w:pPr>
        <w:rPr>
          <w:b/>
          <w:bCs/>
          <w:lang w:val="en-US"/>
        </w:rPr>
      </w:pPr>
      <w:r w:rsidRPr="00473414">
        <w:rPr>
          <w:b/>
          <w:bCs/>
          <w:lang w:val="en-US"/>
        </w:rPr>
        <w:t xml:space="preserve">Proposal </w:t>
      </w:r>
      <w:r w:rsidR="005B3E48">
        <w:rPr>
          <w:b/>
          <w:bCs/>
          <w:lang w:val="en-US"/>
        </w:rPr>
        <w:t>4</w:t>
      </w:r>
      <w:r w:rsidRPr="00473414">
        <w:rPr>
          <w:b/>
          <w:bCs/>
          <w:lang w:val="en-US"/>
        </w:rPr>
        <w:t>: consider measurement frequency (for AI/ML model inference) as a KPI for measurement event prediction.</w:t>
      </w:r>
    </w:p>
    <w:p w14:paraId="57D7B798" w14:textId="0C4F80F2" w:rsidR="00473414" w:rsidRPr="00BF2E04" w:rsidRDefault="00473414" w:rsidP="00263544">
      <w:pPr>
        <w:rPr>
          <w:lang w:val="en-US"/>
        </w:rPr>
      </w:pPr>
      <w:r>
        <w:rPr>
          <w:lang w:val="en-US"/>
        </w:rPr>
        <w:lastRenderedPageBreak/>
        <w:t>We are not sure any additional KPIs are needed. Furthermore, it would be unwise to introduce too many. Hence the proposal.</w:t>
      </w:r>
    </w:p>
    <w:p w14:paraId="2AA318AC" w14:textId="11EC67ED" w:rsidR="00263544" w:rsidRDefault="00263544" w:rsidP="00263544">
      <w:pPr>
        <w:rPr>
          <w:b/>
          <w:bCs/>
        </w:rPr>
      </w:pPr>
      <w:r w:rsidRPr="00473414">
        <w:rPr>
          <w:b/>
          <w:bCs/>
        </w:rPr>
        <w:t xml:space="preserve">Proposal </w:t>
      </w:r>
      <w:r w:rsidR="005B3E48">
        <w:rPr>
          <w:b/>
          <w:bCs/>
        </w:rPr>
        <w:t>5</w:t>
      </w:r>
      <w:r w:rsidRPr="00473414">
        <w:rPr>
          <w:b/>
          <w:bCs/>
        </w:rPr>
        <w:t>: consider additional KPIs (beyond prediction accuracy</w:t>
      </w:r>
      <w:r w:rsidR="00473414" w:rsidRPr="00473414">
        <w:rPr>
          <w:b/>
          <w:bCs/>
        </w:rPr>
        <w:t xml:space="preserve">, </w:t>
      </w:r>
      <w:r w:rsidRPr="00473414">
        <w:rPr>
          <w:b/>
          <w:bCs/>
        </w:rPr>
        <w:t>prediction window</w:t>
      </w:r>
      <w:r w:rsidR="00473414" w:rsidRPr="00473414">
        <w:rPr>
          <w:b/>
          <w:bCs/>
        </w:rPr>
        <w:t xml:space="preserve"> and measurement frequency</w:t>
      </w:r>
      <w:r w:rsidRPr="00473414">
        <w:rPr>
          <w:b/>
          <w:bCs/>
        </w:rPr>
        <w:t xml:space="preserve">) once it has been established that AI/ML </w:t>
      </w:r>
      <w:proofErr w:type="gramStart"/>
      <w:r w:rsidRPr="00473414">
        <w:rPr>
          <w:b/>
          <w:bCs/>
        </w:rPr>
        <w:t>is capable of predicting</w:t>
      </w:r>
      <w:proofErr w:type="gramEnd"/>
      <w:r w:rsidRPr="00473414">
        <w:rPr>
          <w:b/>
          <w:bCs/>
        </w:rPr>
        <w:t xml:space="preserve"> measurements with sufficiently high accuracy and sufficiently long prediction window.</w:t>
      </w:r>
    </w:p>
    <w:p w14:paraId="7D91F125" w14:textId="54FFA97B" w:rsidR="00B35979" w:rsidRDefault="00B52455" w:rsidP="00B52455">
      <w:r w:rsidRPr="00B52455">
        <w:t>One</w:t>
      </w:r>
      <w:r>
        <w:t xml:space="preserve"> might consider other KPIs, such as for example HO performance (e.g. the ratio of HO failures) or suchlike, as the prediction should not negatively impact the overall performance. However, we believe that such KPIs are both complex to evaluate and do not add much compared to the prediction accuracy KPI. </w:t>
      </w:r>
    </w:p>
    <w:p w14:paraId="34C99636" w14:textId="0307CAFC" w:rsidR="008E7986" w:rsidRDefault="008E7986" w:rsidP="008E7986">
      <w:pPr>
        <w:pStyle w:val="Heading1"/>
      </w:pPr>
      <w:r>
        <w:t>3</w:t>
      </w:r>
      <w:r>
        <w:tab/>
        <w:t>Conclusions</w:t>
      </w:r>
      <w:r w:rsidR="00E04DD7">
        <w:t xml:space="preserve"> and Proposals</w:t>
      </w:r>
    </w:p>
    <w:bookmarkEnd w:id="0"/>
    <w:p w14:paraId="1D7E563F" w14:textId="77777777" w:rsidR="00197B81" w:rsidRPr="00204550" w:rsidRDefault="00197B81" w:rsidP="00197B81">
      <w:pPr>
        <w:rPr>
          <w:b/>
          <w:lang w:val="en-US"/>
        </w:rPr>
      </w:pPr>
      <w:r w:rsidRPr="00204550">
        <w:rPr>
          <w:b/>
          <w:lang w:val="en-US"/>
        </w:rPr>
        <w:t xml:space="preserve">Observation 1: the focus of the study is how </w:t>
      </w:r>
      <w:r>
        <w:rPr>
          <w:b/>
          <w:lang w:val="en-US"/>
        </w:rPr>
        <w:t xml:space="preserve">well </w:t>
      </w:r>
      <w:r w:rsidRPr="00204550">
        <w:rPr>
          <w:b/>
          <w:lang w:val="en-US"/>
        </w:rPr>
        <w:t xml:space="preserve">AI/ML </w:t>
      </w:r>
      <w:r>
        <w:rPr>
          <w:b/>
          <w:lang w:val="en-US"/>
        </w:rPr>
        <w:t>models can predict measurements and measurement events</w:t>
      </w:r>
      <w:r w:rsidRPr="00204550">
        <w:rPr>
          <w:b/>
          <w:lang w:val="en-US"/>
        </w:rPr>
        <w:t xml:space="preserve">, not </w:t>
      </w:r>
      <w:r>
        <w:rPr>
          <w:b/>
          <w:lang w:val="en-US"/>
        </w:rPr>
        <w:t>the RRM and measurements as such</w:t>
      </w:r>
      <w:r w:rsidRPr="00204550">
        <w:rPr>
          <w:b/>
          <w:lang w:val="en-US"/>
        </w:rPr>
        <w:t>.</w:t>
      </w:r>
    </w:p>
    <w:p w14:paraId="7FB22E7B" w14:textId="5A40EA45" w:rsidR="00197B81" w:rsidRDefault="00197B81" w:rsidP="00197B81">
      <w:pPr>
        <w:rPr>
          <w:b/>
          <w:bCs/>
        </w:rPr>
      </w:pPr>
      <w:r w:rsidRPr="00855819">
        <w:rPr>
          <w:b/>
          <w:bCs/>
        </w:rPr>
        <w:t>Proposal 1: select a limited number (ideally one) representative measurement event to use to study the AI/ML prediction algorithms.</w:t>
      </w:r>
    </w:p>
    <w:p w14:paraId="784F9584" w14:textId="77777777" w:rsidR="00197B81" w:rsidRPr="00B35979" w:rsidRDefault="00197B81" w:rsidP="00197B81">
      <w:pPr>
        <w:rPr>
          <w:b/>
          <w:bCs/>
        </w:rPr>
      </w:pPr>
      <w:r w:rsidRPr="00B35979">
        <w:rPr>
          <w:b/>
          <w:bCs/>
        </w:rPr>
        <w:t>Observation 2: measurement event prediction model is likely to use the previous measurements and the previous events as input and produce the likelihood of a measurement event at a certain prediction time window.</w:t>
      </w:r>
    </w:p>
    <w:p w14:paraId="36DD8D35" w14:textId="77777777" w:rsidR="00197B81" w:rsidRPr="00B35979" w:rsidRDefault="00197B81" w:rsidP="00197B81">
      <w:pPr>
        <w:rPr>
          <w:b/>
          <w:bCs/>
        </w:rPr>
      </w:pPr>
      <w:r w:rsidRPr="00B35979">
        <w:rPr>
          <w:b/>
          <w:bCs/>
        </w:rPr>
        <w:t>Observation 3: AI/ML measurement prediction model evaluation is unlikely to depend on which event exactly will be used.</w:t>
      </w:r>
    </w:p>
    <w:p w14:paraId="5D6899EF" w14:textId="77777777" w:rsidR="00197B81" w:rsidRPr="00B35979" w:rsidRDefault="00197B81" w:rsidP="00197B81">
      <w:pPr>
        <w:rPr>
          <w:b/>
          <w:bCs/>
        </w:rPr>
      </w:pPr>
      <w:r w:rsidRPr="00B35979">
        <w:rPr>
          <w:b/>
          <w:bCs/>
        </w:rPr>
        <w:t xml:space="preserve">Observation 4: using simpler events (e.g. A2) will allow RAN2 to focus on the most important part of the study – AI/ML models, their characteristics, </w:t>
      </w:r>
      <w:proofErr w:type="gramStart"/>
      <w:r w:rsidRPr="00B35979">
        <w:rPr>
          <w:b/>
          <w:bCs/>
        </w:rPr>
        <w:t>architecture</w:t>
      </w:r>
      <w:proofErr w:type="gramEnd"/>
      <w:r w:rsidRPr="00B35979">
        <w:rPr>
          <w:b/>
          <w:bCs/>
        </w:rPr>
        <w:t xml:space="preserve"> and performance. </w:t>
      </w:r>
    </w:p>
    <w:p w14:paraId="10E66116" w14:textId="77777777" w:rsidR="00197B81" w:rsidRDefault="00197B81" w:rsidP="00197B81">
      <w:pPr>
        <w:rPr>
          <w:b/>
          <w:bCs/>
        </w:rPr>
      </w:pPr>
      <w:r w:rsidRPr="00B35979">
        <w:rPr>
          <w:b/>
          <w:bCs/>
        </w:rPr>
        <w:t>Proposal 2: select A2 as the measurement event for the study; A3 can also be considered, if justified.</w:t>
      </w:r>
    </w:p>
    <w:p w14:paraId="69E627B4" w14:textId="10B451AE" w:rsidR="005B3E48" w:rsidRPr="00B35979" w:rsidRDefault="005B3E48" w:rsidP="005B3E48">
      <w:pPr>
        <w:rPr>
          <w:b/>
          <w:bCs/>
        </w:rPr>
      </w:pPr>
      <w:r w:rsidRPr="005B3E48">
        <w:rPr>
          <w:b/>
          <w:bCs/>
        </w:rPr>
        <w:t>Proposal 3: the benchmark is the actual measurement event based on the actual measurements (in the data set used for training and evaluation).</w:t>
      </w:r>
    </w:p>
    <w:p w14:paraId="5665C4EE" w14:textId="77777777" w:rsidR="00197B81" w:rsidRPr="00263544" w:rsidRDefault="00197B81" w:rsidP="00197B81">
      <w:pPr>
        <w:rPr>
          <w:b/>
          <w:bCs/>
          <w:lang w:val="en-US"/>
        </w:rPr>
      </w:pPr>
      <w:r w:rsidRPr="00263544">
        <w:rPr>
          <w:b/>
          <w:bCs/>
          <w:lang w:val="en-US"/>
        </w:rPr>
        <w:t>Observation 5: KPIs such as prediction accuracy are considered common KPIs and of course are needed for measurement event prediction (discussed in the common KPI agenda item).</w:t>
      </w:r>
    </w:p>
    <w:p w14:paraId="62CE74F0" w14:textId="65CB1B11" w:rsidR="00197B81" w:rsidRPr="00473414" w:rsidRDefault="00197B81" w:rsidP="00197B81">
      <w:pPr>
        <w:rPr>
          <w:b/>
          <w:bCs/>
          <w:lang w:val="en-US"/>
        </w:rPr>
      </w:pPr>
      <w:r w:rsidRPr="00473414">
        <w:rPr>
          <w:b/>
          <w:bCs/>
          <w:lang w:val="en-US"/>
        </w:rPr>
        <w:t xml:space="preserve">Proposal </w:t>
      </w:r>
      <w:r w:rsidR="005B3E48">
        <w:rPr>
          <w:b/>
          <w:bCs/>
          <w:lang w:val="en-US"/>
        </w:rPr>
        <w:t>4</w:t>
      </w:r>
      <w:r w:rsidRPr="00473414">
        <w:rPr>
          <w:b/>
          <w:bCs/>
          <w:lang w:val="en-US"/>
        </w:rPr>
        <w:t>: consider measurement frequency (for AI/ML model inference) as a KPI for measurement event prediction.</w:t>
      </w:r>
    </w:p>
    <w:p w14:paraId="5BA7498E" w14:textId="3D5EAA0E" w:rsidR="00926D4B" w:rsidRPr="00197B81" w:rsidRDefault="00197B81" w:rsidP="00197B81">
      <w:pPr>
        <w:rPr>
          <w:b/>
          <w:bCs/>
        </w:rPr>
      </w:pPr>
      <w:r w:rsidRPr="00473414">
        <w:rPr>
          <w:b/>
          <w:bCs/>
        </w:rPr>
        <w:t xml:space="preserve">Proposal </w:t>
      </w:r>
      <w:r w:rsidR="005B3E48">
        <w:rPr>
          <w:b/>
          <w:bCs/>
        </w:rPr>
        <w:t>5</w:t>
      </w:r>
      <w:r w:rsidRPr="00473414">
        <w:rPr>
          <w:b/>
          <w:bCs/>
        </w:rPr>
        <w:t xml:space="preserve">: consider additional KPIs (beyond prediction accuracy, prediction window and measurement frequency) once it has been established that AI/ML </w:t>
      </w:r>
      <w:proofErr w:type="gramStart"/>
      <w:r w:rsidRPr="00473414">
        <w:rPr>
          <w:b/>
          <w:bCs/>
        </w:rPr>
        <w:t>is capable of predicting</w:t>
      </w:r>
      <w:proofErr w:type="gramEnd"/>
      <w:r w:rsidRPr="00473414">
        <w:rPr>
          <w:b/>
          <w:bCs/>
        </w:rPr>
        <w:t xml:space="preserve"> measurements with sufficiently high accuracy and sufficiently long prediction window.</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6FF8C519" w:rsidR="00705DDB" w:rsidRDefault="00705DDB" w:rsidP="00CC09DE">
      <w:r>
        <w:t>[2]</w:t>
      </w:r>
      <w:r>
        <w:tab/>
      </w:r>
      <w:r>
        <w:tab/>
      </w:r>
      <w:r w:rsidRPr="00705DDB">
        <w:t>RP-240082</w:t>
      </w:r>
      <w:r>
        <w:tab/>
        <w:t>“</w:t>
      </w:r>
      <w:r w:rsidRPr="00705DDB">
        <w:t>Study on AI (Artificial Intelligence)/ML (Machine Learning) for mobility in NR</w:t>
      </w:r>
      <w:r>
        <w:t>”</w:t>
      </w:r>
    </w:p>
    <w:p w14:paraId="60813756" w14:textId="3EA4FEE1" w:rsidR="00EA0668" w:rsidRDefault="00EA0668" w:rsidP="00CC09DE">
      <w:r>
        <w:t>[3]</w:t>
      </w:r>
      <w:r>
        <w:tab/>
      </w:r>
      <w:r>
        <w:tab/>
      </w:r>
      <w:r w:rsidR="00A66060" w:rsidRPr="00A66060">
        <w:t>R2-2402895</w:t>
      </w:r>
      <w:r>
        <w:tab/>
        <w:t>“On RLF and HO failure prediction”</w:t>
      </w:r>
    </w:p>
    <w:p w14:paraId="77C1AD60" w14:textId="6D4EAC1B" w:rsidR="00800A08" w:rsidRDefault="00800A08" w:rsidP="00800A08">
      <w:r>
        <w:t>[4]</w:t>
      </w:r>
      <w:r>
        <w:tab/>
      </w:r>
      <w:r>
        <w:tab/>
        <w:t>TR 36.839</w:t>
      </w:r>
      <w:r>
        <w:tab/>
        <w:t>“Mobility enhancements in heterogeneous networks (Release 11)”</w:t>
      </w:r>
    </w:p>
    <w:p w14:paraId="795CE6AF" w14:textId="0F2E7C51" w:rsidR="00263544" w:rsidRDefault="00263544" w:rsidP="00800A08">
      <w:r>
        <w:t>[5]</w:t>
      </w:r>
      <w:r>
        <w:tab/>
      </w:r>
      <w:r>
        <w:tab/>
      </w:r>
      <w:r w:rsidR="00A66060" w:rsidRPr="00A66060">
        <w:t>R2-2402897</w:t>
      </w:r>
      <w:r w:rsidR="00A66060">
        <w:tab/>
        <w:t>“</w:t>
      </w:r>
      <w:r w:rsidR="00A66060">
        <w:t>On KPIs for evaluation and training datasets</w:t>
      </w:r>
      <w:r w:rsidR="00A66060">
        <w:t>”</w:t>
      </w:r>
    </w:p>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B875" w14:textId="77777777" w:rsidR="007C5F22" w:rsidRDefault="007C5F22">
      <w:r>
        <w:separator/>
      </w:r>
    </w:p>
  </w:endnote>
  <w:endnote w:type="continuationSeparator" w:id="0">
    <w:p w14:paraId="42082423" w14:textId="77777777" w:rsidR="007C5F22" w:rsidRDefault="007C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ABDF" w14:textId="77777777" w:rsidR="007C5F22" w:rsidRDefault="007C5F22">
      <w:r>
        <w:separator/>
      </w:r>
    </w:p>
  </w:footnote>
  <w:footnote w:type="continuationSeparator" w:id="0">
    <w:p w14:paraId="75AD740D" w14:textId="77777777" w:rsidR="007C5F22" w:rsidRDefault="007C5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5485529"/>
    <w:multiLevelType w:val="hybridMultilevel"/>
    <w:tmpl w:val="A572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2"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56AA7"/>
    <w:multiLevelType w:val="hybridMultilevel"/>
    <w:tmpl w:val="B5646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0"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43"/>
  </w:num>
  <w:num w:numId="5" w16cid:durableId="1690332385">
    <w:abstractNumId w:val="2"/>
  </w:num>
  <w:num w:numId="6" w16cid:durableId="1076781032">
    <w:abstractNumId w:val="2"/>
  </w:num>
  <w:num w:numId="7" w16cid:durableId="1942686117">
    <w:abstractNumId w:val="20"/>
  </w:num>
  <w:num w:numId="8" w16cid:durableId="1023441076">
    <w:abstractNumId w:val="3"/>
  </w:num>
  <w:num w:numId="9" w16cid:durableId="529875344">
    <w:abstractNumId w:val="2"/>
  </w:num>
  <w:num w:numId="10" w16cid:durableId="1742405926">
    <w:abstractNumId w:val="28"/>
  </w:num>
  <w:num w:numId="11" w16cid:durableId="1863127805">
    <w:abstractNumId w:val="48"/>
  </w:num>
  <w:num w:numId="12" w16cid:durableId="821431081">
    <w:abstractNumId w:val="49"/>
  </w:num>
  <w:num w:numId="13" w16cid:durableId="2117361261">
    <w:abstractNumId w:val="34"/>
  </w:num>
  <w:num w:numId="14" w16cid:durableId="457384091">
    <w:abstractNumId w:val="52"/>
  </w:num>
  <w:num w:numId="15" w16cid:durableId="1320497354">
    <w:abstractNumId w:val="24"/>
  </w:num>
  <w:num w:numId="16" w16cid:durableId="1762099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1"/>
  </w:num>
  <w:num w:numId="18" w16cid:durableId="734740145">
    <w:abstractNumId w:val="36"/>
  </w:num>
  <w:num w:numId="19" w16cid:durableId="97139162">
    <w:abstractNumId w:val="47"/>
  </w:num>
  <w:num w:numId="20" w16cid:durableId="1834299695">
    <w:abstractNumId w:val="22"/>
  </w:num>
  <w:num w:numId="21" w16cid:durableId="1585918980">
    <w:abstractNumId w:val="39"/>
  </w:num>
  <w:num w:numId="22" w16cid:durableId="1003240625">
    <w:abstractNumId w:val="37"/>
  </w:num>
  <w:num w:numId="23" w16cid:durableId="1155030379">
    <w:abstractNumId w:val="35"/>
  </w:num>
  <w:num w:numId="24" w16cid:durableId="518086480">
    <w:abstractNumId w:val="30"/>
  </w:num>
  <w:num w:numId="25" w16cid:durableId="1774083706">
    <w:abstractNumId w:val="51"/>
  </w:num>
  <w:num w:numId="26" w16cid:durableId="12389941">
    <w:abstractNumId w:val="14"/>
  </w:num>
  <w:num w:numId="27" w16cid:durableId="1507595987">
    <w:abstractNumId w:val="42"/>
  </w:num>
  <w:num w:numId="28" w16cid:durableId="1730111202">
    <w:abstractNumId w:val="25"/>
  </w:num>
  <w:num w:numId="29" w16cid:durableId="104538824">
    <w:abstractNumId w:val="21"/>
  </w:num>
  <w:num w:numId="30" w16cid:durableId="469247317">
    <w:abstractNumId w:val="44"/>
  </w:num>
  <w:num w:numId="31" w16cid:durableId="2106802149">
    <w:abstractNumId w:val="41"/>
  </w:num>
  <w:num w:numId="32" w16cid:durableId="1024670370">
    <w:abstractNumId w:val="5"/>
  </w:num>
  <w:num w:numId="33" w16cid:durableId="108135547">
    <w:abstractNumId w:val="16"/>
  </w:num>
  <w:num w:numId="34" w16cid:durableId="2019575486">
    <w:abstractNumId w:val="46"/>
  </w:num>
  <w:num w:numId="35" w16cid:durableId="1446655360">
    <w:abstractNumId w:val="19"/>
  </w:num>
  <w:num w:numId="36" w16cid:durableId="300231227">
    <w:abstractNumId w:val="33"/>
  </w:num>
  <w:num w:numId="37" w16cid:durableId="1667786417">
    <w:abstractNumId w:val="50"/>
  </w:num>
  <w:num w:numId="38" w16cid:durableId="1068108894">
    <w:abstractNumId w:val="11"/>
  </w:num>
  <w:num w:numId="39" w16cid:durableId="508561446">
    <w:abstractNumId w:val="10"/>
  </w:num>
  <w:num w:numId="40" w16cid:durableId="284042613">
    <w:abstractNumId w:val="27"/>
  </w:num>
  <w:num w:numId="41" w16cid:durableId="1141968746">
    <w:abstractNumId w:val="12"/>
  </w:num>
  <w:num w:numId="42" w16cid:durableId="1538397545">
    <w:abstractNumId w:val="13"/>
  </w:num>
  <w:num w:numId="43" w16cid:durableId="1704941826">
    <w:abstractNumId w:val="8"/>
  </w:num>
  <w:num w:numId="44" w16cid:durableId="799030740">
    <w:abstractNumId w:val="18"/>
  </w:num>
  <w:num w:numId="45" w16cid:durableId="1500002592">
    <w:abstractNumId w:val="29"/>
  </w:num>
  <w:num w:numId="46" w16cid:durableId="1212888994">
    <w:abstractNumId w:val="9"/>
  </w:num>
  <w:num w:numId="47" w16cid:durableId="19431389">
    <w:abstractNumId w:val="23"/>
  </w:num>
  <w:num w:numId="48" w16cid:durableId="1074277485">
    <w:abstractNumId w:val="38"/>
  </w:num>
  <w:num w:numId="49" w16cid:durableId="1122262579">
    <w:abstractNumId w:val="6"/>
  </w:num>
  <w:num w:numId="50" w16cid:durableId="1851333511">
    <w:abstractNumId w:val="45"/>
  </w:num>
  <w:num w:numId="51" w16cid:durableId="457376276">
    <w:abstractNumId w:val="15"/>
  </w:num>
  <w:num w:numId="52" w16cid:durableId="70083728">
    <w:abstractNumId w:val="7"/>
  </w:num>
  <w:num w:numId="53" w16cid:durableId="1022590173">
    <w:abstractNumId w:val="4"/>
  </w:num>
  <w:num w:numId="54" w16cid:durableId="830487511">
    <w:abstractNumId w:val="40"/>
  </w:num>
  <w:num w:numId="55" w16cid:durableId="57288860">
    <w:abstractNumId w:val="17"/>
  </w:num>
  <w:num w:numId="56" w16cid:durableId="10649145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F"/>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80512"/>
    <w:rsid w:val="00080581"/>
    <w:rsid w:val="00082B33"/>
    <w:rsid w:val="000872A4"/>
    <w:rsid w:val="00087E09"/>
    <w:rsid w:val="00093427"/>
    <w:rsid w:val="00097203"/>
    <w:rsid w:val="0009755D"/>
    <w:rsid w:val="000A365D"/>
    <w:rsid w:val="000A7B22"/>
    <w:rsid w:val="000B0981"/>
    <w:rsid w:val="000B2CFA"/>
    <w:rsid w:val="000B521D"/>
    <w:rsid w:val="000C2196"/>
    <w:rsid w:val="000C27AA"/>
    <w:rsid w:val="000C47C3"/>
    <w:rsid w:val="000C50DC"/>
    <w:rsid w:val="000D582E"/>
    <w:rsid w:val="000D58AB"/>
    <w:rsid w:val="000D7B98"/>
    <w:rsid w:val="000E0B50"/>
    <w:rsid w:val="000E1AFC"/>
    <w:rsid w:val="000E1DF5"/>
    <w:rsid w:val="000E723A"/>
    <w:rsid w:val="000F7392"/>
    <w:rsid w:val="00104BC6"/>
    <w:rsid w:val="001061CB"/>
    <w:rsid w:val="00107C38"/>
    <w:rsid w:val="001124FE"/>
    <w:rsid w:val="00130174"/>
    <w:rsid w:val="00133525"/>
    <w:rsid w:val="0013608F"/>
    <w:rsid w:val="001378F3"/>
    <w:rsid w:val="00151156"/>
    <w:rsid w:val="00160F3D"/>
    <w:rsid w:val="0016132D"/>
    <w:rsid w:val="001644D8"/>
    <w:rsid w:val="0017007C"/>
    <w:rsid w:val="00173532"/>
    <w:rsid w:val="0018138E"/>
    <w:rsid w:val="0019189A"/>
    <w:rsid w:val="0019410B"/>
    <w:rsid w:val="00197B81"/>
    <w:rsid w:val="001A2850"/>
    <w:rsid w:val="001A4326"/>
    <w:rsid w:val="001A4C42"/>
    <w:rsid w:val="001A59BE"/>
    <w:rsid w:val="001B0409"/>
    <w:rsid w:val="001B6DD7"/>
    <w:rsid w:val="001B6E2B"/>
    <w:rsid w:val="001C21C3"/>
    <w:rsid w:val="001D02C2"/>
    <w:rsid w:val="001D3AF3"/>
    <w:rsid w:val="001E3FAD"/>
    <w:rsid w:val="001E69EE"/>
    <w:rsid w:val="001F0590"/>
    <w:rsid w:val="001F0C1D"/>
    <w:rsid w:val="001F1132"/>
    <w:rsid w:val="001F168B"/>
    <w:rsid w:val="002007B5"/>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591"/>
    <w:rsid w:val="00256F8A"/>
    <w:rsid w:val="00257FDE"/>
    <w:rsid w:val="00263544"/>
    <w:rsid w:val="0026501B"/>
    <w:rsid w:val="002675F0"/>
    <w:rsid w:val="00276EE4"/>
    <w:rsid w:val="002772D3"/>
    <w:rsid w:val="00277FB3"/>
    <w:rsid w:val="0028623A"/>
    <w:rsid w:val="00287B51"/>
    <w:rsid w:val="00290222"/>
    <w:rsid w:val="00290B9F"/>
    <w:rsid w:val="00294314"/>
    <w:rsid w:val="00295C21"/>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06DD"/>
    <w:rsid w:val="003B5DF7"/>
    <w:rsid w:val="003B6758"/>
    <w:rsid w:val="003B6D40"/>
    <w:rsid w:val="003C3971"/>
    <w:rsid w:val="003C564B"/>
    <w:rsid w:val="003C6949"/>
    <w:rsid w:val="003D1FE2"/>
    <w:rsid w:val="003D56E6"/>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B04"/>
    <w:rsid w:val="00452F63"/>
    <w:rsid w:val="00455227"/>
    <w:rsid w:val="0045626A"/>
    <w:rsid w:val="00460CF7"/>
    <w:rsid w:val="00461758"/>
    <w:rsid w:val="0046281F"/>
    <w:rsid w:val="00462D23"/>
    <w:rsid w:val="00465CB5"/>
    <w:rsid w:val="00471C30"/>
    <w:rsid w:val="00471E5F"/>
    <w:rsid w:val="00473414"/>
    <w:rsid w:val="0047379C"/>
    <w:rsid w:val="00476CE3"/>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6C4"/>
    <w:rsid w:val="005914AB"/>
    <w:rsid w:val="005967AC"/>
    <w:rsid w:val="005973BE"/>
    <w:rsid w:val="00597B0C"/>
    <w:rsid w:val="005A0AB6"/>
    <w:rsid w:val="005A5986"/>
    <w:rsid w:val="005B0515"/>
    <w:rsid w:val="005B3E48"/>
    <w:rsid w:val="005B488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0E38"/>
    <w:rsid w:val="00702CE9"/>
    <w:rsid w:val="0070316F"/>
    <w:rsid w:val="00703AB4"/>
    <w:rsid w:val="00705B89"/>
    <w:rsid w:val="00705DDB"/>
    <w:rsid w:val="00707124"/>
    <w:rsid w:val="00713C44"/>
    <w:rsid w:val="00720DA8"/>
    <w:rsid w:val="00730341"/>
    <w:rsid w:val="00731D2A"/>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C5F22"/>
    <w:rsid w:val="007D440F"/>
    <w:rsid w:val="007D4611"/>
    <w:rsid w:val="007D4791"/>
    <w:rsid w:val="007D62C7"/>
    <w:rsid w:val="007E5DDC"/>
    <w:rsid w:val="007F0F4A"/>
    <w:rsid w:val="00800A08"/>
    <w:rsid w:val="00802649"/>
    <w:rsid w:val="008028A4"/>
    <w:rsid w:val="00803196"/>
    <w:rsid w:val="00806114"/>
    <w:rsid w:val="00806C56"/>
    <w:rsid w:val="0081122F"/>
    <w:rsid w:val="00813071"/>
    <w:rsid w:val="0081484C"/>
    <w:rsid w:val="00820B25"/>
    <w:rsid w:val="0082147A"/>
    <w:rsid w:val="00821E31"/>
    <w:rsid w:val="00830747"/>
    <w:rsid w:val="00832F33"/>
    <w:rsid w:val="0083538A"/>
    <w:rsid w:val="00835F9B"/>
    <w:rsid w:val="00846F18"/>
    <w:rsid w:val="00852524"/>
    <w:rsid w:val="00855819"/>
    <w:rsid w:val="00857745"/>
    <w:rsid w:val="00865AD4"/>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29E"/>
    <w:rsid w:val="009114D7"/>
    <w:rsid w:val="0091348E"/>
    <w:rsid w:val="00913853"/>
    <w:rsid w:val="00917CCB"/>
    <w:rsid w:val="009205BE"/>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1AD7"/>
    <w:rsid w:val="009D50B7"/>
    <w:rsid w:val="009D798C"/>
    <w:rsid w:val="009E6B92"/>
    <w:rsid w:val="009E777F"/>
    <w:rsid w:val="009F37B7"/>
    <w:rsid w:val="009F5E43"/>
    <w:rsid w:val="009F6881"/>
    <w:rsid w:val="009F6F20"/>
    <w:rsid w:val="00A037C9"/>
    <w:rsid w:val="00A05C7E"/>
    <w:rsid w:val="00A07111"/>
    <w:rsid w:val="00A10F02"/>
    <w:rsid w:val="00A110C7"/>
    <w:rsid w:val="00A13BC0"/>
    <w:rsid w:val="00A15EFF"/>
    <w:rsid w:val="00A164B4"/>
    <w:rsid w:val="00A2395C"/>
    <w:rsid w:val="00A2397C"/>
    <w:rsid w:val="00A2426E"/>
    <w:rsid w:val="00A264BB"/>
    <w:rsid w:val="00A26956"/>
    <w:rsid w:val="00A3449C"/>
    <w:rsid w:val="00A36240"/>
    <w:rsid w:val="00A4031D"/>
    <w:rsid w:val="00A40D46"/>
    <w:rsid w:val="00A41046"/>
    <w:rsid w:val="00A423F4"/>
    <w:rsid w:val="00A46B82"/>
    <w:rsid w:val="00A53724"/>
    <w:rsid w:val="00A558BE"/>
    <w:rsid w:val="00A66060"/>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979"/>
    <w:rsid w:val="00B35B32"/>
    <w:rsid w:val="00B35DBA"/>
    <w:rsid w:val="00B35F32"/>
    <w:rsid w:val="00B4192D"/>
    <w:rsid w:val="00B52455"/>
    <w:rsid w:val="00B615CD"/>
    <w:rsid w:val="00B64F8E"/>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2E04"/>
    <w:rsid w:val="00BF4580"/>
    <w:rsid w:val="00C00D87"/>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640A"/>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1FFF"/>
    <w:rsid w:val="00D926E9"/>
    <w:rsid w:val="00D92C48"/>
    <w:rsid w:val="00D95997"/>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0D2B"/>
    <w:rsid w:val="00E44582"/>
    <w:rsid w:val="00E44EF0"/>
    <w:rsid w:val="00E50039"/>
    <w:rsid w:val="00E52814"/>
    <w:rsid w:val="00E56E0F"/>
    <w:rsid w:val="00E649A9"/>
    <w:rsid w:val="00E6516F"/>
    <w:rsid w:val="00E65E13"/>
    <w:rsid w:val="00E72324"/>
    <w:rsid w:val="00E72ABE"/>
    <w:rsid w:val="00E74D99"/>
    <w:rsid w:val="00E75D3C"/>
    <w:rsid w:val="00E77645"/>
    <w:rsid w:val="00E777FD"/>
    <w:rsid w:val="00E8127C"/>
    <w:rsid w:val="00E81A67"/>
    <w:rsid w:val="00E96A8E"/>
    <w:rsid w:val="00EA0668"/>
    <w:rsid w:val="00EA11F2"/>
    <w:rsid w:val="00EA1665"/>
    <w:rsid w:val="00EA3416"/>
    <w:rsid w:val="00EA6F9B"/>
    <w:rsid w:val="00EB2987"/>
    <w:rsid w:val="00EB309C"/>
    <w:rsid w:val="00EB369C"/>
    <w:rsid w:val="00EC4A25"/>
    <w:rsid w:val="00EC55C0"/>
    <w:rsid w:val="00ED6A47"/>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3461F"/>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1192"/>
    <w:rsid w:val="00FC497C"/>
    <w:rsid w:val="00FC79E6"/>
    <w:rsid w:val="00FD2958"/>
    <w:rsid w:val="00FD3C60"/>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101571">
      <w:bodyDiv w:val="1"/>
      <w:marLeft w:val="0"/>
      <w:marRight w:val="0"/>
      <w:marTop w:val="0"/>
      <w:marBottom w:val="0"/>
      <w:divBdr>
        <w:top w:val="none" w:sz="0" w:space="0" w:color="auto"/>
        <w:left w:val="none" w:sz="0" w:space="0" w:color="auto"/>
        <w:bottom w:val="none" w:sz="0" w:space="0" w:color="auto"/>
        <w:right w:val="none" w:sz="0" w:space="0" w:color="auto"/>
      </w:divBdr>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216</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46</cp:revision>
  <cp:lastPrinted>2019-02-25T14:05:00Z</cp:lastPrinted>
  <dcterms:created xsi:type="dcterms:W3CDTF">2024-03-26T14:45:00Z</dcterms:created>
  <dcterms:modified xsi:type="dcterms:W3CDTF">2024-04-04T19:13:00Z</dcterms:modified>
  <cp:category/>
</cp:coreProperties>
</file>