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38AA2C61"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F92893">
        <w:rPr>
          <w:rFonts w:ascii="Arial" w:eastAsia="MS Mincho" w:hAnsi="Arial"/>
          <w:b/>
          <w:sz w:val="24"/>
          <w:szCs w:val="24"/>
          <w:lang w:eastAsia="x-none"/>
        </w:rPr>
        <w:t>5</w:t>
      </w:r>
      <w:r w:rsidR="00570984">
        <w:rPr>
          <w:rFonts w:ascii="Arial" w:eastAsia="MS Mincho" w:hAnsi="Arial"/>
          <w:b/>
          <w:sz w:val="24"/>
          <w:szCs w:val="24"/>
          <w:lang w:eastAsia="x-none"/>
        </w:rPr>
        <w:t>bis</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C07AFA">
        <w:rPr>
          <w:rFonts w:ascii="Arial" w:eastAsia="MS Mincho" w:hAnsi="Arial"/>
          <w:b/>
          <w:sz w:val="24"/>
          <w:szCs w:val="24"/>
          <w:lang w:eastAsia="x-none"/>
        </w:rPr>
        <w:t>02786</w:t>
      </w:r>
    </w:p>
    <w:p w14:paraId="7791F180" w14:textId="6ACF6AF1" w:rsidR="00A32E79" w:rsidRPr="00A32E79" w:rsidRDefault="00570984"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Changsha, China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15</w:t>
      </w:r>
      <w:r w:rsidR="00F84150">
        <w:rPr>
          <w:rFonts w:ascii="Arial" w:eastAsia="MS Mincho" w:hAnsi="Arial"/>
          <w:b/>
          <w:sz w:val="24"/>
          <w:szCs w:val="24"/>
          <w:lang w:eastAsia="x-none"/>
        </w:rPr>
        <w:t>-</w:t>
      </w:r>
      <w:r w:rsidR="00472F31">
        <w:rPr>
          <w:rFonts w:ascii="Arial" w:eastAsia="MS Mincho" w:hAnsi="Arial"/>
          <w:b/>
          <w:sz w:val="24"/>
          <w:szCs w:val="24"/>
          <w:lang w:eastAsia="x-none"/>
        </w:rPr>
        <w:t>1</w:t>
      </w:r>
      <w:r>
        <w:rPr>
          <w:rFonts w:ascii="Arial" w:eastAsia="MS Mincho" w:hAnsi="Arial"/>
          <w:b/>
          <w:sz w:val="24"/>
          <w:szCs w:val="24"/>
          <w:lang w:eastAsia="x-none"/>
        </w:rPr>
        <w:t>9</w:t>
      </w:r>
      <w:r w:rsidR="00F92893">
        <w:rPr>
          <w:rFonts w:ascii="Arial" w:eastAsia="MS Mincho" w:hAnsi="Arial"/>
          <w:b/>
          <w:sz w:val="24"/>
          <w:szCs w:val="24"/>
          <w:lang w:eastAsia="x-none"/>
        </w:rPr>
        <w:t xml:space="preserve"> </w:t>
      </w:r>
      <w:r>
        <w:rPr>
          <w:rFonts w:ascii="Arial" w:eastAsia="MS Mincho" w:hAnsi="Arial"/>
          <w:b/>
          <w:sz w:val="24"/>
          <w:szCs w:val="24"/>
          <w:lang w:eastAsia="x-none"/>
        </w:rPr>
        <w:t>April</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01815CBD"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331CA">
        <w:rPr>
          <w:rFonts w:ascii="Arial" w:eastAsia="PMingLiU" w:hAnsi="Arial" w:cs="Arial"/>
          <w:b/>
          <w:sz w:val="24"/>
          <w:szCs w:val="24"/>
          <w:lang w:eastAsia="zh-CN"/>
        </w:rPr>
        <w:t>8.2.2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C6E916B"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954B71">
        <w:rPr>
          <w:rFonts w:ascii="Arial" w:eastAsia="PMingLiU" w:hAnsi="Arial" w:cs="Arial"/>
          <w:b/>
          <w:sz w:val="24"/>
          <w:szCs w:val="24"/>
          <w:lang w:eastAsia="zh-CN"/>
        </w:rPr>
        <w:t>Principles for RAN2 work on ambient IoT</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228016F8" w:rsidR="00A65666" w:rsidRDefault="00E64EBF"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Ambient IoT can be expected to be the simplest, most cost-sensitive, most overhead-sensitive, and most power-consumption-sensitive of 3GPP RATs</w:t>
      </w:r>
      <w:r w:rsidR="0089612D">
        <w:rPr>
          <w:rFonts w:ascii="Calibri" w:eastAsia="PMingLiU" w:hAnsi="Calibri"/>
          <w:sz w:val="22"/>
          <w:szCs w:val="22"/>
          <w:lang w:eastAsia="zh-TW"/>
        </w:rPr>
        <w:t>.</w:t>
      </w:r>
      <w:r>
        <w:rPr>
          <w:rFonts w:ascii="Calibri" w:eastAsia="PMingLiU" w:hAnsi="Calibri"/>
          <w:sz w:val="22"/>
          <w:szCs w:val="22"/>
          <w:lang w:eastAsia="zh-TW"/>
        </w:rPr>
        <w:t xml:space="preserve">  These characteristics mean that the ambient IoT design must prioritize simplicity and efficiency, at the expense of other considerations like maintaining typical 3GPP design patterns or instantiating complex behaviours to optimize for specific cases.</w:t>
      </w:r>
    </w:p>
    <w:p w14:paraId="7558B0A3" w14:textId="1A4E8C28" w:rsidR="00E64EBF" w:rsidRPr="00A65666" w:rsidRDefault="00E64EBF"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contribution works from these assumptions to establish some initial principles for the design of an ambient IoT RAT within RAN2 scope.</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354890AC" w:rsidR="008D2107" w:rsidRDefault="008D2107" w:rsidP="00C7353B">
      <w:pPr>
        <w:pStyle w:val="Heading2"/>
        <w:rPr>
          <w:rFonts w:eastAsia="PMingLiU"/>
          <w:lang w:eastAsia="zh-TW"/>
        </w:rPr>
      </w:pPr>
      <w:r>
        <w:rPr>
          <w:rFonts w:eastAsia="PMingLiU"/>
          <w:lang w:eastAsia="zh-TW"/>
        </w:rPr>
        <w:t>2.1</w:t>
      </w:r>
      <w:r>
        <w:rPr>
          <w:rFonts w:eastAsia="PMingLiU"/>
          <w:lang w:eastAsia="zh-TW"/>
        </w:rPr>
        <w:tab/>
      </w:r>
      <w:r w:rsidR="00190428">
        <w:rPr>
          <w:rFonts w:eastAsia="PMingLiU"/>
          <w:lang w:eastAsia="zh-TW"/>
        </w:rPr>
        <w:t>Architectural assumptions</w:t>
      </w:r>
    </w:p>
    <w:p w14:paraId="63609586" w14:textId="39561D8C" w:rsidR="008D2107" w:rsidRDefault="00764DC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overall architecture of ambient IoT can be visualized as shown in figure 1</w:t>
      </w:r>
      <w:r w:rsidR="00190428">
        <w:rPr>
          <w:rFonts w:ascii="Calibri" w:eastAsia="PMingLiU" w:hAnsi="Calibri"/>
          <w:sz w:val="22"/>
          <w:szCs w:val="22"/>
          <w:lang w:eastAsia="zh-TW"/>
        </w:rPr>
        <w:t>.</w:t>
      </w:r>
      <w:r>
        <w:rPr>
          <w:rFonts w:ascii="Calibri" w:eastAsia="PMingLiU" w:hAnsi="Calibri"/>
          <w:sz w:val="22"/>
          <w:szCs w:val="22"/>
          <w:lang w:eastAsia="zh-TW"/>
        </w:rPr>
        <w:t xml:space="preserve">  The portion in RAN2 remit </w:t>
      </w:r>
      <w:r w:rsidR="00E64EBF">
        <w:rPr>
          <w:rFonts w:ascii="Calibri" w:eastAsia="PMingLiU" w:hAnsi="Calibri"/>
          <w:sz w:val="22"/>
          <w:szCs w:val="22"/>
          <w:lang w:eastAsia="zh-TW"/>
        </w:rPr>
        <w:t>consists of</w:t>
      </w:r>
      <w:r>
        <w:rPr>
          <w:rFonts w:ascii="Calibri" w:eastAsia="PMingLiU" w:hAnsi="Calibri"/>
          <w:sz w:val="22"/>
          <w:szCs w:val="22"/>
          <w:lang w:eastAsia="zh-TW"/>
        </w:rPr>
        <w:t xml:space="preserve"> the reader/device interface (labelled </w:t>
      </w:r>
      <w:r w:rsidR="00071B4C">
        <w:rPr>
          <w:rFonts w:ascii="Calibri" w:eastAsia="PMingLiU" w:hAnsi="Calibri"/>
          <w:sz w:val="22"/>
          <w:szCs w:val="22"/>
          <w:lang w:eastAsia="zh-TW"/>
        </w:rPr>
        <w:t>“</w:t>
      </w:r>
      <w:r>
        <w:rPr>
          <w:rFonts w:ascii="Calibri" w:eastAsia="PMingLiU" w:hAnsi="Calibri"/>
          <w:sz w:val="22"/>
          <w:szCs w:val="22"/>
          <w:lang w:eastAsia="zh-TW"/>
        </w:rPr>
        <w:t>A-IoT</w:t>
      </w:r>
      <w:r w:rsidR="00071B4C">
        <w:rPr>
          <w:rFonts w:ascii="Calibri" w:eastAsia="PMingLiU" w:hAnsi="Calibri"/>
          <w:sz w:val="22"/>
          <w:szCs w:val="22"/>
          <w:lang w:eastAsia="zh-TW"/>
        </w:rPr>
        <w:t>”</w:t>
      </w:r>
      <w:r>
        <w:rPr>
          <w:rFonts w:ascii="Calibri" w:eastAsia="PMingLiU" w:hAnsi="Calibri"/>
          <w:sz w:val="22"/>
          <w:szCs w:val="22"/>
          <w:lang w:eastAsia="zh-TW"/>
        </w:rPr>
        <w:t xml:space="preserve"> in the figure) and the AS behaviour of the reader and device, but the whole architectural picture should be borne in mind.</w:t>
      </w:r>
    </w:p>
    <w:p w14:paraId="4E51672C" w14:textId="77777777" w:rsidR="00764DC8" w:rsidRDefault="00764DC8" w:rsidP="00764DC8">
      <w:pPr>
        <w:keepNext/>
        <w:overflowPunct/>
        <w:autoSpaceDE/>
        <w:autoSpaceDN/>
        <w:adjustRightInd/>
        <w:spacing w:after="240"/>
        <w:jc w:val="center"/>
        <w:textAlignment w:val="auto"/>
      </w:pPr>
      <w:r>
        <w:rPr>
          <w:rFonts w:ascii="Calibri" w:eastAsia="PMingLiU" w:hAnsi="Calibri"/>
          <w:noProof/>
          <w:sz w:val="22"/>
          <w:szCs w:val="22"/>
          <w:lang w:eastAsia="zh-TW"/>
        </w:rPr>
        <w:drawing>
          <wp:inline distT="0" distB="0" distL="0" distR="0" wp14:anchorId="6BF6A976" wp14:editId="515D77D3">
            <wp:extent cx="5635625" cy="2382823"/>
            <wp:effectExtent l="0" t="0" r="3175" b="0"/>
            <wp:docPr id="825523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0941" cy="2389299"/>
                    </a:xfrm>
                    <a:prstGeom prst="rect">
                      <a:avLst/>
                    </a:prstGeom>
                    <a:noFill/>
                  </pic:spPr>
                </pic:pic>
              </a:graphicData>
            </a:graphic>
          </wp:inline>
        </w:drawing>
      </w:r>
    </w:p>
    <w:p w14:paraId="1CF26C5C" w14:textId="25C4E389" w:rsidR="00764DC8" w:rsidRDefault="00764DC8" w:rsidP="00764DC8">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E5E9B">
        <w:rPr>
          <w:noProof/>
        </w:rPr>
        <w:t>1</w:t>
      </w:r>
      <w:r>
        <w:fldChar w:fldCharType="end"/>
      </w:r>
      <w:r>
        <w:t>: AIoT architecture and topologies</w:t>
      </w:r>
    </w:p>
    <w:p w14:paraId="7B8E3B41" w14:textId="2901249A" w:rsidR="00764DC8" w:rsidRPr="00764DC8" w:rsidRDefault="00764DC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functionality of the reader need not depend on whether it is instantiated in a base station (topology 1) or a UE (topology 2).  Since the simplicity of the device is critical, there is a clear benefit to having a </w:t>
      </w:r>
      <w:r>
        <w:rPr>
          <w:rFonts w:ascii="Calibri" w:eastAsia="PMingLiU" w:hAnsi="Calibri"/>
          <w:sz w:val="22"/>
          <w:szCs w:val="22"/>
          <w:lang w:eastAsia="zh-TW"/>
        </w:rPr>
        <w:lastRenderedPageBreak/>
        <w:t>common interface irrespective of what topology the device faces; an AIoT device should not need to detect the reader type at the beginning of an interaction or implement different stacks for different topologies.</w:t>
      </w:r>
    </w:p>
    <w:p w14:paraId="56DB6D11" w14:textId="3B565F2E"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Define a common AIoT interface for topologies 1 and 2.</w:t>
      </w:r>
    </w:p>
    <w:p w14:paraId="310D7722" w14:textId="0E686F89" w:rsidR="00764DC8" w:rsidRDefault="00764DC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Although the SID focusses on licensed spectrum, it seems clearly reasonable for the future evolution to encompass unlicensed spectrum as well.  We therefore suggest that the RAN2 study should bear the unlicensed case also in mind.</w:t>
      </w:r>
    </w:p>
    <w:p w14:paraId="2066D25A" w14:textId="13602E99" w:rsidR="00764DC8" w:rsidRPr="00764DC8" w:rsidRDefault="00764DC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should consider forward compatibility towards AIoT in unlicensed spectrum.</w:t>
      </w:r>
    </w:p>
    <w:p w14:paraId="09CA660F" w14:textId="4323C1F6" w:rsidR="00652586" w:rsidRPr="00C7353B" w:rsidRDefault="00652586" w:rsidP="00C7353B">
      <w:pPr>
        <w:pStyle w:val="Heading2"/>
        <w:rPr>
          <w:rFonts w:eastAsia="PMingLiU"/>
        </w:rPr>
      </w:pPr>
      <w:r w:rsidRPr="00C7353B">
        <w:rPr>
          <w:rFonts w:eastAsia="PMingLiU"/>
        </w:rPr>
        <w:t>2.2</w:t>
      </w:r>
      <w:r w:rsidRPr="00C7353B">
        <w:rPr>
          <w:rFonts w:eastAsia="PMingLiU"/>
        </w:rPr>
        <w:tab/>
        <w:t>Spectrum management</w:t>
      </w:r>
    </w:p>
    <w:p w14:paraId="52CC4915" w14:textId="652E10E1" w:rsidR="00652586" w:rsidRDefault="00652586" w:rsidP="00652586">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With the focus on access to licensed spectrum, we should expect that control will be located at the RAN as usual.  In the simplest case, the spectrum regime may be static or semistatic and just implement some simple management rules, but in more dynamic cases, there may be a need for the gNB to communicate with the reader to coordinate how the spectrum is used.  In topology 1, this communication probably does not need to be standardized, while in topology 2, signalling for this purpose could be specified between the gNB and the UE hosting the reader, probably by extending the RRC protocol (rather than creating a new AIoT-specific protocol on Uu).</w:t>
      </w:r>
    </w:p>
    <w:p w14:paraId="4AB3183A" w14:textId="585FE6FA" w:rsidR="00652586" w:rsidRPr="00652586" w:rsidRDefault="00652586" w:rsidP="00652586">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Signalling for control of the reader’s access to the AIoT spectrum is assumed to be proprietary in topology </w:t>
      </w:r>
      <w:proofErr w:type="gramStart"/>
      <w:r>
        <w:rPr>
          <w:rFonts w:ascii="Calibri" w:eastAsia="PMingLiU" w:hAnsi="Calibri"/>
          <w:sz w:val="22"/>
          <w:szCs w:val="22"/>
          <w:lang w:eastAsia="zh-TW"/>
        </w:rPr>
        <w:t>1, and</w:t>
      </w:r>
      <w:proofErr w:type="gramEnd"/>
      <w:r>
        <w:rPr>
          <w:rFonts w:ascii="Calibri" w:eastAsia="PMingLiU" w:hAnsi="Calibri"/>
          <w:sz w:val="22"/>
          <w:szCs w:val="22"/>
          <w:lang w:eastAsia="zh-TW"/>
        </w:rPr>
        <w:t xml:space="preserve"> defined in RRC between the gNB and the UE hosting the reader for topology 2.</w:t>
      </w:r>
    </w:p>
    <w:p w14:paraId="26F709E3" w14:textId="780BF05D" w:rsidR="00190428" w:rsidRPr="00C7353B" w:rsidRDefault="00190428" w:rsidP="00C7353B">
      <w:pPr>
        <w:pStyle w:val="Heading2"/>
        <w:rPr>
          <w:rFonts w:eastAsia="PMingLiU"/>
        </w:rPr>
      </w:pPr>
      <w:r w:rsidRPr="00C7353B">
        <w:rPr>
          <w:rFonts w:eastAsia="PMingLiU"/>
        </w:rPr>
        <w:t>2.</w:t>
      </w:r>
      <w:r w:rsidR="00652586" w:rsidRPr="00C7353B">
        <w:rPr>
          <w:rFonts w:eastAsia="PMingLiU"/>
        </w:rPr>
        <w:t>3</w:t>
      </w:r>
      <w:r w:rsidRPr="00C7353B">
        <w:rPr>
          <w:rFonts w:eastAsia="PMingLiU"/>
        </w:rPr>
        <w:tab/>
        <w:t>Device identification</w:t>
      </w:r>
    </w:p>
    <w:p w14:paraId="68B3AD0A" w14:textId="3F209068" w:rsidR="006316FB" w:rsidRDefault="006316FB" w:rsidP="008D2107">
      <w:pPr>
        <w:overflowPunct/>
        <w:autoSpaceDE/>
        <w:autoSpaceDN/>
        <w:adjustRightInd/>
        <w:spacing w:after="240"/>
        <w:textAlignment w:val="auto"/>
        <w:rPr>
          <w:rFonts w:ascii="Calibri" w:eastAsia="PMingLiU" w:hAnsi="Calibri"/>
          <w:sz w:val="22"/>
          <w:szCs w:val="22"/>
          <w:lang w:eastAsia="zh-TW"/>
        </w:rPr>
      </w:pPr>
      <w:proofErr w:type="gramStart"/>
      <w:r>
        <w:rPr>
          <w:rFonts w:ascii="Calibri" w:eastAsia="PMingLiU" w:hAnsi="Calibri"/>
          <w:sz w:val="22"/>
          <w:szCs w:val="22"/>
          <w:lang w:eastAsia="zh-TW"/>
        </w:rPr>
        <w:t>It is clear that the</w:t>
      </w:r>
      <w:proofErr w:type="gramEnd"/>
      <w:r>
        <w:rPr>
          <w:rFonts w:ascii="Calibri" w:eastAsia="PMingLiU" w:hAnsi="Calibri"/>
          <w:sz w:val="22"/>
          <w:szCs w:val="22"/>
          <w:lang w:eastAsia="zh-TW"/>
        </w:rPr>
        <w:t xml:space="preserve"> device needs to be identified for various procedures (to be addressed in DT cases, to identify itself for DO-DTT, etc.), and a persistent (permanent?) ID could be expected in upper layers, analogous to an IMSI.  As with UEs on the Uu interface, there are compelling reasons not to use a long permanent ID over the air, so we assume NAS will define a temporary ID </w:t>
      </w:r>
      <w:proofErr w:type="gramStart"/>
      <w:r>
        <w:rPr>
          <w:rFonts w:ascii="Calibri" w:eastAsia="PMingLiU" w:hAnsi="Calibri"/>
          <w:sz w:val="22"/>
          <w:szCs w:val="22"/>
          <w:lang w:eastAsia="zh-TW"/>
        </w:rPr>
        <w:t>similar to</w:t>
      </w:r>
      <w:proofErr w:type="gramEnd"/>
      <w:r>
        <w:rPr>
          <w:rFonts w:ascii="Calibri" w:eastAsia="PMingLiU" w:hAnsi="Calibri"/>
          <w:sz w:val="22"/>
          <w:szCs w:val="22"/>
          <w:lang w:eastAsia="zh-TW"/>
        </w:rPr>
        <w:t xml:space="preserve"> the S-TMSI (e.g., unique within the scope of a particular controller).  Even this temporary ID is likely to be inconveniently long for routine radio use, and it may be persistent enough to allow tracking attacks, so it is natural for the radio layers to define an RNTI-type ID used between the reader and the device.  (We use the term “S-RNTI” in this paper, but the term “RNTI” may not be apt since the reader is not actually a “radio network”.)</w:t>
      </w:r>
    </w:p>
    <w:p w14:paraId="06770644" w14:textId="179A5E26"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652586">
        <w:rPr>
          <w:rFonts w:ascii="Calibri" w:eastAsia="PMingLiU" w:hAnsi="Calibri"/>
          <w:b/>
          <w:bCs/>
          <w:sz w:val="22"/>
          <w:szCs w:val="22"/>
          <w:lang w:eastAsia="zh-TW"/>
        </w:rPr>
        <w:t>4</w:t>
      </w:r>
      <w:r>
        <w:rPr>
          <w:rFonts w:ascii="Calibri" w:eastAsia="PMingLiU" w:hAnsi="Calibri"/>
          <w:b/>
          <w:bCs/>
          <w:sz w:val="22"/>
          <w:szCs w:val="22"/>
          <w:lang w:eastAsia="zh-TW"/>
        </w:rPr>
        <w:t>:</w:t>
      </w:r>
      <w:r>
        <w:rPr>
          <w:rFonts w:ascii="Calibri" w:eastAsia="PMingLiU" w:hAnsi="Calibri"/>
          <w:sz w:val="22"/>
          <w:szCs w:val="22"/>
          <w:lang w:eastAsia="zh-TW"/>
        </w:rPr>
        <w:t xml:space="preserve"> Define a short S-RNTI (bit length FFS) for use on the AIoT interface.</w:t>
      </w:r>
    </w:p>
    <w:p w14:paraId="361F1C18" w14:textId="44B40A05" w:rsidR="006316FB" w:rsidRDefault="006316F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Analogously to RNTIs on Uu, the S-RNTI can be considered as scoped between the reader and the device, and in a protocol sense it should be assigned by the reader—i.e., the reader sends some message to the device containing the S-RNTI assignment.  However, there may be cases where it is useful to maintain a common S-RNTI across different readers, such as a warehouse with </w:t>
      </w:r>
      <w:proofErr w:type="gramStart"/>
      <w:r>
        <w:rPr>
          <w:rFonts w:ascii="Calibri" w:eastAsia="PMingLiU" w:hAnsi="Calibri"/>
          <w:sz w:val="22"/>
          <w:szCs w:val="22"/>
          <w:lang w:eastAsia="zh-TW"/>
        </w:rPr>
        <w:t>a large number of</w:t>
      </w:r>
      <w:proofErr w:type="gramEnd"/>
      <w:r>
        <w:rPr>
          <w:rFonts w:ascii="Calibri" w:eastAsia="PMingLiU" w:hAnsi="Calibri"/>
          <w:sz w:val="22"/>
          <w:szCs w:val="22"/>
          <w:lang w:eastAsia="zh-TW"/>
        </w:rPr>
        <w:t xml:space="preserve"> devices and multiple readers, where the controller may want to know when the same device is encountered by different readers.  We therefore do not preclude coordination of S-RNTIs between the controller and multiple readers, so that a device may receive an S-RNTI from reader A and later use it with reader B.  Such coordination should have no direct RAN2 impact.  However, a device should know/discover when it can use an existing S-RNTI with a newly encountered reader, so it is a reasonable assumption that the reader and device know or can determine (easily) the validity of an S-RNTI.</w:t>
      </w:r>
    </w:p>
    <w:p w14:paraId="62858E1E" w14:textId="4F8601FF"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652586">
        <w:rPr>
          <w:rFonts w:ascii="Calibri" w:eastAsia="PMingLiU" w:hAnsi="Calibri"/>
          <w:b/>
          <w:bCs/>
          <w:sz w:val="22"/>
          <w:szCs w:val="22"/>
          <w:lang w:eastAsia="zh-TW"/>
        </w:rPr>
        <w:t>5</w:t>
      </w:r>
      <w:r>
        <w:rPr>
          <w:rFonts w:ascii="Calibri" w:eastAsia="PMingLiU" w:hAnsi="Calibri"/>
          <w:b/>
          <w:bCs/>
          <w:sz w:val="22"/>
          <w:szCs w:val="22"/>
          <w:lang w:eastAsia="zh-TW"/>
        </w:rPr>
        <w:t>:</w:t>
      </w:r>
      <w:r>
        <w:rPr>
          <w:rFonts w:ascii="Calibri" w:eastAsia="PMingLiU" w:hAnsi="Calibri"/>
          <w:sz w:val="22"/>
          <w:szCs w:val="22"/>
          <w:lang w:eastAsia="zh-TW"/>
        </w:rPr>
        <w:t xml:space="preserve"> The S-RNTI is scoped to the reader.  There is no RAN2 impact for coordinating S-RNTIs across different readers, but the reader and device are assumed to </w:t>
      </w:r>
      <w:r w:rsidR="006316FB">
        <w:rPr>
          <w:rFonts w:ascii="Calibri" w:eastAsia="PMingLiU" w:hAnsi="Calibri"/>
          <w:sz w:val="22"/>
          <w:szCs w:val="22"/>
          <w:lang w:eastAsia="zh-TW"/>
        </w:rPr>
        <w:t>be able to determine</w:t>
      </w:r>
      <w:r>
        <w:rPr>
          <w:rFonts w:ascii="Calibri" w:eastAsia="PMingLiU" w:hAnsi="Calibri"/>
          <w:sz w:val="22"/>
          <w:szCs w:val="22"/>
          <w:lang w:eastAsia="zh-TW"/>
        </w:rPr>
        <w:t xml:space="preserve"> whether an S-RNTI is valid in the reader’s scope.</w:t>
      </w:r>
    </w:p>
    <w:p w14:paraId="21F72BA9" w14:textId="325F4ABF" w:rsidR="00FF189B" w:rsidRDefault="00FF189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overall picture is as shown in figure 2.</w:t>
      </w:r>
    </w:p>
    <w:p w14:paraId="1C8FBF61" w14:textId="77777777" w:rsidR="00FF189B" w:rsidRDefault="00FF189B" w:rsidP="00FF189B">
      <w:pPr>
        <w:keepNext/>
        <w:overflowPunct/>
        <w:autoSpaceDE/>
        <w:autoSpaceDN/>
        <w:adjustRightInd/>
        <w:spacing w:after="240"/>
        <w:jc w:val="center"/>
        <w:textAlignment w:val="auto"/>
      </w:pPr>
      <w:r>
        <w:object w:dxaOrig="9391" w:dyaOrig="2911" w14:anchorId="36857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28.25pt" o:ole="">
            <v:imagedata r:id="rId9" o:title=""/>
          </v:shape>
          <o:OLEObject Type="Embed" ProgID="Visio.Drawing.15" ShapeID="_x0000_i1025" DrawAspect="Content" ObjectID="_1773762837" r:id="rId10"/>
        </w:object>
      </w:r>
    </w:p>
    <w:p w14:paraId="3B2B4D4A" w14:textId="76F24585" w:rsidR="00FF189B" w:rsidRPr="00AF4E02" w:rsidRDefault="00FF189B" w:rsidP="00FF189B">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4E5E9B">
        <w:rPr>
          <w:noProof/>
        </w:rPr>
        <w:t>2</w:t>
      </w:r>
      <w:r>
        <w:fldChar w:fldCharType="end"/>
      </w:r>
      <w:r>
        <w:t>: Device identity scopes</w:t>
      </w:r>
    </w:p>
    <w:p w14:paraId="413635D8" w14:textId="140AE9D6" w:rsidR="00190428" w:rsidRDefault="00190428" w:rsidP="00C7353B">
      <w:pPr>
        <w:pStyle w:val="Heading2"/>
        <w:rPr>
          <w:rFonts w:eastAsia="PMingLiU"/>
          <w:lang w:eastAsia="zh-TW"/>
        </w:rPr>
      </w:pPr>
      <w:r>
        <w:rPr>
          <w:rFonts w:eastAsia="PMingLiU"/>
          <w:lang w:eastAsia="zh-TW"/>
        </w:rPr>
        <w:t>2.</w:t>
      </w:r>
      <w:r w:rsidR="00652586">
        <w:rPr>
          <w:rFonts w:eastAsia="PMingLiU"/>
          <w:lang w:eastAsia="zh-TW"/>
        </w:rPr>
        <w:t>4</w:t>
      </w:r>
      <w:r>
        <w:rPr>
          <w:rFonts w:eastAsia="PMingLiU"/>
          <w:lang w:eastAsia="zh-TW"/>
        </w:rPr>
        <w:tab/>
        <w:t>Data transfer model</w:t>
      </w:r>
    </w:p>
    <w:p w14:paraId="3E97854E" w14:textId="39CBA6DF" w:rsidR="00190428" w:rsidRDefault="00DE37E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model of data transfer for AIoT should be as simple as possible</w:t>
      </w:r>
      <w:r w:rsidR="00190428">
        <w:rPr>
          <w:rFonts w:ascii="Calibri" w:eastAsia="PMingLiU" w:hAnsi="Calibri"/>
          <w:sz w:val="22"/>
          <w:szCs w:val="22"/>
          <w:lang w:eastAsia="zh-TW"/>
        </w:rPr>
        <w:t>.</w:t>
      </w:r>
      <w:r>
        <w:rPr>
          <w:rFonts w:ascii="Calibri" w:eastAsia="PMingLiU" w:hAnsi="Calibri"/>
          <w:sz w:val="22"/>
          <w:szCs w:val="22"/>
          <w:lang w:eastAsia="zh-TW"/>
        </w:rPr>
        <w:t xml:space="preserve">  The operations that need to be invoked by the reader are just the triggering of delivery of data from the device (DO-DTT) and the delivery of data to the device (DT), which can be sensibly modelled as read and write operations respectively, treating the device as a form of remote storage.</w:t>
      </w:r>
      <w:r w:rsidR="00652586">
        <w:rPr>
          <w:rFonts w:ascii="Calibri" w:eastAsia="PMingLiU" w:hAnsi="Calibri"/>
          <w:sz w:val="22"/>
          <w:szCs w:val="22"/>
          <w:lang w:eastAsia="zh-TW"/>
        </w:rPr>
        <w:t xml:space="preserve">  (This interface could be considered as a kind of “UP over CP”, i.e., the application data are encapsulated in the read/write messages.  We consider this to be a benefit in terms of simplicity of the model and the implementation</w:t>
      </w:r>
      <w:r w:rsidR="00071B4C">
        <w:rPr>
          <w:rFonts w:ascii="Calibri" w:eastAsia="PMingLiU" w:hAnsi="Calibri"/>
          <w:sz w:val="22"/>
          <w:szCs w:val="22"/>
          <w:lang w:eastAsia="zh-TW"/>
        </w:rPr>
        <w:t>, even though it diverges from the usual 3GPP habit of specifying separate UP and CP stacks</w:t>
      </w:r>
      <w:r w:rsidR="00652586">
        <w:rPr>
          <w:rFonts w:ascii="Calibri" w:eastAsia="PMingLiU" w:hAnsi="Calibri"/>
          <w:sz w:val="22"/>
          <w:szCs w:val="22"/>
          <w:lang w:eastAsia="zh-TW"/>
        </w:rPr>
        <w:t>.)</w:t>
      </w:r>
    </w:p>
    <w:p w14:paraId="10193EF3" w14:textId="1259F1CB"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652586">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Define “read” and “write” </w:t>
      </w:r>
      <w:r w:rsidR="002030F2">
        <w:rPr>
          <w:rFonts w:ascii="Calibri" w:eastAsia="PMingLiU" w:hAnsi="Calibri"/>
          <w:sz w:val="22"/>
          <w:szCs w:val="22"/>
          <w:lang w:eastAsia="zh-TW"/>
        </w:rPr>
        <w:t>data transfer</w:t>
      </w:r>
      <w:r>
        <w:rPr>
          <w:rFonts w:ascii="Calibri" w:eastAsia="PMingLiU" w:hAnsi="Calibri"/>
          <w:sz w:val="22"/>
          <w:szCs w:val="22"/>
          <w:lang w:eastAsia="zh-TW"/>
        </w:rPr>
        <w:t xml:space="preserve"> messages for DO-DTT and DT data transfer, respectively.</w:t>
      </w:r>
      <w:r w:rsidR="00071B4C">
        <w:rPr>
          <w:rFonts w:ascii="Calibri" w:eastAsia="PMingLiU" w:hAnsi="Calibri"/>
          <w:sz w:val="22"/>
          <w:szCs w:val="22"/>
          <w:lang w:eastAsia="zh-TW"/>
        </w:rPr>
        <w:t xml:space="preserve">  The structure of the data in these messages is FFS.</w:t>
      </w:r>
    </w:p>
    <w:p w14:paraId="09518F42" w14:textId="5DDF4E2A" w:rsidR="00DE37EE" w:rsidRDefault="00DE37E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both operations, the device should respond.  For the read message, the response is obviously needed to deliver the requested data, and the write message should be met with a confirmation</w:t>
      </w:r>
      <w:r w:rsidR="00071B4C">
        <w:rPr>
          <w:rFonts w:ascii="Calibri" w:eastAsia="PMingLiU" w:hAnsi="Calibri"/>
          <w:sz w:val="22"/>
          <w:szCs w:val="22"/>
          <w:lang w:eastAsia="zh-TW"/>
        </w:rPr>
        <w:t>/acknowledgement</w:t>
      </w:r>
      <w:r>
        <w:rPr>
          <w:rFonts w:ascii="Calibri" w:eastAsia="PMingLiU" w:hAnsi="Calibri"/>
          <w:sz w:val="22"/>
          <w:szCs w:val="22"/>
          <w:lang w:eastAsia="zh-TW"/>
        </w:rPr>
        <w:t xml:space="preserve"> of some kind.  The write confirmation could be an empty message that simply acknowledges the write instruction, or it could contain a result code, so that the reader knows if something went wrong at the device.</w:t>
      </w:r>
    </w:p>
    <w:p w14:paraId="3D1368D0" w14:textId="6BD9F4B2"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652586">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The read message has a response containing the requested data.</w:t>
      </w:r>
    </w:p>
    <w:p w14:paraId="050EE77B" w14:textId="08A637EC" w:rsidR="00071B4C" w:rsidRDefault="00071B4C" w:rsidP="00071B4C">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The write message has a confirmation response.  FFS if it is an empty message or contains a success/failure code.</w:t>
      </w:r>
    </w:p>
    <w:p w14:paraId="17AF0219" w14:textId="0C4C881B" w:rsidR="004E5E9B" w:rsidRDefault="004E5E9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the </w:t>
      </w:r>
      <w:r w:rsidR="00071B4C">
        <w:rPr>
          <w:rFonts w:ascii="Calibri" w:eastAsia="PMingLiU" w:hAnsi="Calibri"/>
          <w:sz w:val="22"/>
          <w:szCs w:val="22"/>
          <w:lang w:eastAsia="zh-TW"/>
        </w:rPr>
        <w:t xml:space="preserve">read </w:t>
      </w:r>
      <w:r>
        <w:rPr>
          <w:rFonts w:ascii="Calibri" w:eastAsia="PMingLiU" w:hAnsi="Calibri"/>
          <w:sz w:val="22"/>
          <w:szCs w:val="22"/>
          <w:lang w:eastAsia="zh-TW"/>
        </w:rPr>
        <w:t>response message probably needs to be acknowledged, so that the device knows the data have been received (e.g., so that it can delete them from its own storage).</w:t>
      </w:r>
    </w:p>
    <w:p w14:paraId="2C8E85C4" w14:textId="27D7092C" w:rsidR="004E5E9B" w:rsidRPr="004E5E9B" w:rsidRDefault="004E5E9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071B4C">
        <w:rPr>
          <w:rFonts w:ascii="Calibri" w:eastAsia="PMingLiU" w:hAnsi="Calibri"/>
          <w:b/>
          <w:bCs/>
          <w:sz w:val="22"/>
          <w:szCs w:val="22"/>
          <w:lang w:eastAsia="zh-TW"/>
        </w:rPr>
        <w:t>9</w:t>
      </w:r>
      <w:r>
        <w:rPr>
          <w:rFonts w:ascii="Calibri" w:eastAsia="PMingLiU" w:hAnsi="Calibri"/>
          <w:b/>
          <w:bCs/>
          <w:sz w:val="22"/>
          <w:szCs w:val="22"/>
          <w:lang w:eastAsia="zh-TW"/>
        </w:rPr>
        <w:t>:</w:t>
      </w:r>
      <w:r>
        <w:rPr>
          <w:rFonts w:ascii="Calibri" w:eastAsia="PMingLiU" w:hAnsi="Calibri"/>
          <w:sz w:val="22"/>
          <w:szCs w:val="22"/>
          <w:lang w:eastAsia="zh-TW"/>
        </w:rPr>
        <w:t xml:space="preserve"> The read response message is followed by an acknowledgement from the reader.</w:t>
      </w:r>
    </w:p>
    <w:p w14:paraId="4EDFD7AD" w14:textId="6368BB90" w:rsidR="004E5E9B" w:rsidRDefault="004E5E9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model of protocol interactions is shown in figure 3.</w:t>
      </w:r>
      <w:r w:rsidR="00071B4C">
        <w:rPr>
          <w:rFonts w:ascii="Calibri" w:eastAsia="PMingLiU" w:hAnsi="Calibri"/>
          <w:sz w:val="22"/>
          <w:szCs w:val="22"/>
          <w:lang w:eastAsia="zh-TW"/>
        </w:rPr>
        <w:t xml:space="preserve">  The labels in the figure suggest an “address/data” model of addressing the device’s information, but alternatives such as a structured model with IEs defined at the device could be considered.  The structure of the data and the extent to which that structure is visible to the AS can be further discussed.</w:t>
      </w:r>
    </w:p>
    <w:p w14:paraId="191A39E3" w14:textId="77777777" w:rsidR="004E5E9B" w:rsidRDefault="004E5E9B" w:rsidP="004E5E9B">
      <w:pPr>
        <w:keepNext/>
        <w:overflowPunct/>
        <w:autoSpaceDE/>
        <w:autoSpaceDN/>
        <w:adjustRightInd/>
        <w:spacing w:after="240"/>
        <w:jc w:val="center"/>
        <w:textAlignment w:val="auto"/>
      </w:pPr>
      <w:r>
        <w:object w:dxaOrig="5810" w:dyaOrig="3830" w14:anchorId="22706A87">
          <v:shape id="_x0000_i1026" type="#_x0000_t75" style="width:290.25pt;height:191.25pt" o:ole="">
            <v:imagedata r:id="rId11" o:title=""/>
          </v:shape>
          <o:OLEObject Type="Embed" ProgID="Visio.Drawing.15" ShapeID="_x0000_i1026" DrawAspect="Content" ObjectID="_1773762838" r:id="rId12"/>
        </w:object>
      </w:r>
    </w:p>
    <w:p w14:paraId="1C23369D" w14:textId="75654220" w:rsidR="004E5E9B" w:rsidRPr="00AF4E02" w:rsidRDefault="004E5E9B" w:rsidP="004E5E9B">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3</w:t>
      </w:r>
      <w:r>
        <w:fldChar w:fldCharType="end"/>
      </w:r>
      <w:r>
        <w:t xml:space="preserve">: Read/write protocol </w:t>
      </w:r>
      <w:proofErr w:type="gramStart"/>
      <w:r>
        <w:t>interactions</w:t>
      </w:r>
      <w:proofErr w:type="gramEnd"/>
    </w:p>
    <w:p w14:paraId="548DF25E" w14:textId="431B21C6" w:rsidR="00190428" w:rsidRDefault="00190428" w:rsidP="00C7353B">
      <w:pPr>
        <w:pStyle w:val="Heading2"/>
        <w:rPr>
          <w:rFonts w:eastAsia="PMingLiU"/>
          <w:lang w:eastAsia="zh-TW"/>
        </w:rPr>
      </w:pPr>
      <w:r>
        <w:rPr>
          <w:rFonts w:eastAsia="PMingLiU"/>
          <w:lang w:eastAsia="zh-TW"/>
        </w:rPr>
        <w:t>2.</w:t>
      </w:r>
      <w:r w:rsidR="00652586">
        <w:rPr>
          <w:rFonts w:eastAsia="PMingLiU"/>
          <w:lang w:eastAsia="zh-TW"/>
        </w:rPr>
        <w:t>5</w:t>
      </w:r>
      <w:r>
        <w:rPr>
          <w:rFonts w:eastAsia="PMingLiU"/>
          <w:lang w:eastAsia="zh-TW"/>
        </w:rPr>
        <w:tab/>
        <w:t>Control and device location</w:t>
      </w:r>
    </w:p>
    <w:p w14:paraId="233AD590" w14:textId="6C2C2D9A" w:rsidR="00DE37EE" w:rsidRDefault="00DE37E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SID excludes mobility as such, but it still seems necessary to acknowledge that a device may physically move and subsequently appear under a different reader from its last contact.  This relocation does not need to have RAN2 impact, but we assume it is useful to have some form of “location update” with upper layers, so that the controller can know which reader(s) should inquire for a particular device.  With this assumption, it is sensible for the reader to address a specific device as well as polling for all devices (or all devices of a certain group/class) in the vicinity.  (For example, a reader on a farm might be asked to take inventory of pigs only, while ignoring other types of AIoT devices.  This operation might include no data transfer beyond “I am here”, i.e., an inquiry/response exchange between the reader and the pigs’ devices.  The response could also be followed by a data transfer in either direction.)</w:t>
      </w:r>
    </w:p>
    <w:p w14:paraId="376A0586" w14:textId="01BF04EC"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652586">
        <w:rPr>
          <w:rFonts w:ascii="Calibri" w:eastAsia="PMingLiU" w:hAnsi="Calibri"/>
          <w:b/>
          <w:bCs/>
          <w:sz w:val="22"/>
          <w:szCs w:val="22"/>
          <w:lang w:eastAsia="zh-TW"/>
        </w:rPr>
        <w:t>10</w:t>
      </w:r>
      <w:r>
        <w:rPr>
          <w:rFonts w:ascii="Calibri" w:eastAsia="PMingLiU" w:hAnsi="Calibri"/>
          <w:b/>
          <w:bCs/>
          <w:sz w:val="22"/>
          <w:szCs w:val="22"/>
          <w:lang w:eastAsia="zh-TW"/>
        </w:rPr>
        <w:t>:</w:t>
      </w:r>
      <w:r>
        <w:rPr>
          <w:rFonts w:ascii="Calibri" w:eastAsia="PMingLiU" w:hAnsi="Calibri"/>
          <w:sz w:val="22"/>
          <w:szCs w:val="22"/>
          <w:lang w:eastAsia="zh-TW"/>
        </w:rPr>
        <w:t xml:space="preserve"> Define an inquiry control message that can address all receiving devices, a class of receiving devices, or a specific device by S-RNTI.  FFS how classes are defined and if there are additional mechanisms like load control.</w:t>
      </w:r>
    </w:p>
    <w:p w14:paraId="708422C2" w14:textId="64C760B1" w:rsidR="00DE37EE" w:rsidRDefault="00DE37EE"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case of a specific device being addressed by its S-RNTI, the response probably needs to contain no meaningful content (perhaps security fields and an ID to associate the response with the inquiry).  If multiple devices are “paged” in this manner, each device should respond with its identity, i.e., an S-RNTI that can be understood by the reader.  Of course, if the device has no valid S-RNTI for this reader, it can only respond with a “no ID” indication; in this case the reader could identify an S-RNTI, roughly like the assignment of a C-RNTI to a UE during the RACH procedure on Uu.</w:t>
      </w:r>
    </w:p>
    <w:p w14:paraId="262D8B67" w14:textId="7F0AB9C5"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E5E9B">
        <w:rPr>
          <w:rFonts w:ascii="Calibri" w:eastAsia="PMingLiU" w:hAnsi="Calibri"/>
          <w:b/>
          <w:bCs/>
          <w:sz w:val="22"/>
          <w:szCs w:val="22"/>
          <w:lang w:eastAsia="zh-TW"/>
        </w:rPr>
        <w:t>1</w:t>
      </w:r>
      <w:r w:rsidR="00652586">
        <w:rPr>
          <w:rFonts w:ascii="Calibri" w:eastAsia="PMingLiU" w:hAnsi="Calibri"/>
          <w:b/>
          <w:bCs/>
          <w:sz w:val="22"/>
          <w:szCs w:val="22"/>
          <w:lang w:eastAsia="zh-TW"/>
        </w:rPr>
        <w:t>1</w:t>
      </w:r>
      <w:r>
        <w:rPr>
          <w:rFonts w:ascii="Calibri" w:eastAsia="PMingLiU" w:hAnsi="Calibri"/>
          <w:b/>
          <w:bCs/>
          <w:sz w:val="22"/>
          <w:szCs w:val="22"/>
          <w:lang w:eastAsia="zh-TW"/>
        </w:rPr>
        <w:t>:</w:t>
      </w:r>
      <w:r>
        <w:rPr>
          <w:rFonts w:ascii="Calibri" w:eastAsia="PMingLiU" w:hAnsi="Calibri"/>
          <w:sz w:val="22"/>
          <w:szCs w:val="22"/>
          <w:lang w:eastAsia="zh-TW"/>
        </w:rPr>
        <w:t xml:space="preserve"> The inquiry message has a response that may contain the responding device’s S-RNTI or an indication if it does not have an S-RNTI valid for this reader.</w:t>
      </w:r>
    </w:p>
    <w:p w14:paraId="17FA351A" w14:textId="7B43BEC2" w:rsidR="00AF4E02" w:rsidRDefault="00AF4E0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 xml:space="preserve">Proposal </w:t>
      </w:r>
      <w:r w:rsidR="004E5E9B">
        <w:rPr>
          <w:rFonts w:ascii="Calibri" w:eastAsia="PMingLiU" w:hAnsi="Calibri"/>
          <w:b/>
          <w:bCs/>
          <w:sz w:val="22"/>
          <w:szCs w:val="22"/>
          <w:lang w:eastAsia="zh-TW"/>
        </w:rPr>
        <w:t>1</w:t>
      </w:r>
      <w:r w:rsidR="00652586">
        <w:rPr>
          <w:rFonts w:ascii="Calibri" w:eastAsia="PMingLiU" w:hAnsi="Calibri"/>
          <w:b/>
          <w:bCs/>
          <w:sz w:val="22"/>
          <w:szCs w:val="22"/>
          <w:lang w:eastAsia="zh-TW"/>
        </w:rPr>
        <w:t>2</w:t>
      </w:r>
      <w:r>
        <w:rPr>
          <w:rFonts w:ascii="Calibri" w:eastAsia="PMingLiU" w:hAnsi="Calibri"/>
          <w:b/>
          <w:bCs/>
          <w:sz w:val="22"/>
          <w:szCs w:val="22"/>
          <w:lang w:eastAsia="zh-TW"/>
        </w:rPr>
        <w:t>:</w:t>
      </w:r>
      <w:r>
        <w:rPr>
          <w:rFonts w:ascii="Calibri" w:eastAsia="PMingLiU" w:hAnsi="Calibri"/>
          <w:sz w:val="22"/>
          <w:szCs w:val="22"/>
          <w:lang w:eastAsia="zh-TW"/>
        </w:rPr>
        <w:t xml:space="preserve"> If the response message indicates that the device has no valid S-RNTI for this reader, the reader can start an assignment procedure to allocate an S-RNTI.</w:t>
      </w:r>
    </w:p>
    <w:p w14:paraId="5AB98BC5" w14:textId="418C3CF7" w:rsidR="004E5E9B" w:rsidRDefault="004E5E9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resulting inquiry procedure is shown in figure 4.</w:t>
      </w:r>
    </w:p>
    <w:p w14:paraId="12FA6DC3" w14:textId="77777777" w:rsidR="004E5E9B" w:rsidRDefault="004E5E9B" w:rsidP="004E5E9B">
      <w:pPr>
        <w:keepNext/>
        <w:overflowPunct/>
        <w:autoSpaceDE/>
        <w:autoSpaceDN/>
        <w:adjustRightInd/>
        <w:spacing w:after="240"/>
        <w:jc w:val="center"/>
        <w:textAlignment w:val="auto"/>
      </w:pPr>
      <w:r>
        <w:object w:dxaOrig="5810" w:dyaOrig="5090" w14:anchorId="59EA20B1">
          <v:shape id="_x0000_i1027" type="#_x0000_t75" style="width:290.25pt;height:254.25pt" o:ole="">
            <v:imagedata r:id="rId13" o:title=""/>
          </v:shape>
          <o:OLEObject Type="Embed" ProgID="Visio.Drawing.15" ShapeID="_x0000_i1027" DrawAspect="Content" ObjectID="_1773762839" r:id="rId14"/>
        </w:object>
      </w:r>
    </w:p>
    <w:p w14:paraId="278BEB2B" w14:textId="349D3619" w:rsidR="004E5E9B" w:rsidRPr="00AF4E02" w:rsidRDefault="004E5E9B" w:rsidP="004E5E9B">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4</w:t>
      </w:r>
      <w:r>
        <w:fldChar w:fldCharType="end"/>
      </w:r>
      <w:r>
        <w:t>: Inquiry and response, various cases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46250205" w14:textId="6D23105A" w:rsidR="00415728" w:rsidRDefault="003A10C0"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bookmarkEnd w:id="2"/>
    <w:bookmarkEnd w:id="3"/>
    <w:bookmarkEnd w:id="4"/>
    <w:bookmarkEnd w:id="5"/>
    <w:bookmarkEnd w:id="6"/>
    <w:bookmarkEnd w:id="7"/>
    <w:p w14:paraId="022DBEEC"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Define a common AIoT interface for topologies 1 and 2.</w:t>
      </w:r>
    </w:p>
    <w:p w14:paraId="30022021"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RAN2 should consider forward compatibility towards AIoT in unlicensed spectrum.</w:t>
      </w:r>
    </w:p>
    <w:p w14:paraId="5C9754E6"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Signalling for control of the reader’s access to the AIoT spectrum is assumed to be proprietary in topology </w:t>
      </w:r>
      <w:proofErr w:type="gramStart"/>
      <w:r>
        <w:rPr>
          <w:rFonts w:ascii="Calibri" w:eastAsia="PMingLiU" w:hAnsi="Calibri"/>
          <w:sz w:val="22"/>
          <w:szCs w:val="22"/>
          <w:lang w:eastAsia="zh-TW"/>
        </w:rPr>
        <w:t>1, and</w:t>
      </w:r>
      <w:proofErr w:type="gramEnd"/>
      <w:r>
        <w:rPr>
          <w:rFonts w:ascii="Calibri" w:eastAsia="PMingLiU" w:hAnsi="Calibri"/>
          <w:sz w:val="22"/>
          <w:szCs w:val="22"/>
          <w:lang w:eastAsia="zh-TW"/>
        </w:rPr>
        <w:t xml:space="preserve"> defined in RRC between the gNB and the UE hosting the reader for topology 2.</w:t>
      </w:r>
    </w:p>
    <w:p w14:paraId="34A0F444"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Define a short S-RNTI (bit length FFS) for use on the AIoT interface.</w:t>
      </w:r>
    </w:p>
    <w:p w14:paraId="1DC7A015"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S-RNTI is scoped to the reader.  There is no RAN2 impact for coordinating S-RNTIs across different readers, but the reader and device are assumed to be able to determine whether an S-RNTI is valid in the reader’s scope.</w:t>
      </w:r>
    </w:p>
    <w:p w14:paraId="0E551522"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Define “read” and “write” data transfer messages for DO-DTT and DT data transfer, respectively.  The structure of the data in these messages is FFS.</w:t>
      </w:r>
    </w:p>
    <w:p w14:paraId="7118621C"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The read message has a response containing the requested data.</w:t>
      </w:r>
    </w:p>
    <w:p w14:paraId="4F78C52E"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The write message has a confirmation response.  FFS if it is an empty message or contains a success/failure code.</w:t>
      </w:r>
    </w:p>
    <w:p w14:paraId="67315D09"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9:</w:t>
      </w:r>
      <w:r>
        <w:rPr>
          <w:rFonts w:ascii="Calibri" w:eastAsia="PMingLiU" w:hAnsi="Calibri"/>
          <w:sz w:val="22"/>
          <w:szCs w:val="22"/>
          <w:lang w:eastAsia="zh-TW"/>
        </w:rPr>
        <w:t xml:space="preserve"> The read response message is followed by an acknowledgement from the reader.</w:t>
      </w:r>
    </w:p>
    <w:p w14:paraId="6BCB0E9D"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10:</w:t>
      </w:r>
      <w:r>
        <w:rPr>
          <w:rFonts w:ascii="Calibri" w:eastAsia="PMingLiU" w:hAnsi="Calibri"/>
          <w:sz w:val="22"/>
          <w:szCs w:val="22"/>
          <w:lang w:eastAsia="zh-TW"/>
        </w:rPr>
        <w:t xml:space="preserve"> Define an inquiry control message that can address all receiving devices, a class of receiving devices, or a specific device by S-RNTI.  FFS how classes are defined and if there are additional mechanisms like load control.</w:t>
      </w:r>
    </w:p>
    <w:p w14:paraId="67FC8FE6"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11:</w:t>
      </w:r>
      <w:r>
        <w:rPr>
          <w:rFonts w:ascii="Calibri" w:eastAsia="PMingLiU" w:hAnsi="Calibri"/>
          <w:sz w:val="22"/>
          <w:szCs w:val="22"/>
          <w:lang w:eastAsia="zh-TW"/>
        </w:rPr>
        <w:t xml:space="preserve"> The inquiry message has a response that may contain the responding device’s S-RNTI or an indication if it does not have an S-RNTI valid for this reader.</w:t>
      </w:r>
    </w:p>
    <w:p w14:paraId="5F2955ED" w14:textId="77777777" w:rsidR="00C07AFA" w:rsidRDefault="00C07AFA" w:rsidP="00C07AFA">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12:</w:t>
      </w:r>
      <w:r>
        <w:rPr>
          <w:rFonts w:ascii="Calibri" w:eastAsia="PMingLiU" w:hAnsi="Calibri"/>
          <w:sz w:val="22"/>
          <w:szCs w:val="22"/>
          <w:lang w:eastAsia="zh-TW"/>
        </w:rPr>
        <w:t xml:space="preserve"> If the response message indicates that the device has no valid S-RNTI for this reader, the reader can start an assignment procedure to allocate an S-RNTI.</w:t>
      </w:r>
    </w:p>
    <w:p w14:paraId="79A92772" w14:textId="77777777" w:rsidR="00455B3B" w:rsidRDefault="00455B3B" w:rsidP="006624D2">
      <w:pPr>
        <w:spacing w:after="240"/>
        <w:rPr>
          <w:rFonts w:ascii="Calibri" w:eastAsia="PMingLiU" w:hAnsi="Calibri"/>
          <w:sz w:val="22"/>
          <w:szCs w:val="22"/>
          <w:lang w:eastAsia="zh-TW"/>
        </w:rPr>
      </w:pP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BD3E" w14:textId="77777777" w:rsidR="00330692" w:rsidRDefault="00330692">
      <w:pPr>
        <w:spacing w:after="0"/>
      </w:pPr>
      <w:r>
        <w:separator/>
      </w:r>
    </w:p>
  </w:endnote>
  <w:endnote w:type="continuationSeparator" w:id="0">
    <w:p w14:paraId="344E174C" w14:textId="77777777" w:rsidR="00330692" w:rsidRDefault="00330692">
      <w:pPr>
        <w:spacing w:after="0"/>
      </w:pPr>
      <w:r>
        <w:continuationSeparator/>
      </w:r>
    </w:p>
  </w:endnote>
  <w:endnote w:type="continuationNotice" w:id="1">
    <w:p w14:paraId="6BE3B55B" w14:textId="77777777" w:rsidR="00330692" w:rsidRDefault="00330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AD674" w14:textId="77777777" w:rsidR="00330692" w:rsidRDefault="00330692">
      <w:pPr>
        <w:spacing w:after="0"/>
      </w:pPr>
      <w:r>
        <w:separator/>
      </w:r>
    </w:p>
  </w:footnote>
  <w:footnote w:type="continuationSeparator" w:id="0">
    <w:p w14:paraId="49A356CF" w14:textId="77777777" w:rsidR="00330692" w:rsidRDefault="00330692">
      <w:pPr>
        <w:spacing w:after="0"/>
      </w:pPr>
      <w:r>
        <w:continuationSeparator/>
      </w:r>
    </w:p>
  </w:footnote>
  <w:footnote w:type="continuationNotice" w:id="1">
    <w:p w14:paraId="10A0C59E" w14:textId="77777777" w:rsidR="00330692" w:rsidRDefault="003306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7"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1"/>
  </w:num>
  <w:num w:numId="3" w16cid:durableId="405494934">
    <w:abstractNumId w:val="28"/>
  </w:num>
  <w:num w:numId="4" w16cid:durableId="2098673955">
    <w:abstractNumId w:val="23"/>
  </w:num>
  <w:num w:numId="5" w16cid:durableId="16597252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29"/>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4"/>
  </w:num>
  <w:num w:numId="18" w16cid:durableId="671496083">
    <w:abstractNumId w:val="8"/>
  </w:num>
  <w:num w:numId="19" w16cid:durableId="91249721">
    <w:abstractNumId w:val="10"/>
  </w:num>
  <w:num w:numId="20" w16cid:durableId="265970387">
    <w:abstractNumId w:val="18"/>
  </w:num>
  <w:num w:numId="21" w16cid:durableId="1685325897">
    <w:abstractNumId w:val="20"/>
  </w:num>
  <w:num w:numId="22" w16cid:durableId="1616326705">
    <w:abstractNumId w:val="12"/>
  </w:num>
  <w:num w:numId="23" w16cid:durableId="2003845842">
    <w:abstractNumId w:val="15"/>
  </w:num>
  <w:num w:numId="24" w16cid:durableId="1758012337">
    <w:abstractNumId w:val="22"/>
  </w:num>
  <w:num w:numId="25" w16cid:durableId="61604864">
    <w:abstractNumId w:val="11"/>
  </w:num>
  <w:num w:numId="26" w16cid:durableId="1783725289">
    <w:abstractNumId w:val="27"/>
  </w:num>
  <w:num w:numId="27" w16cid:durableId="943154110">
    <w:abstractNumId w:val="19"/>
  </w:num>
  <w:num w:numId="28" w16cid:durableId="590508564">
    <w:abstractNumId w:val="31"/>
  </w:num>
  <w:num w:numId="29" w16cid:durableId="1333996154">
    <w:abstractNumId w:val="25"/>
  </w:num>
  <w:num w:numId="30" w16cid:durableId="1597665557">
    <w:abstractNumId w:val="13"/>
  </w:num>
  <w:num w:numId="31" w16cid:durableId="1206019505">
    <w:abstractNumId w:val="16"/>
  </w:num>
  <w:num w:numId="32" w16cid:durableId="68579267">
    <w:abstractNumId w:val="17"/>
  </w:num>
  <w:num w:numId="33" w16cid:durableId="871917870">
    <w:abstractNumId w:val="26"/>
  </w:num>
  <w:num w:numId="34" w16cid:durableId="1347367270">
    <w:abstractNumId w:val="9"/>
  </w:num>
  <w:num w:numId="35" w16cid:durableId="1509325865">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B4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28"/>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0F2"/>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1B6"/>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692"/>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5E9B"/>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6FB"/>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86"/>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6E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DC8"/>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065"/>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1C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02"/>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AFA"/>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3B"/>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7D"/>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7EE"/>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B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89B"/>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773285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4688304">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193951">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1704</Words>
  <Characters>9717</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2024-04-05T01:58:00Z</dcterms:created>
  <dcterms:modified xsi:type="dcterms:W3CDTF">2024-04-05T01:58:00Z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