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BDA46" w14:textId="689D14E5" w:rsidR="00A7627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11CB8" w:rsidRPr="00711CB8">
        <w:rPr>
          <w:rFonts w:eastAsia="SimSun" w:cs="Arial"/>
          <w:b/>
          <w:kern w:val="0"/>
          <w:sz w:val="28"/>
          <w:szCs w:val="28"/>
          <w:lang w:val="en-US" w:eastAsia="en-US"/>
        </w:rPr>
        <w:t>R2-2402762</w:t>
      </w:r>
    </w:p>
    <w:p w14:paraId="70E15F4E" w14:textId="77777777" w:rsidR="00A76279" w:rsidRDefault="00000000">
      <w:pPr>
        <w:keepLines/>
        <w:widowControl/>
        <w:tabs>
          <w:tab w:val="left" w:pos="567"/>
        </w:tabs>
        <w:adjustRightInd w:val="0"/>
        <w:snapToGrid w:val="0"/>
        <w:spacing w:after="0" w:line="276" w:lineRule="auto"/>
        <w:jc w:val="left"/>
        <w:rPr>
          <w:rFonts w:cs="Arial"/>
          <w:b/>
          <w:bCs/>
          <w:kern w:val="0"/>
          <w:sz w:val="28"/>
          <w:szCs w:val="28"/>
        </w:rPr>
      </w:pPr>
      <w:proofErr w:type="spellStart"/>
      <w:r>
        <w:rPr>
          <w:rFonts w:eastAsia="SimSun" w:cs="Arial"/>
          <w:b/>
          <w:kern w:val="0"/>
          <w:sz w:val="28"/>
          <w:szCs w:val="28"/>
          <w:lang w:val="en-US" w:eastAsia="en-US"/>
        </w:rPr>
        <w:t>ChangSha</w:t>
      </w:r>
      <w:proofErr w:type="spellEnd"/>
      <w:r>
        <w:rPr>
          <w:rFonts w:eastAsia="SimSun" w:cs="Arial"/>
          <w:b/>
          <w:kern w:val="0"/>
          <w:sz w:val="28"/>
          <w:szCs w:val="28"/>
          <w:lang w:val="en-US" w:eastAsia="en-US"/>
        </w:rPr>
        <w:t>, China, 1-19 April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1112362A" w14:textId="77777777" w:rsidR="00A7627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2B4A26F" w14:textId="77777777" w:rsidR="00A7627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RAN enhancements for </w:t>
      </w:r>
      <w:proofErr w:type="gramStart"/>
      <w:r>
        <w:rPr>
          <w:rFonts w:cs="Arial"/>
          <w:b/>
          <w:bCs/>
          <w:snapToGrid w:val="0"/>
          <w:kern w:val="0"/>
          <w:sz w:val="28"/>
          <w:szCs w:val="28"/>
        </w:rPr>
        <w:t>Multi-Modality</w:t>
      </w:r>
      <w:proofErr w:type="gramEnd"/>
      <w:r>
        <w:rPr>
          <w:rFonts w:cs="Arial"/>
          <w:b/>
          <w:bCs/>
          <w:snapToGrid w:val="0"/>
          <w:kern w:val="0"/>
          <w:sz w:val="28"/>
          <w:szCs w:val="28"/>
        </w:rPr>
        <w:t xml:space="preserve"> support </w:t>
      </w:r>
    </w:p>
    <w:p w14:paraId="66C82023" w14:textId="77777777" w:rsidR="00A7627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8.7.2</w:t>
      </w:r>
    </w:p>
    <w:p w14:paraId="2685D82E" w14:textId="77777777" w:rsidR="00A7627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77C311AF"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118A5087" w14:textId="77777777" w:rsidR="00A76279" w:rsidRDefault="00000000">
      <w:pPr>
        <w:spacing w:after="0"/>
      </w:pPr>
      <w:r>
        <w:t xml:space="preserve">Rel-19 XR WI in RP-240791 has an objective for RAN2 to study and if justified specify solutions to enhance NR operation for multi-modality in RAN. In this contribution we investigate the possible enhancements that could be supported in RAN to enable an optimised handling of multi-modal traffic within NR. </w:t>
      </w:r>
    </w:p>
    <w:p w14:paraId="023FF887"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Multi-Modality </w:t>
      </w:r>
      <w:r>
        <w:rPr>
          <w:rFonts w:cs="Arial"/>
          <w:b w:val="0"/>
          <w:bCs w:val="0"/>
          <w:kern w:val="0"/>
          <w:sz w:val="32"/>
          <w:szCs w:val="36"/>
          <w:lang w:val="en-US"/>
        </w:rPr>
        <w:t xml:space="preserve">support </w:t>
      </w:r>
      <w:r>
        <w:rPr>
          <w:rFonts w:cs="Arial"/>
          <w:b w:val="0"/>
          <w:bCs w:val="0"/>
          <w:kern w:val="0"/>
          <w:sz w:val="32"/>
          <w:szCs w:val="36"/>
        </w:rPr>
        <w:t>in RAN</w:t>
      </w:r>
    </w:p>
    <w:p w14:paraId="6B2E1055" w14:textId="77777777" w:rsidR="00A76279" w:rsidRDefault="00000000">
      <w:pPr>
        <w:spacing w:after="0"/>
      </w:pPr>
      <w:r>
        <w:t xml:space="preserve">In AR/VR applications, multi-modal communication services combine ultra-low latency with high availability/reliability. Multi-modal services are important in AR/VR applications including IoT, Robotics/Telepresence, first responder services in disaster zones, health care, gaming, education etc. </w:t>
      </w:r>
    </w:p>
    <w:p w14:paraId="61357D0C" w14:textId="77777777" w:rsidR="00A76279" w:rsidRDefault="00000000">
      <w:pPr>
        <w:spacing w:after="0"/>
      </w:pPr>
      <w:r>
        <w:t xml:space="preserve">A typical multi-modal communication can have different modalities affecting the user experience including audio/video data, sensor data, haptic data and feedback etc. Thus, an application involved in such use cases will generate data which will have a considerably different set of requirements. This is illustrated by the example data and the associated requirements noted below – see </w:t>
      </w:r>
      <w:r>
        <w:fldChar w:fldCharType="begin"/>
      </w:r>
      <w:r>
        <w:instrText xml:space="preserve"> REF _Ref162869763 \r \h </w:instrText>
      </w:r>
      <w:r>
        <w:fldChar w:fldCharType="separate"/>
      </w:r>
      <w:r>
        <w:t>[2]</w:t>
      </w:r>
      <w:r>
        <w:fldChar w:fldCharType="end"/>
      </w:r>
      <w:r>
        <w:t xml:space="preserve">:  </w:t>
      </w:r>
    </w:p>
    <w:p w14:paraId="5C0B22FA" w14:textId="77777777" w:rsidR="00A76279" w:rsidRDefault="00A76279">
      <w:pPr>
        <w:spacing w:after="0"/>
      </w:pPr>
    </w:p>
    <w:p w14:paraId="3249C70F" w14:textId="77777777" w:rsidR="00A76279" w:rsidRDefault="00000000">
      <w:pPr>
        <w:pStyle w:val="Caption"/>
        <w:keepNext/>
        <w:jc w:val="center"/>
      </w:pPr>
      <w:r>
        <w:lastRenderedPageBreak/>
        <w:t xml:space="preserve">Table </w:t>
      </w:r>
      <w:r>
        <w:fldChar w:fldCharType="begin"/>
      </w:r>
      <w:r>
        <w:instrText xml:space="preserve"> SEQ Table \* ARABIC </w:instrText>
      </w:r>
      <w:r>
        <w:fldChar w:fldCharType="separate"/>
      </w:r>
      <w:r>
        <w:t>1</w:t>
      </w:r>
      <w:r>
        <w:fldChar w:fldCharType="end"/>
      </w:r>
      <w:r>
        <w:t>: Multi-Modality QoS targets/KPIs</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1985"/>
        <w:gridCol w:w="1842"/>
        <w:gridCol w:w="2977"/>
      </w:tblGrid>
      <w:tr w:rsidR="00A76279" w14:paraId="23E17A86" w14:textId="77777777">
        <w:trPr>
          <w:tblHeader/>
        </w:trPr>
        <w:tc>
          <w:tcPr>
            <w:tcW w:w="1696" w:type="dxa"/>
            <w:vMerge w:val="restart"/>
          </w:tcPr>
          <w:p w14:paraId="5366560D"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hint="eastAsia"/>
                <w:b/>
                <w:kern w:val="0"/>
                <w:sz w:val="16"/>
                <w:szCs w:val="20"/>
              </w:rPr>
              <w:t>Use Cases</w:t>
            </w:r>
          </w:p>
        </w:tc>
        <w:tc>
          <w:tcPr>
            <w:tcW w:w="5103" w:type="dxa"/>
            <w:gridSpan w:val="3"/>
            <w:shd w:val="clear" w:color="auto" w:fill="auto"/>
          </w:tcPr>
          <w:p w14:paraId="18001521"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Characteristic parameter (KPI)</w:t>
            </w:r>
          </w:p>
        </w:tc>
        <w:tc>
          <w:tcPr>
            <w:tcW w:w="2977" w:type="dxa"/>
            <w:vMerge w:val="restart"/>
          </w:tcPr>
          <w:p w14:paraId="563755C0"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Modality and type of data</w:t>
            </w:r>
          </w:p>
        </w:tc>
      </w:tr>
      <w:tr w:rsidR="00A76279" w14:paraId="047BE460" w14:textId="77777777">
        <w:trPr>
          <w:tblHeader/>
        </w:trPr>
        <w:tc>
          <w:tcPr>
            <w:tcW w:w="1696" w:type="dxa"/>
            <w:vMerge/>
          </w:tcPr>
          <w:p w14:paraId="1C261D01"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Calibri"/>
                <w:b/>
                <w:kern w:val="0"/>
                <w:sz w:val="18"/>
                <w:szCs w:val="20"/>
              </w:rPr>
            </w:pPr>
          </w:p>
        </w:tc>
        <w:tc>
          <w:tcPr>
            <w:tcW w:w="1276" w:type="dxa"/>
            <w:shd w:val="clear" w:color="auto" w:fill="auto"/>
          </w:tcPr>
          <w:p w14:paraId="7D337D49"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Max allowed end-to-end latency</w:t>
            </w:r>
          </w:p>
        </w:tc>
        <w:tc>
          <w:tcPr>
            <w:tcW w:w="1985" w:type="dxa"/>
            <w:shd w:val="clear" w:color="auto" w:fill="auto"/>
          </w:tcPr>
          <w:p w14:paraId="3B5A5620"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Service bit rate: user-experienced data rate</w:t>
            </w:r>
          </w:p>
        </w:tc>
        <w:tc>
          <w:tcPr>
            <w:tcW w:w="1842" w:type="dxa"/>
          </w:tcPr>
          <w:p w14:paraId="13A6E62A"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Reliability</w:t>
            </w:r>
          </w:p>
        </w:tc>
        <w:tc>
          <w:tcPr>
            <w:tcW w:w="2977" w:type="dxa"/>
            <w:vMerge/>
          </w:tcPr>
          <w:p w14:paraId="04D89940"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Calibri"/>
                <w:b/>
                <w:kern w:val="0"/>
                <w:sz w:val="18"/>
                <w:szCs w:val="20"/>
              </w:rPr>
            </w:pPr>
          </w:p>
        </w:tc>
      </w:tr>
      <w:tr w:rsidR="00A76279" w14:paraId="2B39F2C7" w14:textId="77777777">
        <w:trPr>
          <w:tblHeader/>
        </w:trPr>
        <w:tc>
          <w:tcPr>
            <w:tcW w:w="1696" w:type="dxa"/>
            <w:vMerge w:val="restart"/>
          </w:tcPr>
          <w:p w14:paraId="1FF4EC3A"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Immersive multi-modal VR (UL: device </w:t>
            </w:r>
            <w:r>
              <w:rPr>
                <w:rFonts w:eastAsia="Times New Roman"/>
                <w:kern w:val="0"/>
                <w:sz w:val="16"/>
                <w:szCs w:val="20"/>
              </w:rPr>
              <w:sym w:font="Wingdings" w:char="F0E0"/>
            </w:r>
            <w:r>
              <w:rPr>
                <w:rFonts w:eastAsia="Times New Roman"/>
                <w:kern w:val="0"/>
                <w:sz w:val="16"/>
                <w:szCs w:val="20"/>
              </w:rPr>
              <w:t xml:space="preserve"> application sever)</w:t>
            </w:r>
          </w:p>
        </w:tc>
        <w:tc>
          <w:tcPr>
            <w:tcW w:w="1276" w:type="dxa"/>
            <w:shd w:val="clear" w:color="auto" w:fill="auto"/>
          </w:tcPr>
          <w:p w14:paraId="12172D23"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hint="eastAsia"/>
                <w:kern w:val="0"/>
                <w:sz w:val="16"/>
                <w:szCs w:val="20"/>
              </w:rPr>
              <w:t>5</w:t>
            </w:r>
            <w:r>
              <w:rPr>
                <w:rFonts w:eastAsia="Times New Roman"/>
                <w:kern w:val="0"/>
                <w:sz w:val="16"/>
                <w:szCs w:val="20"/>
              </w:rPr>
              <w:t xml:space="preserve"> </w:t>
            </w:r>
            <w:proofErr w:type="spellStart"/>
            <w:r>
              <w:rPr>
                <w:rFonts w:eastAsia="Times New Roman" w:hint="eastAsia"/>
                <w:kern w:val="0"/>
                <w:sz w:val="16"/>
                <w:szCs w:val="20"/>
              </w:rPr>
              <w:t>ms</w:t>
            </w:r>
            <w:proofErr w:type="spellEnd"/>
          </w:p>
          <w:p w14:paraId="1E2B56CF"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7FADF46C"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16 kbit/s -2 Mbit/s</w:t>
            </w:r>
          </w:p>
          <w:p w14:paraId="4F86E066"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t>
            </w:r>
            <w:r>
              <w:rPr>
                <w:rFonts w:eastAsia="Times New Roman" w:hint="eastAsia"/>
                <w:kern w:val="0"/>
                <w:sz w:val="16"/>
                <w:szCs w:val="20"/>
              </w:rPr>
              <w:t>w</w:t>
            </w:r>
            <w:r>
              <w:rPr>
                <w:rFonts w:eastAsia="Times New Roman"/>
                <w:kern w:val="0"/>
                <w:sz w:val="16"/>
                <w:szCs w:val="20"/>
              </w:rPr>
              <w:t>ithout haptic compression encoding);</w:t>
            </w:r>
          </w:p>
          <w:p w14:paraId="045B8AFD"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46EFCEE5"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0.8 - 200 kbit/s </w:t>
            </w:r>
          </w:p>
          <w:p w14:paraId="78E10FDD"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t>
            </w:r>
            <w:r>
              <w:rPr>
                <w:rFonts w:eastAsia="Times New Roman" w:hint="eastAsia"/>
                <w:kern w:val="0"/>
                <w:sz w:val="16"/>
                <w:szCs w:val="20"/>
              </w:rPr>
              <w:t>w</w:t>
            </w:r>
            <w:r>
              <w:rPr>
                <w:rFonts w:eastAsia="Times New Roman"/>
                <w:kern w:val="0"/>
                <w:sz w:val="16"/>
                <w:szCs w:val="20"/>
              </w:rPr>
              <w:t>ith haptic compression encoding)</w:t>
            </w:r>
          </w:p>
        </w:tc>
        <w:tc>
          <w:tcPr>
            <w:tcW w:w="1842" w:type="dxa"/>
          </w:tcPr>
          <w:p w14:paraId="6D2A87F8"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 (</w:t>
            </w:r>
            <w:r>
              <w:rPr>
                <w:rFonts w:eastAsia="Times New Roman" w:hint="eastAsia"/>
                <w:kern w:val="0"/>
                <w:sz w:val="16"/>
                <w:szCs w:val="20"/>
              </w:rPr>
              <w:t>w</w:t>
            </w:r>
            <w:r>
              <w:rPr>
                <w:rFonts w:eastAsia="Times New Roman"/>
                <w:kern w:val="0"/>
                <w:sz w:val="16"/>
                <w:szCs w:val="20"/>
              </w:rPr>
              <w:t>ithout haptic compression encoding)</w:t>
            </w:r>
          </w:p>
          <w:p w14:paraId="13AF2A82"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41FE88FB"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[99.999%] (</w:t>
            </w:r>
            <w:r>
              <w:rPr>
                <w:rFonts w:eastAsia="Times New Roman" w:hint="eastAsia"/>
                <w:kern w:val="0"/>
                <w:sz w:val="16"/>
                <w:szCs w:val="20"/>
              </w:rPr>
              <w:t>w</w:t>
            </w:r>
            <w:r>
              <w:rPr>
                <w:rFonts w:eastAsia="Times New Roman"/>
                <w:kern w:val="0"/>
                <w:sz w:val="16"/>
                <w:szCs w:val="20"/>
              </w:rPr>
              <w:t>ith haptic compression encoding)</w:t>
            </w:r>
          </w:p>
        </w:tc>
        <w:tc>
          <w:tcPr>
            <w:tcW w:w="2977" w:type="dxa"/>
          </w:tcPr>
          <w:p w14:paraId="5CD9D129"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Haptic</w:t>
            </w:r>
            <w:r>
              <w:rPr>
                <w:rFonts w:eastAsia="Times New Roman"/>
                <w:kern w:val="0"/>
                <w:sz w:val="16"/>
                <w:szCs w:val="20"/>
              </w:rPr>
              <w:t xml:space="preserve"> feedback</w:t>
            </w:r>
          </w:p>
        </w:tc>
      </w:tr>
      <w:tr w:rsidR="00A76279" w14:paraId="6E4E5C1F" w14:textId="77777777">
        <w:trPr>
          <w:tblHeader/>
        </w:trPr>
        <w:tc>
          <w:tcPr>
            <w:tcW w:w="1696" w:type="dxa"/>
            <w:vMerge/>
          </w:tcPr>
          <w:p w14:paraId="692390CF"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tc>
        <w:tc>
          <w:tcPr>
            <w:tcW w:w="1276" w:type="dxa"/>
            <w:shd w:val="clear" w:color="auto" w:fill="auto"/>
          </w:tcPr>
          <w:p w14:paraId="14775135"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hint="eastAsia"/>
                <w:kern w:val="0"/>
                <w:sz w:val="16"/>
                <w:szCs w:val="20"/>
              </w:rPr>
              <w:t>5</w:t>
            </w:r>
            <w:r>
              <w:rPr>
                <w:rFonts w:eastAsia="Times New Roman"/>
                <w:kern w:val="0"/>
                <w:sz w:val="16"/>
                <w:szCs w:val="20"/>
              </w:rPr>
              <w:t xml:space="preserve"> </w:t>
            </w:r>
            <w:proofErr w:type="spellStart"/>
            <w:r>
              <w:rPr>
                <w:rFonts w:eastAsia="Times New Roman" w:hint="eastAsia"/>
                <w:kern w:val="0"/>
                <w:sz w:val="16"/>
                <w:szCs w:val="20"/>
              </w:rPr>
              <w:t>ms</w:t>
            </w:r>
            <w:proofErr w:type="spellEnd"/>
          </w:p>
        </w:tc>
        <w:tc>
          <w:tcPr>
            <w:tcW w:w="1985" w:type="dxa"/>
            <w:shd w:val="clear" w:color="auto" w:fill="auto"/>
          </w:tcPr>
          <w:p w14:paraId="40732955"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&lt;</w:t>
            </w:r>
            <w:r>
              <w:rPr>
                <w:rFonts w:eastAsia="Times New Roman"/>
                <w:kern w:val="0"/>
                <w:sz w:val="16"/>
                <w:szCs w:val="20"/>
              </w:rPr>
              <w:t xml:space="preserve"> 1Mbit/s</w:t>
            </w:r>
          </w:p>
        </w:tc>
        <w:tc>
          <w:tcPr>
            <w:tcW w:w="1842" w:type="dxa"/>
          </w:tcPr>
          <w:p w14:paraId="1D057BDF"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w:t>
            </w:r>
          </w:p>
        </w:tc>
        <w:tc>
          <w:tcPr>
            <w:tcW w:w="2977" w:type="dxa"/>
          </w:tcPr>
          <w:p w14:paraId="766DD341"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Sensor information e.g. position and view information generated by the VR glasses</w:t>
            </w:r>
          </w:p>
        </w:tc>
      </w:tr>
      <w:tr w:rsidR="00A76279" w14:paraId="395B9988" w14:textId="77777777">
        <w:trPr>
          <w:tblHeader/>
        </w:trPr>
        <w:tc>
          <w:tcPr>
            <w:tcW w:w="1696" w:type="dxa"/>
            <w:vMerge w:val="restart"/>
          </w:tcPr>
          <w:p w14:paraId="4F3106AC"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Immersive multi-modal VR (DL: application sever </w:t>
            </w:r>
            <w:r>
              <w:rPr>
                <w:rFonts w:eastAsia="Times New Roman"/>
                <w:kern w:val="0"/>
                <w:sz w:val="16"/>
                <w:szCs w:val="20"/>
              </w:rPr>
              <w:sym w:font="Wingdings" w:char="F0E0"/>
            </w:r>
            <w:r>
              <w:rPr>
                <w:rFonts w:eastAsia="Times New Roman"/>
                <w:kern w:val="0"/>
                <w:sz w:val="16"/>
                <w:szCs w:val="20"/>
              </w:rPr>
              <w:t xml:space="preserve"> device)</w:t>
            </w:r>
          </w:p>
        </w:tc>
        <w:tc>
          <w:tcPr>
            <w:tcW w:w="1276" w:type="dxa"/>
            <w:shd w:val="clear" w:color="auto" w:fill="auto"/>
          </w:tcPr>
          <w:p w14:paraId="26D9E69A"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 xml:space="preserve">10 </w:t>
            </w:r>
            <w:proofErr w:type="spellStart"/>
            <w:r>
              <w:rPr>
                <w:rFonts w:eastAsia="Times New Roman"/>
                <w:kern w:val="0"/>
                <w:sz w:val="16"/>
                <w:szCs w:val="20"/>
              </w:rPr>
              <w:t>ms</w:t>
            </w:r>
            <w:proofErr w:type="spellEnd"/>
          </w:p>
          <w:p w14:paraId="10706DED"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4435D79E"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1-100 Mbit/s</w:t>
            </w:r>
          </w:p>
        </w:tc>
        <w:tc>
          <w:tcPr>
            <w:tcW w:w="1842" w:type="dxa"/>
          </w:tcPr>
          <w:p w14:paraId="609D9CEA"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w:t>
            </w:r>
          </w:p>
        </w:tc>
        <w:tc>
          <w:tcPr>
            <w:tcW w:w="2977" w:type="dxa"/>
          </w:tcPr>
          <w:p w14:paraId="1999B904"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Video</w:t>
            </w:r>
          </w:p>
        </w:tc>
      </w:tr>
      <w:tr w:rsidR="00A76279" w14:paraId="3A828938" w14:textId="77777777">
        <w:trPr>
          <w:tblHeader/>
        </w:trPr>
        <w:tc>
          <w:tcPr>
            <w:tcW w:w="1696" w:type="dxa"/>
            <w:vMerge/>
          </w:tcPr>
          <w:p w14:paraId="0A1DD066"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276" w:type="dxa"/>
            <w:shd w:val="clear" w:color="auto" w:fill="auto"/>
            <w:vAlign w:val="center"/>
          </w:tcPr>
          <w:p w14:paraId="34D0924D"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 xml:space="preserve">10 </w:t>
            </w:r>
            <w:proofErr w:type="spellStart"/>
            <w:r>
              <w:rPr>
                <w:rFonts w:eastAsia="Times New Roman"/>
                <w:kern w:val="0"/>
                <w:sz w:val="16"/>
                <w:szCs w:val="20"/>
              </w:rPr>
              <w:t>ms</w:t>
            </w:r>
            <w:proofErr w:type="spellEnd"/>
          </w:p>
        </w:tc>
        <w:tc>
          <w:tcPr>
            <w:tcW w:w="1985" w:type="dxa"/>
            <w:shd w:val="clear" w:color="auto" w:fill="auto"/>
          </w:tcPr>
          <w:p w14:paraId="4089651F"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5-512 kbit/s</w:t>
            </w:r>
          </w:p>
        </w:tc>
        <w:tc>
          <w:tcPr>
            <w:tcW w:w="1842" w:type="dxa"/>
          </w:tcPr>
          <w:p w14:paraId="71F9253C"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w:t>
            </w:r>
          </w:p>
        </w:tc>
        <w:tc>
          <w:tcPr>
            <w:tcW w:w="2977" w:type="dxa"/>
          </w:tcPr>
          <w:p w14:paraId="7E1659DE"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Audio</w:t>
            </w:r>
          </w:p>
        </w:tc>
      </w:tr>
      <w:tr w:rsidR="00A76279" w14:paraId="6E13BF7F" w14:textId="77777777">
        <w:trPr>
          <w:tblHeader/>
        </w:trPr>
        <w:tc>
          <w:tcPr>
            <w:tcW w:w="1696" w:type="dxa"/>
            <w:vMerge/>
          </w:tcPr>
          <w:p w14:paraId="3CD6EEA7"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276" w:type="dxa"/>
            <w:shd w:val="clear" w:color="auto" w:fill="auto"/>
          </w:tcPr>
          <w:p w14:paraId="1C8E572F" w14:textId="77777777" w:rsidR="00A76279"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 xml:space="preserve">5 </w:t>
            </w:r>
            <w:proofErr w:type="spellStart"/>
            <w:r>
              <w:rPr>
                <w:rFonts w:eastAsia="Times New Roman"/>
                <w:kern w:val="0"/>
                <w:sz w:val="16"/>
                <w:szCs w:val="20"/>
              </w:rPr>
              <w:t>ms</w:t>
            </w:r>
            <w:proofErr w:type="spellEnd"/>
          </w:p>
          <w:p w14:paraId="1BB369BD" w14:textId="77777777" w:rsidR="00A76279" w:rsidRDefault="00A76279">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4CEC2BF6"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16 kbit/s -2 Mbit/s</w:t>
            </w:r>
          </w:p>
          <w:p w14:paraId="1B5F4DF7"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(without haptic compression encoding);</w:t>
            </w:r>
          </w:p>
          <w:p w14:paraId="323ECF27"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2E9DDD84"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0.8 - 200 kbit/s </w:t>
            </w:r>
          </w:p>
          <w:p w14:paraId="7947DC54"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(with haptic compression encoding)</w:t>
            </w:r>
          </w:p>
        </w:tc>
        <w:tc>
          <w:tcPr>
            <w:tcW w:w="1842" w:type="dxa"/>
          </w:tcPr>
          <w:p w14:paraId="54DC7860"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 (</w:t>
            </w:r>
            <w:r>
              <w:rPr>
                <w:rFonts w:eastAsia="Times New Roman" w:hint="eastAsia"/>
                <w:kern w:val="0"/>
                <w:sz w:val="16"/>
                <w:szCs w:val="20"/>
              </w:rPr>
              <w:t>w</w:t>
            </w:r>
            <w:r>
              <w:rPr>
                <w:rFonts w:eastAsia="Times New Roman"/>
                <w:kern w:val="0"/>
                <w:sz w:val="16"/>
                <w:szCs w:val="20"/>
              </w:rPr>
              <w:t>ithout haptic compression encoding)</w:t>
            </w:r>
          </w:p>
          <w:p w14:paraId="2902F070"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70CED24D"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[99.999%] (</w:t>
            </w:r>
            <w:r>
              <w:rPr>
                <w:rFonts w:eastAsia="Times New Roman" w:hint="eastAsia"/>
                <w:kern w:val="0"/>
                <w:sz w:val="16"/>
                <w:szCs w:val="20"/>
              </w:rPr>
              <w:t>w</w:t>
            </w:r>
            <w:r>
              <w:rPr>
                <w:rFonts w:eastAsia="Times New Roman"/>
                <w:kern w:val="0"/>
                <w:sz w:val="16"/>
                <w:szCs w:val="20"/>
              </w:rPr>
              <w:t>ith haptic compression encoding)</w:t>
            </w:r>
          </w:p>
        </w:tc>
        <w:tc>
          <w:tcPr>
            <w:tcW w:w="2977" w:type="dxa"/>
          </w:tcPr>
          <w:p w14:paraId="4966B71A" w14:textId="77777777" w:rsidR="00A76279"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Haptic</w:t>
            </w:r>
            <w:r>
              <w:rPr>
                <w:rFonts w:eastAsia="Times New Roman"/>
                <w:kern w:val="0"/>
                <w:sz w:val="16"/>
                <w:szCs w:val="20"/>
              </w:rPr>
              <w:t xml:space="preserve"> feedback</w:t>
            </w:r>
          </w:p>
          <w:p w14:paraId="048B4647" w14:textId="77777777" w:rsidR="00A76279" w:rsidRDefault="00A76279">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tc>
      </w:tr>
    </w:tbl>
    <w:p w14:paraId="06A663B3" w14:textId="77777777" w:rsidR="00A76279" w:rsidRDefault="00A76279">
      <w:pPr>
        <w:spacing w:after="0"/>
      </w:pPr>
    </w:p>
    <w:p w14:paraId="384B878B" w14:textId="77777777" w:rsidR="00A76279" w:rsidRDefault="00000000">
      <w:pPr>
        <w:spacing w:after="0"/>
      </w:pPr>
      <w:r>
        <w:t xml:space="preserve">As can be seen from the table above, different modalities within the multi-modal application </w:t>
      </w:r>
      <w:proofErr w:type="gramStart"/>
      <w:r>
        <w:t>has</w:t>
      </w:r>
      <w:proofErr w:type="gramEnd"/>
      <w:r>
        <w:t xml:space="preserve"> vastly different service requirements with regards to data rates, reliability targets and latency targets. In RAN, when a given data flow has a specific set of requirements, the way to ensure the QoS requirements is by mapping the flow to a given DRB. However, doing this would essentially mean that these flows are handled rather independently at RAN level. This modelling in RAN is not suitable for the above traffic because the traffic of different modalities is inherently inter-dependent on each other and has associated requirements of synchronization and combined delivery requirements on top of the varied QoS requirements for end-to-end delivery. This is also captured in </w:t>
      </w:r>
      <w:r>
        <w:fldChar w:fldCharType="begin"/>
      </w:r>
      <w:r>
        <w:instrText xml:space="preserve"> REF _Ref162869763 \r \h </w:instrText>
      </w:r>
      <w:r>
        <w:fldChar w:fldCharType="separate"/>
      </w:r>
      <w:r>
        <w:t>[2]</w:t>
      </w:r>
      <w:r>
        <w:fldChar w:fldCharType="end"/>
      </w:r>
      <w:r>
        <w:t xml:space="preserve"> as associated synchronisation threshold for immersive muti-modal VR applications: </w:t>
      </w:r>
    </w:p>
    <w:p w14:paraId="449BBE35" w14:textId="77777777" w:rsidR="00A76279" w:rsidRDefault="00000000">
      <w:pPr>
        <w:pStyle w:val="Caption"/>
        <w:keepNext/>
        <w:jc w:val="center"/>
      </w:pPr>
      <w:r>
        <w:t xml:space="preserve">Table </w:t>
      </w:r>
      <w:r>
        <w:fldChar w:fldCharType="begin"/>
      </w:r>
      <w:r>
        <w:instrText xml:space="preserve"> SEQ Table \* ARABIC </w:instrText>
      </w:r>
      <w:r>
        <w:fldChar w:fldCharType="separate"/>
      </w:r>
      <w:r>
        <w:t>2</w:t>
      </w:r>
      <w:r>
        <w:fldChar w:fldCharType="end"/>
      </w:r>
      <w:r>
        <w:t>: Synchronization requirements for Multi-Modal traffic components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76279" w14:paraId="76456775" w14:textId="77777777">
        <w:tc>
          <w:tcPr>
            <w:tcW w:w="2410" w:type="dxa"/>
            <w:shd w:val="clear" w:color="auto" w:fill="auto"/>
          </w:tcPr>
          <w:p w14:paraId="25DCC183" w14:textId="77777777" w:rsidR="00A76279" w:rsidRDefault="00A76279">
            <w:pPr>
              <w:snapToGrid w:val="0"/>
              <w:spacing w:after="0"/>
              <w:rPr>
                <w:rFonts w:eastAsia="FangSong"/>
                <w:b/>
                <w:lang w:val="en-US" w:eastAsia="zh-CN"/>
              </w:rPr>
            </w:pPr>
          </w:p>
        </w:tc>
        <w:tc>
          <w:tcPr>
            <w:tcW w:w="5528" w:type="dxa"/>
            <w:gridSpan w:val="2"/>
            <w:shd w:val="clear" w:color="auto" w:fill="auto"/>
          </w:tcPr>
          <w:p w14:paraId="20F8724B" w14:textId="77777777" w:rsidR="00A76279" w:rsidRDefault="00000000">
            <w:pPr>
              <w:snapToGrid w:val="0"/>
              <w:spacing w:after="0"/>
              <w:rPr>
                <w:rFonts w:eastAsia="FangSong"/>
                <w:b/>
                <w:lang w:val="en-US" w:eastAsia="zh-CN"/>
              </w:rPr>
            </w:pPr>
            <w:r>
              <w:rPr>
                <w:lang w:val="en-US" w:eastAsia="zh-CN"/>
              </w:rPr>
              <w:t xml:space="preserve">synchronization </w:t>
            </w:r>
            <w:r>
              <w:rPr>
                <w:rFonts w:eastAsia="FangSong"/>
                <w:b/>
                <w:lang w:val="en-US" w:eastAsia="zh-CN"/>
              </w:rPr>
              <w:t>threshold</w:t>
            </w:r>
            <w:r>
              <w:rPr>
                <w:lang w:val="en-US" w:eastAsia="zh-CN"/>
              </w:rPr>
              <w:t xml:space="preserve"> (note 1)</w:t>
            </w:r>
          </w:p>
        </w:tc>
      </w:tr>
      <w:tr w:rsidR="00A76279" w14:paraId="38C38239" w14:textId="77777777">
        <w:tc>
          <w:tcPr>
            <w:tcW w:w="2410" w:type="dxa"/>
            <w:shd w:val="clear" w:color="auto" w:fill="auto"/>
          </w:tcPr>
          <w:p w14:paraId="5F9EE6E4" w14:textId="77777777" w:rsidR="00A76279" w:rsidRDefault="00000000">
            <w:pPr>
              <w:snapToGrid w:val="0"/>
              <w:spacing w:after="0"/>
              <w:rPr>
                <w:rFonts w:eastAsia="FangSong"/>
                <w:b/>
                <w:lang w:val="en-US" w:eastAsia="zh-CN"/>
              </w:rPr>
            </w:pPr>
            <w:r>
              <w:rPr>
                <w:rFonts w:eastAsia="FangSong"/>
                <w:b/>
                <w:lang w:val="en-US" w:eastAsia="zh-CN"/>
              </w:rPr>
              <w:t>audio-tactile</w:t>
            </w:r>
          </w:p>
        </w:tc>
        <w:tc>
          <w:tcPr>
            <w:tcW w:w="2693" w:type="dxa"/>
            <w:shd w:val="clear" w:color="auto" w:fill="auto"/>
          </w:tcPr>
          <w:p w14:paraId="6E0CAE8A" w14:textId="77777777" w:rsidR="00A76279" w:rsidRDefault="00000000">
            <w:pPr>
              <w:snapToGrid w:val="0"/>
              <w:spacing w:after="0"/>
              <w:rPr>
                <w:rFonts w:eastAsia="FangSong"/>
                <w:lang w:val="en-US" w:eastAsia="zh-CN"/>
              </w:rPr>
            </w:pPr>
            <w:r>
              <w:rPr>
                <w:rFonts w:eastAsia="FangSong"/>
                <w:lang w:val="en-US" w:eastAsia="zh-CN"/>
              </w:rPr>
              <w:t>audio delay:</w:t>
            </w:r>
          </w:p>
          <w:p w14:paraId="7790CBAE" w14:textId="77777777" w:rsidR="00A76279" w:rsidRDefault="00000000">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c>
          <w:tcPr>
            <w:tcW w:w="2835" w:type="dxa"/>
            <w:shd w:val="clear" w:color="auto" w:fill="auto"/>
          </w:tcPr>
          <w:p w14:paraId="08E2D39E" w14:textId="77777777" w:rsidR="00A76279" w:rsidRDefault="00000000">
            <w:pPr>
              <w:snapToGrid w:val="0"/>
              <w:spacing w:after="0"/>
              <w:rPr>
                <w:rFonts w:eastAsia="FangSong"/>
                <w:lang w:val="en-US" w:eastAsia="zh-CN"/>
              </w:rPr>
            </w:pPr>
            <w:r>
              <w:rPr>
                <w:rFonts w:eastAsia="FangSong"/>
                <w:lang w:val="en-US" w:eastAsia="zh-CN"/>
              </w:rPr>
              <w:t>tactile delay:</w:t>
            </w:r>
          </w:p>
          <w:p w14:paraId="00DCFC31" w14:textId="77777777" w:rsidR="00A76279" w:rsidRDefault="00000000">
            <w:pPr>
              <w:snapToGrid w:val="0"/>
              <w:spacing w:after="0"/>
              <w:rPr>
                <w:rFonts w:eastAsia="FangSong"/>
                <w:lang w:val="en-US" w:eastAsia="zh-CN"/>
              </w:rPr>
            </w:pPr>
            <w:r>
              <w:rPr>
                <w:rFonts w:eastAsia="FangSong"/>
                <w:lang w:val="en-US" w:eastAsia="zh-CN"/>
              </w:rPr>
              <w:t xml:space="preserve">25 </w:t>
            </w:r>
            <w:proofErr w:type="spellStart"/>
            <w:r>
              <w:rPr>
                <w:rFonts w:eastAsia="FangSong"/>
                <w:lang w:val="en-US" w:eastAsia="zh-CN"/>
              </w:rPr>
              <w:t>ms</w:t>
            </w:r>
            <w:proofErr w:type="spellEnd"/>
          </w:p>
        </w:tc>
      </w:tr>
      <w:tr w:rsidR="00A76279" w14:paraId="2A134A62" w14:textId="77777777">
        <w:tc>
          <w:tcPr>
            <w:tcW w:w="2410" w:type="dxa"/>
            <w:shd w:val="clear" w:color="auto" w:fill="auto"/>
          </w:tcPr>
          <w:p w14:paraId="3F6794CF" w14:textId="77777777" w:rsidR="00A76279" w:rsidRDefault="00000000">
            <w:pPr>
              <w:snapToGrid w:val="0"/>
              <w:spacing w:after="0"/>
              <w:rPr>
                <w:rFonts w:eastAsia="FangSong"/>
                <w:b/>
                <w:lang w:val="en-US" w:eastAsia="zh-CN"/>
              </w:rPr>
            </w:pPr>
            <w:r>
              <w:rPr>
                <w:rFonts w:eastAsia="FangSong"/>
                <w:b/>
                <w:lang w:val="en-US" w:eastAsia="zh-CN"/>
              </w:rPr>
              <w:t>visual-tactile</w:t>
            </w:r>
          </w:p>
        </w:tc>
        <w:tc>
          <w:tcPr>
            <w:tcW w:w="2693" w:type="dxa"/>
            <w:shd w:val="clear" w:color="auto" w:fill="auto"/>
          </w:tcPr>
          <w:p w14:paraId="03C48ED0" w14:textId="77777777" w:rsidR="00A76279" w:rsidRDefault="00000000">
            <w:pPr>
              <w:snapToGrid w:val="0"/>
              <w:spacing w:after="0"/>
              <w:rPr>
                <w:rFonts w:eastAsia="FangSong"/>
                <w:lang w:val="en-US" w:eastAsia="zh-CN"/>
              </w:rPr>
            </w:pPr>
            <w:r>
              <w:rPr>
                <w:rFonts w:eastAsia="FangSong"/>
                <w:lang w:val="en-US" w:eastAsia="zh-CN"/>
              </w:rPr>
              <w:t>visual delay:</w:t>
            </w:r>
          </w:p>
          <w:p w14:paraId="26A76B39" w14:textId="77777777" w:rsidR="00A76279" w:rsidRDefault="00000000">
            <w:pPr>
              <w:snapToGrid w:val="0"/>
              <w:spacing w:after="0"/>
              <w:rPr>
                <w:rFonts w:eastAsia="FangSong"/>
                <w:lang w:val="en-US" w:eastAsia="zh-CN"/>
              </w:rPr>
            </w:pPr>
            <w:r>
              <w:rPr>
                <w:rFonts w:eastAsia="FangSong"/>
                <w:lang w:val="en-US" w:eastAsia="zh-CN"/>
              </w:rPr>
              <w:t xml:space="preserve">15 </w:t>
            </w:r>
            <w:proofErr w:type="spellStart"/>
            <w:r>
              <w:rPr>
                <w:rFonts w:eastAsia="FangSong"/>
                <w:lang w:val="en-US" w:eastAsia="zh-CN"/>
              </w:rPr>
              <w:t>ms</w:t>
            </w:r>
            <w:proofErr w:type="spellEnd"/>
          </w:p>
        </w:tc>
        <w:tc>
          <w:tcPr>
            <w:tcW w:w="2835" w:type="dxa"/>
            <w:shd w:val="clear" w:color="auto" w:fill="auto"/>
          </w:tcPr>
          <w:p w14:paraId="7FC9433E" w14:textId="77777777" w:rsidR="00A76279" w:rsidRDefault="00000000">
            <w:pPr>
              <w:snapToGrid w:val="0"/>
              <w:spacing w:after="0"/>
              <w:rPr>
                <w:rFonts w:eastAsia="FangSong"/>
                <w:lang w:val="en-US" w:eastAsia="zh-CN"/>
              </w:rPr>
            </w:pPr>
            <w:r>
              <w:rPr>
                <w:rFonts w:eastAsia="FangSong"/>
                <w:lang w:val="en-US" w:eastAsia="zh-CN"/>
              </w:rPr>
              <w:t>tactile delay:</w:t>
            </w:r>
          </w:p>
          <w:p w14:paraId="6725A40C" w14:textId="77777777" w:rsidR="00A76279" w:rsidRDefault="00000000">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r>
      <w:tr w:rsidR="00A76279" w14:paraId="075B3E4E" w14:textId="77777777">
        <w:tc>
          <w:tcPr>
            <w:tcW w:w="7938" w:type="dxa"/>
            <w:gridSpan w:val="3"/>
            <w:shd w:val="clear" w:color="auto" w:fill="auto"/>
          </w:tcPr>
          <w:p w14:paraId="41196C44" w14:textId="77777777" w:rsidR="00A76279" w:rsidRDefault="00000000">
            <w:pPr>
              <w:pStyle w:val="TAN"/>
              <w:rPr>
                <w:lang w:val="en-US" w:eastAsia="zh-CN"/>
              </w:rPr>
            </w:pPr>
            <w:r>
              <w:rPr>
                <w:lang w:val="en-US" w:eastAsia="zh-CN"/>
              </w:rPr>
              <w:lastRenderedPageBreak/>
              <w:t>NOTE 1:  For each media component, “delay” refers to the case where that media component is delayed compared to the other.</w:t>
            </w:r>
          </w:p>
        </w:tc>
      </w:tr>
    </w:tbl>
    <w:p w14:paraId="5271E265" w14:textId="77777777" w:rsidR="00A76279" w:rsidRDefault="00A76279">
      <w:pPr>
        <w:spacing w:after="0"/>
      </w:pPr>
    </w:p>
    <w:p w14:paraId="76070F09" w14:textId="77777777" w:rsidR="00A76279" w:rsidRDefault="00A76279">
      <w:pPr>
        <w:spacing w:after="0"/>
      </w:pPr>
    </w:p>
    <w:p w14:paraId="07D8BE04" w14:textId="77777777" w:rsidR="00A76279" w:rsidRDefault="00000000">
      <w:pPr>
        <w:spacing w:after="0"/>
        <w:rPr>
          <w:b/>
          <w:bCs/>
        </w:rPr>
      </w:pPr>
      <w:r>
        <w:rPr>
          <w:b/>
          <w:bCs/>
        </w:rPr>
        <w:t xml:space="preserve">Observation 1: Multi-Modality applications have vastly different service requirements within the same application including requirements for data rate, latency and reliability targets. </w:t>
      </w:r>
    </w:p>
    <w:p w14:paraId="20FE48BE" w14:textId="77777777" w:rsidR="00A76279" w:rsidRDefault="00A76279">
      <w:pPr>
        <w:spacing w:after="0"/>
        <w:rPr>
          <w:b/>
          <w:bCs/>
        </w:rPr>
      </w:pPr>
    </w:p>
    <w:p w14:paraId="563957B8" w14:textId="77777777" w:rsidR="00A76279" w:rsidRDefault="00000000">
      <w:pPr>
        <w:spacing w:after="0"/>
        <w:rPr>
          <w:b/>
          <w:bCs/>
        </w:rPr>
      </w:pPr>
      <w:r>
        <w:rPr>
          <w:b/>
          <w:bCs/>
        </w:rPr>
        <w:t>Observation 2: On top of the vastly different service requirements within the same application, multi-modal application traffic also has dependencies in terms of synchronization and combined delivery for each component of the traffic</w:t>
      </w:r>
    </w:p>
    <w:p w14:paraId="70E71E9C" w14:textId="77777777" w:rsidR="00A76279" w:rsidRDefault="00A76279">
      <w:pPr>
        <w:spacing w:after="0"/>
        <w:rPr>
          <w:b/>
          <w:bCs/>
        </w:rPr>
      </w:pPr>
    </w:p>
    <w:p w14:paraId="6D8E2EAB" w14:textId="77777777" w:rsidR="00A76279" w:rsidRDefault="00000000">
      <w:pPr>
        <w:spacing w:after="0"/>
        <w:rPr>
          <w:b/>
          <w:bCs/>
        </w:rPr>
      </w:pPr>
      <w:r>
        <w:rPr>
          <w:b/>
          <w:bCs/>
        </w:rPr>
        <w:t>Observation 3: Flows with different end-to-end service requirements are mapped to different DRBs in RAN, but such handling alone cannot satisfy the synchronization and combined delivery requirements of traffic components within the multi-modal applications</w:t>
      </w:r>
    </w:p>
    <w:p w14:paraId="02A15AD3" w14:textId="77777777" w:rsidR="00A76279" w:rsidRDefault="00A76279">
      <w:pPr>
        <w:spacing w:after="0"/>
        <w:rPr>
          <w:b/>
          <w:bCs/>
        </w:rPr>
      </w:pPr>
    </w:p>
    <w:p w14:paraId="0325F825" w14:textId="77777777" w:rsidR="00A76279" w:rsidRDefault="00000000">
      <w:pPr>
        <w:spacing w:after="0"/>
      </w:pPr>
      <w:r>
        <w:t xml:space="preserve">Based on the above observations, it is clear that some enhancements are necessary for handling of multi-modality traffic in RAN. So, the following proposal is made. </w:t>
      </w:r>
    </w:p>
    <w:p w14:paraId="62AD4C5A" w14:textId="77777777" w:rsidR="00A76279" w:rsidRDefault="00A76279">
      <w:pPr>
        <w:spacing w:after="0"/>
      </w:pPr>
    </w:p>
    <w:p w14:paraId="2D571047" w14:textId="77777777" w:rsidR="00A76279" w:rsidRDefault="00000000">
      <w:pPr>
        <w:spacing w:after="0"/>
        <w:rPr>
          <w:b/>
          <w:bCs/>
        </w:rPr>
      </w:pPr>
      <w:r>
        <w:rPr>
          <w:b/>
          <w:bCs/>
        </w:rPr>
        <w:t>Proposal 1: RAN2 should specify solutions for handling the varied QoS requirements along with synchronization and combined delivery requirements of the traffic components associated with multi-modality applications</w:t>
      </w:r>
    </w:p>
    <w:p w14:paraId="5463B823" w14:textId="77777777" w:rsidR="00711CB8" w:rsidRDefault="00711CB8">
      <w:pPr>
        <w:spacing w:after="0"/>
        <w:rPr>
          <w:lang w:val="en-US" w:eastAsia="zh-CN"/>
        </w:rPr>
      </w:pPr>
    </w:p>
    <w:p w14:paraId="32CE70EA" w14:textId="109404D0" w:rsidR="00711CB8" w:rsidRDefault="00711CB8" w:rsidP="00711C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Multi-Modality Awareness in RAN</w:t>
      </w:r>
    </w:p>
    <w:p w14:paraId="00184219" w14:textId="2BB185B8" w:rsidR="00A76279" w:rsidRDefault="00000000">
      <w:pPr>
        <w:spacing w:after="0"/>
      </w:pPr>
      <w:r>
        <w:rPr>
          <w:rFonts w:hint="eastAsia"/>
          <w:lang w:val="en-US" w:eastAsia="zh-CN"/>
        </w:rPr>
        <w:t>To handle the QoS requirements for multi-modality applications</w:t>
      </w:r>
      <w:r>
        <w:t xml:space="preserve">, </w:t>
      </w:r>
      <w:r>
        <w:rPr>
          <w:rFonts w:hint="eastAsia"/>
          <w:lang w:val="en-US" w:eastAsia="zh-CN"/>
        </w:rPr>
        <w:t xml:space="preserve">the multi-modality awareness is necessary. e.g. QoS flow dependency of multi-modality applications, the PDU set dependency multi-modality applications </w:t>
      </w:r>
      <w:proofErr w:type="spellStart"/>
      <w:r>
        <w:rPr>
          <w:rFonts w:hint="eastAsia"/>
          <w:lang w:val="en-US" w:eastAsia="zh-CN"/>
        </w:rPr>
        <w:t>etc</w:t>
      </w:r>
      <w:proofErr w:type="spellEnd"/>
      <w:r>
        <w:t>.</w:t>
      </w:r>
    </w:p>
    <w:p w14:paraId="3DAC6571" w14:textId="44160CA8" w:rsidR="00A76279" w:rsidRDefault="00000000">
      <w:pPr>
        <w:spacing w:after="0"/>
        <w:rPr>
          <w:lang w:val="en-US" w:eastAsia="zh-CN"/>
        </w:rPr>
      </w:pPr>
      <w:r>
        <w:rPr>
          <w:rFonts w:hint="eastAsia"/>
          <w:lang w:val="en-US" w:eastAsia="zh-CN"/>
        </w:rPr>
        <w:t xml:space="preserve">Usually, the QoS flow dependency of multi-modality applications </w:t>
      </w:r>
      <w:proofErr w:type="gramStart"/>
      <w:r>
        <w:rPr>
          <w:rFonts w:hint="eastAsia"/>
          <w:lang w:val="en-US" w:eastAsia="zh-CN"/>
        </w:rPr>
        <w:t>is</w:t>
      </w:r>
      <w:proofErr w:type="gramEnd"/>
      <w:r>
        <w:rPr>
          <w:rFonts w:hint="eastAsia"/>
          <w:lang w:val="en-US" w:eastAsia="zh-CN"/>
        </w:rPr>
        <w:t xml:space="preserve"> provided to </w:t>
      </w:r>
      <w:proofErr w:type="spellStart"/>
      <w:r>
        <w:rPr>
          <w:rFonts w:hint="eastAsia"/>
          <w:lang w:val="en-US" w:eastAsia="zh-CN"/>
        </w:rPr>
        <w:t>gNB</w:t>
      </w:r>
      <w:proofErr w:type="spellEnd"/>
      <w:r>
        <w:rPr>
          <w:rFonts w:hint="eastAsia"/>
          <w:lang w:val="en-US" w:eastAsia="zh-CN"/>
        </w:rPr>
        <w:t xml:space="preserve"> by CP </w:t>
      </w:r>
      <w:proofErr w:type="spellStart"/>
      <w:r>
        <w:rPr>
          <w:rFonts w:hint="eastAsia"/>
          <w:lang w:val="en-US" w:eastAsia="zh-CN"/>
        </w:rPr>
        <w:t>signalling</w:t>
      </w:r>
      <w:proofErr w:type="spellEnd"/>
      <w:r w:rsidR="00711CB8">
        <w:rPr>
          <w:lang w:val="en-US" w:eastAsia="zh-CN"/>
        </w:rPr>
        <w:t xml:space="preserve"> </w:t>
      </w:r>
      <w:r>
        <w:rPr>
          <w:rFonts w:hint="eastAsia"/>
          <w:lang w:val="en-US" w:eastAsia="zh-CN"/>
        </w:rPr>
        <w:t xml:space="preserve">(e.g. UAI in </w:t>
      </w:r>
      <w:proofErr w:type="spellStart"/>
      <w:r>
        <w:rPr>
          <w:rFonts w:hint="eastAsia"/>
          <w:lang w:val="en-US" w:eastAsia="zh-CN"/>
        </w:rPr>
        <w:t>Uu</w:t>
      </w:r>
      <w:proofErr w:type="spellEnd"/>
      <w:r>
        <w:rPr>
          <w:rFonts w:hint="eastAsia"/>
          <w:lang w:val="en-US" w:eastAsia="zh-CN"/>
        </w:rPr>
        <w:t xml:space="preserve"> interface or NGAP </w:t>
      </w:r>
      <w:proofErr w:type="spellStart"/>
      <w:r>
        <w:rPr>
          <w:rFonts w:hint="eastAsia"/>
          <w:lang w:val="en-US" w:eastAsia="zh-CN"/>
        </w:rPr>
        <w:t>signalling</w:t>
      </w:r>
      <w:proofErr w:type="spellEnd"/>
      <w:r>
        <w:rPr>
          <w:rFonts w:hint="eastAsia"/>
          <w:lang w:val="en-US" w:eastAsia="zh-CN"/>
        </w:rPr>
        <w:t>), which is used for QoS flows/LCHs/DRBs mapping; and the PDU set dependency multi-modality applications are provided by UP</w:t>
      </w:r>
      <w:r w:rsidR="00711CB8">
        <w:rPr>
          <w:lang w:val="en-US" w:eastAsia="zh-CN"/>
        </w:rPr>
        <w:t xml:space="preserve"> </w:t>
      </w:r>
      <w:r>
        <w:rPr>
          <w:rFonts w:hint="eastAsia"/>
          <w:lang w:val="en-US" w:eastAsia="zh-CN"/>
        </w:rPr>
        <w:t xml:space="preserve">(e.g. in GTP-U header in DL, or implemented by UE in UL), which are used or UP scheduling and/or PDU set discarding. </w:t>
      </w:r>
    </w:p>
    <w:p w14:paraId="6793B893" w14:textId="77777777" w:rsidR="00711CB8" w:rsidRDefault="00711CB8">
      <w:pPr>
        <w:spacing w:after="0"/>
        <w:rPr>
          <w:lang w:val="en-US" w:eastAsia="zh-CN"/>
        </w:rPr>
      </w:pPr>
    </w:p>
    <w:p w14:paraId="30A228AF" w14:textId="1A96F295" w:rsidR="00711CB8" w:rsidRDefault="00711CB8">
      <w:pPr>
        <w:spacing w:after="0"/>
        <w:rPr>
          <w:lang w:val="en-US" w:eastAsia="zh-CN"/>
        </w:rPr>
      </w:pPr>
      <w:r w:rsidRPr="00711CB8">
        <w:rPr>
          <w:b/>
          <w:bCs/>
          <w:lang w:val="en-US" w:eastAsia="zh-CN"/>
        </w:rPr>
        <w:t xml:space="preserve">Proposal 2: RAN level awareness for multi-modality is required to support multi-modal applications and such awareness can be either provided to RAN by the UE using UAI or via NGAP </w:t>
      </w:r>
      <w:proofErr w:type="spellStart"/>
      <w:r w:rsidRPr="00711CB8">
        <w:rPr>
          <w:b/>
          <w:bCs/>
          <w:lang w:val="en-US" w:eastAsia="zh-CN"/>
        </w:rPr>
        <w:t>signalling</w:t>
      </w:r>
      <w:proofErr w:type="spellEnd"/>
      <w:r w:rsidRPr="00711CB8">
        <w:rPr>
          <w:b/>
          <w:bCs/>
          <w:lang w:val="en-US" w:eastAsia="zh-CN"/>
        </w:rPr>
        <w:t xml:space="preserve"> from CN (</w:t>
      </w:r>
      <w:r>
        <w:rPr>
          <w:b/>
          <w:bCs/>
          <w:lang w:val="en-US" w:eastAsia="zh-CN"/>
        </w:rPr>
        <w:t xml:space="preserve">the latter is </w:t>
      </w:r>
      <w:r w:rsidRPr="00711CB8">
        <w:rPr>
          <w:b/>
          <w:bCs/>
          <w:lang w:val="en-US" w:eastAsia="zh-CN"/>
        </w:rPr>
        <w:t>up to SA2</w:t>
      </w:r>
      <w:r>
        <w:rPr>
          <w:b/>
          <w:bCs/>
          <w:lang w:val="en-US" w:eastAsia="zh-CN"/>
        </w:rPr>
        <w:t xml:space="preserve"> and we can send an LS asking them for further information</w:t>
      </w:r>
      <w:r w:rsidRPr="00711CB8">
        <w:rPr>
          <w:b/>
          <w:bCs/>
          <w:lang w:val="en-US" w:eastAsia="zh-CN"/>
        </w:rPr>
        <w:t>)</w:t>
      </w:r>
      <w:r>
        <w:rPr>
          <w:lang w:val="en-US" w:eastAsia="zh-CN"/>
        </w:rPr>
        <w:t xml:space="preserve"> </w:t>
      </w:r>
    </w:p>
    <w:p w14:paraId="3D5C3CE3" w14:textId="77777777" w:rsidR="00711CB8" w:rsidRDefault="00711CB8">
      <w:pPr>
        <w:spacing w:after="0"/>
        <w:rPr>
          <w:lang w:val="en-US" w:eastAsia="zh-CN"/>
        </w:rPr>
      </w:pPr>
    </w:p>
    <w:p w14:paraId="395B702E"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Multi-Modality support in UL</w:t>
      </w:r>
    </w:p>
    <w:p w14:paraId="03EB5FF1" w14:textId="77777777" w:rsidR="00A76279" w:rsidRDefault="00000000">
      <w:pPr>
        <w:spacing w:after="0"/>
      </w:pPr>
      <w:r>
        <w:t xml:space="preserve">As noted above, when traffic with different QoS requirements is present in RAN, the traffic is mapped to different DRBs. Changing this basic structure in RAN is not ideal as this will have implications on general QoS structure on which NR RAN level QoS handling is dependent on. </w:t>
      </w:r>
    </w:p>
    <w:p w14:paraId="77CC621C" w14:textId="6098F2A1" w:rsidR="00A76279" w:rsidRDefault="00000000">
      <w:pPr>
        <w:spacing w:after="0"/>
        <w:rPr>
          <w:b/>
          <w:bCs/>
        </w:rPr>
      </w:pPr>
      <w:r>
        <w:rPr>
          <w:b/>
          <w:bCs/>
        </w:rPr>
        <w:t xml:space="preserve">Proposal </w:t>
      </w:r>
      <w:r w:rsidR="00711CB8">
        <w:rPr>
          <w:b/>
          <w:bCs/>
        </w:rPr>
        <w:t>3</w:t>
      </w:r>
      <w:r>
        <w:rPr>
          <w:b/>
          <w:bCs/>
        </w:rPr>
        <w:t xml:space="preserve">: In case of multi-modality traffic, traffic with vastly different end-to-end QoS requirements (e.g. haptic data and video/audio) may be mapped to different DRBs </w:t>
      </w:r>
    </w:p>
    <w:p w14:paraId="76DCC9E6" w14:textId="77777777" w:rsidR="00A76279" w:rsidRDefault="00A76279">
      <w:pPr>
        <w:spacing w:after="0"/>
      </w:pPr>
    </w:p>
    <w:p w14:paraId="0F3A74F8" w14:textId="77777777" w:rsidR="00A76279" w:rsidRDefault="00000000">
      <w:pPr>
        <w:spacing w:after="0"/>
      </w:pPr>
      <w:r>
        <w:t xml:space="preserve">However, RAN should be aware of the associated dependencies between traffic components. These dependencies can be static and/or dynamic. As an example, the haptic data may be associated with the audio/video information at a high level, such association is worth knowing at the </w:t>
      </w:r>
      <w:proofErr w:type="spellStart"/>
      <w:r>
        <w:t>gNB</w:t>
      </w:r>
      <w:proofErr w:type="spellEnd"/>
      <w:r>
        <w:t xml:space="preserve"> so that the </w:t>
      </w:r>
      <w:proofErr w:type="spellStart"/>
      <w:r>
        <w:t>gNB</w:t>
      </w:r>
      <w:proofErr w:type="spellEnd"/>
      <w:r>
        <w:t xml:space="preserve"> scheduler can take this into account in scheduling decisions. On the other hand, the associated synchronization requirements between various components of traffic will need to be reported dynamically during the session to the </w:t>
      </w:r>
      <w:proofErr w:type="spellStart"/>
      <w:r>
        <w:t>gNB</w:t>
      </w:r>
      <w:proofErr w:type="spellEnd"/>
      <w:r>
        <w:t xml:space="preserve"> so that the scheduler can ensure availability of radio resources in time. The mapping of the QoS flows to DRBs is done mainly taking into account the end-to-end latency and bit rate targets at RAN. Once the mapping is done, the UE will be able to determine the associated dependencies between DRBs and this can be informed to RAN after the DRBs are setup. This information can be provided by the UE to </w:t>
      </w:r>
      <w:proofErr w:type="spellStart"/>
      <w:r>
        <w:t>gNB</w:t>
      </w:r>
      <w:proofErr w:type="spellEnd"/>
      <w:r>
        <w:t xml:space="preserve"> via UAI. The dependency information may include a simple indication to convey that there is a synchronization requirement associated with the DRBs, but it may also indicate the exact values (e.g. synchronization thresholds associated between DRBs). </w:t>
      </w:r>
    </w:p>
    <w:p w14:paraId="50A5FDAC" w14:textId="77777777" w:rsidR="00A76279" w:rsidRDefault="00A76279">
      <w:pPr>
        <w:spacing w:after="0"/>
      </w:pPr>
    </w:p>
    <w:p w14:paraId="0B019670" w14:textId="49CB097E" w:rsidR="00A76279" w:rsidRDefault="00000000">
      <w:pPr>
        <w:spacing w:after="0"/>
        <w:rPr>
          <w:b/>
          <w:bCs/>
        </w:rPr>
      </w:pPr>
      <w:r>
        <w:rPr>
          <w:b/>
          <w:bCs/>
        </w:rPr>
        <w:t xml:space="preserve">Proposal </w:t>
      </w:r>
      <w:r w:rsidR="00711CB8">
        <w:rPr>
          <w:b/>
          <w:bCs/>
        </w:rPr>
        <w:t>4</w:t>
      </w:r>
      <w:r>
        <w:rPr>
          <w:b/>
          <w:bCs/>
        </w:rPr>
        <w:t xml:space="preserve">: Upon configuration of the QoS flow to DRB association (and upon reconfiguration), the UE may determine the associated dependencies between DRBs for UL and provide this information to </w:t>
      </w:r>
      <w:proofErr w:type="spellStart"/>
      <w:r>
        <w:rPr>
          <w:b/>
          <w:bCs/>
        </w:rPr>
        <w:t>gNB</w:t>
      </w:r>
      <w:proofErr w:type="spellEnd"/>
      <w:r>
        <w:rPr>
          <w:b/>
          <w:bCs/>
        </w:rPr>
        <w:t xml:space="preserve"> via UAI. </w:t>
      </w:r>
    </w:p>
    <w:p w14:paraId="56F51031" w14:textId="77777777" w:rsidR="00A76279" w:rsidRDefault="00A76279">
      <w:pPr>
        <w:spacing w:after="0"/>
        <w:rPr>
          <w:b/>
          <w:bCs/>
        </w:rPr>
      </w:pPr>
    </w:p>
    <w:p w14:paraId="127B08E9" w14:textId="37CA20BA" w:rsidR="00A76279" w:rsidRDefault="00000000">
      <w:pPr>
        <w:spacing w:after="0"/>
        <w:rPr>
          <w:b/>
          <w:bCs/>
        </w:rPr>
      </w:pPr>
      <w:r>
        <w:rPr>
          <w:b/>
          <w:bCs/>
        </w:rPr>
        <w:t xml:space="preserve">Proposal </w:t>
      </w:r>
      <w:r w:rsidR="00711CB8">
        <w:rPr>
          <w:b/>
          <w:bCs/>
        </w:rPr>
        <w:t>5</w:t>
      </w:r>
      <w:r>
        <w:rPr>
          <w:b/>
          <w:bCs/>
        </w:rPr>
        <w:t>: The UAI providing the dependencies between DRBs may include an indication that the DRBs have a synchronization requirement and may in addition provide the exact value of synchronization target across the DRBs</w:t>
      </w:r>
    </w:p>
    <w:p w14:paraId="151195B5" w14:textId="77777777" w:rsidR="00A76279" w:rsidRDefault="00A76279">
      <w:pPr>
        <w:spacing w:after="0"/>
        <w:rPr>
          <w:b/>
          <w:bCs/>
        </w:rPr>
      </w:pPr>
    </w:p>
    <w:p w14:paraId="5EA90A08" w14:textId="77777777" w:rsidR="00A76279" w:rsidRDefault="00000000">
      <w:pPr>
        <w:spacing w:after="0"/>
      </w:pPr>
      <w:r>
        <w:t xml:space="preserve">In addition to the static association above, when the actual traffic is generated, the </w:t>
      </w:r>
      <w:proofErr w:type="spellStart"/>
      <w:r>
        <w:t>gNB</w:t>
      </w:r>
      <w:proofErr w:type="spellEnd"/>
      <w:r>
        <w:t xml:space="preserve"> scheduler needs to know the timing dependencies across DRBs for the generated traffic. UAI is not suitable for reporting such dynamic dependency. Some additional dynamic signalling e.g. within the UP (e.g. </w:t>
      </w:r>
      <w:proofErr w:type="spellStart"/>
      <w:r>
        <w:t>inband</w:t>
      </w:r>
      <w:proofErr w:type="spellEnd"/>
      <w:r>
        <w:t xml:space="preserve"> signalling using PDCP level indications) or dynamic indications of dependencies within MAC layer (e.g. using MAC CEs) will be needed for this purpose. MAC level indications are more suitable than PDCP level indications as these indications are time sensitive and should not be blocked by other traffic. Based on this we make the following additional proposal. </w:t>
      </w:r>
    </w:p>
    <w:p w14:paraId="15F2C779" w14:textId="69AB7A18" w:rsidR="00A76279" w:rsidRDefault="00000000">
      <w:pPr>
        <w:spacing w:after="0"/>
        <w:rPr>
          <w:b/>
          <w:bCs/>
        </w:rPr>
      </w:pPr>
      <w:r>
        <w:rPr>
          <w:b/>
          <w:bCs/>
        </w:rPr>
        <w:t xml:space="preserve">Proposal </w:t>
      </w:r>
      <w:r w:rsidR="00711CB8">
        <w:rPr>
          <w:b/>
          <w:bCs/>
        </w:rPr>
        <w:t>6</w:t>
      </w:r>
      <w:r>
        <w:rPr>
          <w:b/>
          <w:bCs/>
        </w:rPr>
        <w:t xml:space="preserve">: Additional MAC level signalling can be used to indicate dynamic dependencies for synchronization between data within different DRBs </w:t>
      </w:r>
    </w:p>
    <w:p w14:paraId="1DDB3C62" w14:textId="77777777" w:rsidR="00A76279" w:rsidRDefault="00A76279">
      <w:pPr>
        <w:spacing w:after="0"/>
        <w:rPr>
          <w:b/>
          <w:bCs/>
        </w:rPr>
      </w:pPr>
    </w:p>
    <w:p w14:paraId="7EA843C1"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Multi-Modality support in DL</w:t>
      </w:r>
    </w:p>
    <w:p w14:paraId="183C403F" w14:textId="77777777" w:rsidR="00A76279" w:rsidRDefault="00000000">
      <w:r>
        <w:t xml:space="preserve">Similar to UL Multi-Modality support in DL would require the </w:t>
      </w:r>
      <w:proofErr w:type="spellStart"/>
      <w:r>
        <w:t>gNB</w:t>
      </w:r>
      <w:proofErr w:type="spellEnd"/>
      <w:r>
        <w:t xml:space="preserve"> to be aware of the dependencies across traffic streams for DL traffic. Such dependencies may be useful for </w:t>
      </w:r>
      <w:proofErr w:type="spellStart"/>
      <w:r>
        <w:t>gNB</w:t>
      </w:r>
      <w:proofErr w:type="spellEnd"/>
      <w:r>
        <w:t xml:space="preserve"> both at the session establishment time as well as during the session (similar to UL). Static DL dependencies may be known both at the application server and also at the UE side. So, for the static DL dependencies across multi-modal flows, UAI may be used as a baseline. </w:t>
      </w:r>
    </w:p>
    <w:p w14:paraId="5A79718C" w14:textId="79999E26" w:rsidR="00A76279" w:rsidRDefault="00000000">
      <w:pPr>
        <w:rPr>
          <w:b/>
          <w:bCs/>
        </w:rPr>
      </w:pPr>
      <w:r>
        <w:rPr>
          <w:b/>
          <w:bCs/>
        </w:rPr>
        <w:t xml:space="preserve">Proposal </w:t>
      </w:r>
      <w:r w:rsidR="00711CB8">
        <w:rPr>
          <w:b/>
          <w:bCs/>
        </w:rPr>
        <w:t>7</w:t>
      </w:r>
      <w:r>
        <w:rPr>
          <w:b/>
          <w:bCs/>
        </w:rPr>
        <w:t xml:space="preserve">: UAI can be used also by the UE to inform the </w:t>
      </w:r>
      <w:proofErr w:type="spellStart"/>
      <w:r>
        <w:rPr>
          <w:b/>
          <w:bCs/>
        </w:rPr>
        <w:t>gNB</w:t>
      </w:r>
      <w:proofErr w:type="spellEnd"/>
      <w:r>
        <w:rPr>
          <w:b/>
          <w:bCs/>
        </w:rPr>
        <w:t xml:space="preserve"> about static dependencies between data mapped to different DRBs in DL</w:t>
      </w:r>
    </w:p>
    <w:p w14:paraId="0005FEB3" w14:textId="77777777" w:rsidR="00A76279" w:rsidRDefault="00000000">
      <w:pPr>
        <w:spacing w:after="0"/>
      </w:pPr>
      <w:r>
        <w:t xml:space="preserve">However, the dynamic dependencies between traffic components in DL need to be indicated more frequently and this information is not available at the UE. Such information has to be included </w:t>
      </w:r>
      <w:proofErr w:type="spellStart"/>
      <w:r>
        <w:t>inband</w:t>
      </w:r>
      <w:proofErr w:type="spellEnd"/>
      <w:r>
        <w:t xml:space="preserve"> either with the DL data or by some other means from CN to RAN. Discussion on this aspect can only proceed with support from SA2/RAN3 groups. So, we propose to send an LS to these groups asking for further information on if and how dynamic dependencies between traffic components in DL can be indicated to RAN. </w:t>
      </w:r>
    </w:p>
    <w:p w14:paraId="2D11B2EF" w14:textId="77777777" w:rsidR="00EF5901" w:rsidRDefault="00EF5901">
      <w:pPr>
        <w:spacing w:after="0"/>
      </w:pPr>
    </w:p>
    <w:p w14:paraId="0108CFA7" w14:textId="7D6CCC20" w:rsidR="00A76279" w:rsidRDefault="00000000">
      <w:pPr>
        <w:spacing w:after="0"/>
        <w:rPr>
          <w:b/>
          <w:bCs/>
        </w:rPr>
      </w:pPr>
      <w:r>
        <w:rPr>
          <w:b/>
          <w:bCs/>
        </w:rPr>
        <w:t xml:space="preserve">Proposal </w:t>
      </w:r>
      <w:r w:rsidR="00711CB8">
        <w:rPr>
          <w:b/>
          <w:bCs/>
        </w:rPr>
        <w:t>8</w:t>
      </w:r>
      <w:r>
        <w:rPr>
          <w:b/>
          <w:bCs/>
        </w:rPr>
        <w:t>: Send an LS to SA2/RAN3 asking for information regarding if and how dynamic dependencies between multi-modal traffic components can be handled for DL traffic</w:t>
      </w:r>
    </w:p>
    <w:p w14:paraId="4A12FD1B"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584C838" w14:textId="5F279205" w:rsidR="00A76279" w:rsidRDefault="00000000">
      <w:r>
        <w:t xml:space="preserve">The following </w:t>
      </w:r>
      <w:r w:rsidR="00BC425F">
        <w:t>observations/</w:t>
      </w:r>
      <w:r>
        <w:t xml:space="preserve">proposals are made: </w:t>
      </w:r>
    </w:p>
    <w:p w14:paraId="02ADE791" w14:textId="77777777" w:rsidR="00BC425F" w:rsidRDefault="00BC425F" w:rsidP="00BC425F">
      <w:pPr>
        <w:spacing w:after="0"/>
        <w:rPr>
          <w:b/>
          <w:bCs/>
        </w:rPr>
      </w:pPr>
      <w:r>
        <w:rPr>
          <w:b/>
          <w:bCs/>
        </w:rPr>
        <w:t xml:space="preserve">Observation 1: Multi-Modality applications have vastly different service requirements within the same application including requirements for data rate, latency and reliability targets. </w:t>
      </w:r>
    </w:p>
    <w:p w14:paraId="64994E49" w14:textId="77777777" w:rsidR="00BC425F" w:rsidRDefault="00BC425F" w:rsidP="00BC425F">
      <w:pPr>
        <w:spacing w:after="0"/>
        <w:rPr>
          <w:b/>
          <w:bCs/>
        </w:rPr>
      </w:pPr>
    </w:p>
    <w:p w14:paraId="685D3198" w14:textId="77777777" w:rsidR="00BC425F" w:rsidRDefault="00BC425F" w:rsidP="00BC425F">
      <w:pPr>
        <w:spacing w:after="0"/>
        <w:rPr>
          <w:b/>
          <w:bCs/>
        </w:rPr>
      </w:pPr>
      <w:r>
        <w:rPr>
          <w:b/>
          <w:bCs/>
        </w:rPr>
        <w:t>Observation 2: On top of the vastly different service requirements within the same application, multi-modal application traffic also has dependencies in terms of synchronization and combined delivery for each component of the traffic</w:t>
      </w:r>
    </w:p>
    <w:p w14:paraId="5A44745A" w14:textId="77777777" w:rsidR="00BC425F" w:rsidRDefault="00BC425F" w:rsidP="00BC425F">
      <w:pPr>
        <w:spacing w:after="0"/>
        <w:rPr>
          <w:b/>
          <w:bCs/>
        </w:rPr>
      </w:pPr>
    </w:p>
    <w:p w14:paraId="0F307C43" w14:textId="77777777" w:rsidR="00BC425F" w:rsidRDefault="00BC425F" w:rsidP="00BC425F">
      <w:pPr>
        <w:spacing w:after="0"/>
        <w:rPr>
          <w:b/>
          <w:bCs/>
        </w:rPr>
      </w:pPr>
      <w:r>
        <w:rPr>
          <w:b/>
          <w:bCs/>
        </w:rPr>
        <w:t>Observation 3: Flows with different end-to-end service requirements are mapped to different DRBs in RAN, but such handling alone cannot satisfy the synchronization and combined delivery requirements of traffic components within the multi-modal applications</w:t>
      </w:r>
    </w:p>
    <w:p w14:paraId="6AD4FAF2" w14:textId="77777777" w:rsidR="00BC425F" w:rsidRDefault="00BC425F" w:rsidP="00BC425F">
      <w:pPr>
        <w:spacing w:after="0"/>
        <w:rPr>
          <w:b/>
          <w:bCs/>
        </w:rPr>
      </w:pPr>
    </w:p>
    <w:p w14:paraId="521BC877" w14:textId="77777777" w:rsidR="00BC425F" w:rsidRDefault="00BC425F" w:rsidP="00BC425F">
      <w:pPr>
        <w:spacing w:after="0"/>
        <w:rPr>
          <w:b/>
          <w:bCs/>
        </w:rPr>
      </w:pPr>
      <w:r>
        <w:rPr>
          <w:b/>
          <w:bCs/>
        </w:rPr>
        <w:t>Proposal 1: RAN2 should specify solutions for handling the varied QoS requirements along with synchronization and combined delivery requirements of the traffic components associated with multi-modality applications</w:t>
      </w:r>
    </w:p>
    <w:p w14:paraId="5D17BEA4" w14:textId="77777777" w:rsidR="00BC425F" w:rsidRDefault="00BC425F" w:rsidP="00BC425F">
      <w:pPr>
        <w:spacing w:after="0"/>
        <w:rPr>
          <w:b/>
          <w:bCs/>
        </w:rPr>
      </w:pPr>
    </w:p>
    <w:p w14:paraId="0EE66AEE" w14:textId="77777777" w:rsidR="00BC425F" w:rsidRDefault="00BC425F" w:rsidP="00BC425F">
      <w:pPr>
        <w:spacing w:after="0"/>
        <w:rPr>
          <w:lang w:val="en-US" w:eastAsia="zh-CN"/>
        </w:rPr>
      </w:pPr>
      <w:r w:rsidRPr="00711CB8">
        <w:rPr>
          <w:b/>
          <w:bCs/>
          <w:lang w:val="en-US" w:eastAsia="zh-CN"/>
        </w:rPr>
        <w:t xml:space="preserve">Proposal 2: RAN level awareness for multi-modality is required to support multi-modal applications and such awareness can be either provided to RAN by the UE using UAI or via NGAP </w:t>
      </w:r>
      <w:proofErr w:type="spellStart"/>
      <w:r w:rsidRPr="00711CB8">
        <w:rPr>
          <w:b/>
          <w:bCs/>
          <w:lang w:val="en-US" w:eastAsia="zh-CN"/>
        </w:rPr>
        <w:t>signalling</w:t>
      </w:r>
      <w:proofErr w:type="spellEnd"/>
      <w:r w:rsidRPr="00711CB8">
        <w:rPr>
          <w:b/>
          <w:bCs/>
          <w:lang w:val="en-US" w:eastAsia="zh-CN"/>
        </w:rPr>
        <w:t xml:space="preserve"> from CN (</w:t>
      </w:r>
      <w:r>
        <w:rPr>
          <w:b/>
          <w:bCs/>
          <w:lang w:val="en-US" w:eastAsia="zh-CN"/>
        </w:rPr>
        <w:t xml:space="preserve">the latter is </w:t>
      </w:r>
      <w:r w:rsidRPr="00711CB8">
        <w:rPr>
          <w:b/>
          <w:bCs/>
          <w:lang w:val="en-US" w:eastAsia="zh-CN"/>
        </w:rPr>
        <w:t>up to SA2</w:t>
      </w:r>
      <w:r>
        <w:rPr>
          <w:b/>
          <w:bCs/>
          <w:lang w:val="en-US" w:eastAsia="zh-CN"/>
        </w:rPr>
        <w:t xml:space="preserve"> and we can send an LS asking them for further information</w:t>
      </w:r>
      <w:r w:rsidRPr="00711CB8">
        <w:rPr>
          <w:b/>
          <w:bCs/>
          <w:lang w:val="en-US" w:eastAsia="zh-CN"/>
        </w:rPr>
        <w:t>)</w:t>
      </w:r>
      <w:r>
        <w:rPr>
          <w:lang w:val="en-US" w:eastAsia="zh-CN"/>
        </w:rPr>
        <w:t xml:space="preserve"> </w:t>
      </w:r>
    </w:p>
    <w:p w14:paraId="6671A5AE" w14:textId="77777777" w:rsidR="00BC425F" w:rsidRDefault="00BC425F" w:rsidP="00BC425F">
      <w:pPr>
        <w:spacing w:after="0"/>
        <w:rPr>
          <w:lang w:val="en-US" w:eastAsia="zh-CN"/>
        </w:rPr>
      </w:pPr>
    </w:p>
    <w:p w14:paraId="38A0DCF1" w14:textId="77777777" w:rsidR="00BC425F" w:rsidRDefault="00BC425F" w:rsidP="00BC425F">
      <w:pPr>
        <w:spacing w:after="0"/>
        <w:rPr>
          <w:b/>
          <w:bCs/>
        </w:rPr>
      </w:pPr>
      <w:r>
        <w:rPr>
          <w:b/>
          <w:bCs/>
        </w:rPr>
        <w:t xml:space="preserve">Proposal 3: In case of multi-modality traffic, traffic with vastly different end-to-end QoS requirements (e.g. haptic data and video/audio) may be mapped to different DRBs </w:t>
      </w:r>
    </w:p>
    <w:p w14:paraId="32E4CDF2" w14:textId="77777777" w:rsidR="00BC425F" w:rsidRDefault="00BC425F" w:rsidP="00BC425F">
      <w:pPr>
        <w:spacing w:after="0"/>
        <w:rPr>
          <w:b/>
          <w:bCs/>
        </w:rPr>
      </w:pPr>
    </w:p>
    <w:p w14:paraId="0E48D109" w14:textId="77777777" w:rsidR="00BC425F" w:rsidRDefault="00BC425F" w:rsidP="00BC425F">
      <w:pPr>
        <w:spacing w:after="0"/>
        <w:rPr>
          <w:b/>
          <w:bCs/>
        </w:rPr>
      </w:pPr>
      <w:r>
        <w:rPr>
          <w:b/>
          <w:bCs/>
        </w:rPr>
        <w:t xml:space="preserve">Proposal 4: Upon configuration of the QoS flow to DRB association (and upon reconfiguration), the UE may determine the associated dependencies between DRBs for UL and provide this information to </w:t>
      </w:r>
      <w:proofErr w:type="spellStart"/>
      <w:r>
        <w:rPr>
          <w:b/>
          <w:bCs/>
        </w:rPr>
        <w:t>gNB</w:t>
      </w:r>
      <w:proofErr w:type="spellEnd"/>
      <w:r>
        <w:rPr>
          <w:b/>
          <w:bCs/>
        </w:rPr>
        <w:t xml:space="preserve"> via UAI. </w:t>
      </w:r>
    </w:p>
    <w:p w14:paraId="1A8804B0" w14:textId="77777777" w:rsidR="00BC425F" w:rsidRDefault="00BC425F" w:rsidP="00BC425F">
      <w:pPr>
        <w:spacing w:after="0"/>
        <w:rPr>
          <w:b/>
          <w:bCs/>
        </w:rPr>
      </w:pPr>
    </w:p>
    <w:p w14:paraId="6F28932D" w14:textId="77777777" w:rsidR="00BC425F" w:rsidRDefault="00BC425F" w:rsidP="00BC425F">
      <w:pPr>
        <w:spacing w:after="0"/>
        <w:rPr>
          <w:b/>
          <w:bCs/>
        </w:rPr>
      </w:pPr>
      <w:r>
        <w:rPr>
          <w:b/>
          <w:bCs/>
        </w:rPr>
        <w:t>Proposal 5: The UAI providing the dependencies between DRBs may include an indication that the DRBs have a synchronization requirement and may in addition provide the exact value of synchronization target across the DRBs</w:t>
      </w:r>
    </w:p>
    <w:p w14:paraId="1698A677" w14:textId="77777777" w:rsidR="00BC425F" w:rsidRDefault="00BC425F" w:rsidP="00BC425F">
      <w:pPr>
        <w:spacing w:after="0"/>
        <w:rPr>
          <w:b/>
          <w:bCs/>
        </w:rPr>
      </w:pPr>
    </w:p>
    <w:p w14:paraId="02A30AE1" w14:textId="77777777" w:rsidR="00BC425F" w:rsidRDefault="00BC425F" w:rsidP="00BC425F">
      <w:pPr>
        <w:spacing w:after="0"/>
        <w:rPr>
          <w:b/>
          <w:bCs/>
        </w:rPr>
      </w:pPr>
      <w:r>
        <w:rPr>
          <w:b/>
          <w:bCs/>
        </w:rPr>
        <w:t xml:space="preserve">Proposal 6: Additional MAC level signalling can be used to indicate dynamic dependencies for synchronization between data within different DRBs </w:t>
      </w:r>
    </w:p>
    <w:p w14:paraId="4A5B9275" w14:textId="77777777" w:rsidR="00BC425F" w:rsidRDefault="00BC425F" w:rsidP="00BC425F">
      <w:pPr>
        <w:spacing w:after="0"/>
        <w:rPr>
          <w:b/>
          <w:bCs/>
        </w:rPr>
      </w:pPr>
    </w:p>
    <w:p w14:paraId="43E51202" w14:textId="77777777" w:rsidR="00BC425F" w:rsidRDefault="00BC425F" w:rsidP="00BC425F">
      <w:pPr>
        <w:rPr>
          <w:b/>
          <w:bCs/>
        </w:rPr>
      </w:pPr>
      <w:r>
        <w:rPr>
          <w:b/>
          <w:bCs/>
        </w:rPr>
        <w:t xml:space="preserve">Proposal 7: UAI can be used also by the UE to inform the </w:t>
      </w:r>
      <w:proofErr w:type="spellStart"/>
      <w:r>
        <w:rPr>
          <w:b/>
          <w:bCs/>
        </w:rPr>
        <w:t>gNB</w:t>
      </w:r>
      <w:proofErr w:type="spellEnd"/>
      <w:r>
        <w:rPr>
          <w:b/>
          <w:bCs/>
        </w:rPr>
        <w:t xml:space="preserve"> about static dependencies between data mapped to different DRBs in DL</w:t>
      </w:r>
    </w:p>
    <w:p w14:paraId="45F0C061" w14:textId="77777777" w:rsidR="00BC425F" w:rsidRDefault="00BC425F" w:rsidP="00BC425F">
      <w:pPr>
        <w:spacing w:after="0"/>
        <w:rPr>
          <w:b/>
          <w:bCs/>
        </w:rPr>
      </w:pPr>
      <w:r>
        <w:rPr>
          <w:b/>
          <w:bCs/>
        </w:rPr>
        <w:t>Proposal 8: Send an LS to SA2/RAN3 asking for information regarding if and how dynamic dependencies between multi-modal traffic components can be handled for DL traffic</w:t>
      </w:r>
    </w:p>
    <w:p w14:paraId="6201FF95" w14:textId="77777777" w:rsidR="00A76279" w:rsidRDefault="00A76279">
      <w:pPr>
        <w:spacing w:after="0"/>
        <w:rPr>
          <w:b/>
          <w:bCs/>
        </w:rPr>
      </w:pPr>
      <w:bookmarkStart w:id="6" w:name="_Toc18403976"/>
      <w:bookmarkStart w:id="7" w:name="_Toc18404543"/>
      <w:bookmarkStart w:id="8" w:name="_Toc18413612"/>
    </w:p>
    <w:p w14:paraId="01B6DEE9" w14:textId="77777777" w:rsidR="00A7627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F9233B6" w14:textId="77777777" w:rsidR="00A76279" w:rsidRDefault="00000000">
      <w:pPr>
        <w:pStyle w:val="NormalWeb"/>
        <w:numPr>
          <w:ilvl w:val="0"/>
          <w:numId w:val="6"/>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06D6A743" w14:textId="77777777" w:rsidR="00A76279" w:rsidRDefault="00000000">
      <w:pPr>
        <w:pStyle w:val="NormalWeb"/>
        <w:numPr>
          <w:ilvl w:val="0"/>
          <w:numId w:val="6"/>
        </w:numPr>
        <w:spacing w:before="75" w:beforeAutospacing="0" w:after="75" w:afterAutospacing="0" w:line="315" w:lineRule="atLeast"/>
        <w:rPr>
          <w:rFonts w:cs="Arial"/>
          <w:color w:val="000000"/>
          <w:sz w:val="21"/>
        </w:rPr>
      </w:pPr>
      <w:bookmarkStart w:id="10" w:name="_Ref162869763"/>
      <w:r>
        <w:rPr>
          <w:rFonts w:cs="Arial"/>
          <w:color w:val="000000"/>
          <w:sz w:val="21"/>
        </w:rPr>
        <w:t>3GPP TR 22.847, Study on supporting tactile and multi-modality communication services, Rel-18</w:t>
      </w:r>
      <w:bookmarkEnd w:id="10"/>
    </w:p>
    <w:sectPr w:rsidR="00A76279">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5CE3E" w14:textId="77777777" w:rsidR="00274CDA" w:rsidRDefault="00274CDA">
      <w:pPr>
        <w:spacing w:line="240" w:lineRule="auto"/>
      </w:pPr>
      <w:r>
        <w:separator/>
      </w:r>
    </w:p>
  </w:endnote>
  <w:endnote w:type="continuationSeparator" w:id="0">
    <w:p w14:paraId="0F09521C" w14:textId="77777777" w:rsidR="00274CDA" w:rsidRDefault="00274C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3B064" w14:textId="77777777" w:rsidR="00A7627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A32B65C" w14:textId="77777777" w:rsidR="00A76279" w:rsidRDefault="00A762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B9CB5" w14:textId="77777777" w:rsidR="00A76279" w:rsidRDefault="00A7627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65213" w14:textId="77777777" w:rsidR="00711CB8" w:rsidRDefault="00711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B0E5D" w14:textId="77777777" w:rsidR="00274CDA" w:rsidRDefault="00274CDA">
      <w:pPr>
        <w:spacing w:after="0"/>
      </w:pPr>
      <w:r>
        <w:separator/>
      </w:r>
    </w:p>
  </w:footnote>
  <w:footnote w:type="continuationSeparator" w:id="0">
    <w:p w14:paraId="60C33D8E" w14:textId="77777777" w:rsidR="00274CDA" w:rsidRDefault="00274C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D2" w14:textId="77777777" w:rsidR="00711CB8" w:rsidRDefault="00711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68787" w14:textId="77777777" w:rsidR="00711CB8" w:rsidRDefault="00711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7A1AF" w14:textId="77777777" w:rsidR="00711CB8" w:rsidRDefault="00711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67545871">
    <w:abstractNumId w:val="0"/>
  </w:num>
  <w:num w:numId="2" w16cid:durableId="1207061191">
    <w:abstractNumId w:val="4"/>
  </w:num>
  <w:num w:numId="3" w16cid:durableId="852453909">
    <w:abstractNumId w:val="2"/>
  </w:num>
  <w:num w:numId="4" w16cid:durableId="549926330">
    <w:abstractNumId w:val="3"/>
  </w:num>
  <w:num w:numId="5" w16cid:durableId="521016772">
    <w:abstractNumId w:val="1"/>
  </w:num>
  <w:num w:numId="6" w16cid:durableId="10631377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4CDA"/>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2B52"/>
  <w15:docId w15:val="{AB2727D3-6CF0-4556-AF35-4B1AB8A3A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rPr>
      <w:kern w:val="2"/>
      <w:sz w:val="21"/>
      <w:szCs w:val="21"/>
    </w:rPr>
  </w:style>
  <w:style w:type="paragraph" w:styleId="Revision">
    <w:name w:val="Revision"/>
    <w:hidden/>
    <w:uiPriority w:val="99"/>
    <w:unhideWhenUsed/>
    <w:rsid w:val="00711CB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2113-01-01T00:00:00Z</cp:lastPrinted>
  <dcterms:created xsi:type="dcterms:W3CDTF">2024-04-01T11:56:00Z</dcterms:created>
  <dcterms:modified xsi:type="dcterms:W3CDTF">2024-04-04T11:56:00Z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