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28FE6" w14:textId="0376062E" w:rsidR="007B439B" w:rsidRPr="000B6C65" w:rsidRDefault="007B439B" w:rsidP="007B439B">
      <w:pPr>
        <w:tabs>
          <w:tab w:val="left" w:pos="2160"/>
          <w:tab w:val="left" w:pos="3880"/>
        </w:tabs>
        <w:spacing w:after="0"/>
        <w:ind w:left="2070" w:hanging="2070"/>
        <w:rPr>
          <w:rFonts w:ascii="Arial" w:eastAsia="Times New Roman" w:hAnsi="Arial" w:cs="Times New Roman"/>
          <w:b/>
          <w:noProof/>
          <w:sz w:val="24"/>
          <w:szCs w:val="20"/>
          <w:lang w:eastAsia="zh-CN"/>
          <w14:ligatures w14:val="standardContextual"/>
        </w:rPr>
      </w:pPr>
      <w:r w:rsidRPr="000B6C65">
        <w:rPr>
          <w:rFonts w:ascii="Arial" w:eastAsia="Times New Roman" w:hAnsi="Arial" w:cs="Times New Roman"/>
          <w:b/>
          <w:noProof/>
          <w:sz w:val="24"/>
          <w:szCs w:val="20"/>
          <w:lang w:eastAsia="zh-CN"/>
          <w14:ligatures w14:val="standardContextual"/>
        </w:rPr>
        <w:t>3GPP TSG-RAN WG2 Meeting #125bis</w:t>
      </w:r>
      <w:r w:rsidRPr="000B6C65">
        <w:rPr>
          <w:rFonts w:ascii="Arial" w:eastAsia="Times New Roman" w:hAnsi="Arial" w:cs="Times New Roman"/>
          <w:b/>
          <w:noProof/>
          <w:sz w:val="24"/>
          <w:szCs w:val="20"/>
          <w:lang w:eastAsia="zh-CN"/>
          <w14:ligatures w14:val="standardContextual"/>
        </w:rPr>
        <w:tab/>
      </w:r>
      <w:r>
        <w:rPr>
          <w:rFonts w:ascii="Arial" w:eastAsia="Times New Roman" w:hAnsi="Arial" w:cs="Times New Roman"/>
          <w:b/>
          <w:noProof/>
          <w:sz w:val="24"/>
          <w:szCs w:val="20"/>
          <w:lang w:eastAsia="zh-CN"/>
          <w14:ligatures w14:val="standardContextual"/>
        </w:rPr>
        <w:tab/>
      </w:r>
      <w:r>
        <w:rPr>
          <w:rFonts w:ascii="Arial" w:eastAsia="Times New Roman" w:hAnsi="Arial" w:cs="Times New Roman"/>
          <w:b/>
          <w:noProof/>
          <w:sz w:val="24"/>
          <w:szCs w:val="20"/>
          <w:lang w:eastAsia="zh-CN"/>
          <w14:ligatures w14:val="standardContextual"/>
        </w:rPr>
        <w:tab/>
      </w:r>
      <w:r>
        <w:rPr>
          <w:rFonts w:ascii="Arial" w:eastAsia="Times New Roman" w:hAnsi="Arial" w:cs="Times New Roman"/>
          <w:b/>
          <w:noProof/>
          <w:sz w:val="24"/>
          <w:szCs w:val="20"/>
          <w:lang w:eastAsia="zh-CN"/>
          <w14:ligatures w14:val="standardContextual"/>
        </w:rPr>
        <w:tab/>
      </w:r>
      <w:r w:rsidR="00817D93" w:rsidRPr="00817D93">
        <w:rPr>
          <w:rFonts w:ascii="Arial" w:eastAsia="Times New Roman" w:hAnsi="Arial" w:cs="Times New Roman"/>
          <w:b/>
          <w:noProof/>
          <w:sz w:val="24"/>
          <w:szCs w:val="20"/>
          <w:lang w:eastAsia="zh-CN"/>
          <w14:ligatures w14:val="standardContextual"/>
        </w:rPr>
        <w:t>R2-2402408</w:t>
      </w:r>
    </w:p>
    <w:p w14:paraId="53B71C62" w14:textId="77777777" w:rsidR="007B439B" w:rsidRDefault="007B439B" w:rsidP="007B439B">
      <w:pPr>
        <w:tabs>
          <w:tab w:val="left" w:pos="2160"/>
          <w:tab w:val="left" w:pos="3880"/>
        </w:tabs>
        <w:spacing w:after="0"/>
        <w:ind w:left="2070" w:hanging="2070"/>
        <w:rPr>
          <w:rFonts w:ascii="Arial" w:eastAsia="Times New Roman" w:hAnsi="Arial" w:cs="Times New Roman"/>
          <w:b/>
          <w:noProof/>
          <w:sz w:val="24"/>
          <w:szCs w:val="20"/>
          <w:lang w:eastAsia="zh-CN"/>
          <w14:ligatures w14:val="standardContextual"/>
        </w:rPr>
      </w:pPr>
      <w:r w:rsidRPr="000B6C65">
        <w:rPr>
          <w:rFonts w:ascii="Arial" w:eastAsia="Times New Roman" w:hAnsi="Arial" w:cs="Times New Roman"/>
          <w:b/>
          <w:noProof/>
          <w:sz w:val="24"/>
          <w:szCs w:val="20"/>
          <w:lang w:eastAsia="zh-CN"/>
          <w14:ligatures w14:val="standardContextual"/>
        </w:rPr>
        <w:t>Changsha, China,  April 15th – 19th, 2024</w:t>
      </w:r>
    </w:p>
    <w:p w14:paraId="32C8AD6D" w14:textId="77777777" w:rsidR="007B439B" w:rsidRDefault="007B439B" w:rsidP="007B439B">
      <w:pPr>
        <w:tabs>
          <w:tab w:val="left" w:pos="2160"/>
          <w:tab w:val="left" w:pos="3880"/>
        </w:tabs>
        <w:ind w:left="2070" w:hanging="2070"/>
        <w:rPr>
          <w:rFonts w:ascii="Arial" w:eastAsia="Times New Roman" w:hAnsi="Arial" w:cs="Times New Roman"/>
          <w:b/>
          <w:noProof/>
          <w:sz w:val="24"/>
          <w:szCs w:val="20"/>
          <w:lang w:eastAsia="zh-CN"/>
          <w14:ligatures w14:val="standardContextual"/>
        </w:rPr>
      </w:pPr>
    </w:p>
    <w:p w14:paraId="57B1EF8F" w14:textId="77777777" w:rsidR="007B439B" w:rsidRPr="007F16F8" w:rsidRDefault="007B439B" w:rsidP="007B439B">
      <w:pPr>
        <w:tabs>
          <w:tab w:val="left" w:pos="2160"/>
          <w:tab w:val="left" w:pos="3880"/>
        </w:tabs>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Pr="003462AB">
        <w:rPr>
          <w:rFonts w:ascii="Arial" w:hAnsi="Arial" w:cs="Arial"/>
          <w:bCs/>
          <w:sz w:val="24"/>
        </w:rPr>
        <w:t>8.6.2</w:t>
      </w:r>
    </w:p>
    <w:p w14:paraId="60402D4B" w14:textId="77777777" w:rsidR="007B439B" w:rsidRPr="007F16F8" w:rsidRDefault="007B439B" w:rsidP="007B439B">
      <w:pPr>
        <w:tabs>
          <w:tab w:val="left" w:pos="2160"/>
          <w:tab w:val="left" w:pos="3880"/>
        </w:tabs>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 xml:space="preserve">Intel Corporation </w:t>
      </w:r>
    </w:p>
    <w:p w14:paraId="1916891D" w14:textId="181616DD" w:rsidR="007B439B" w:rsidRPr="007F16F8" w:rsidRDefault="007B439B" w:rsidP="007B439B">
      <w:pPr>
        <w:tabs>
          <w:tab w:val="left" w:pos="2160"/>
          <w:tab w:val="left" w:pos="3880"/>
        </w:tabs>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Inter-CU LTM security handling</w:t>
      </w:r>
    </w:p>
    <w:p w14:paraId="1096E279" w14:textId="77777777" w:rsidR="007B439B" w:rsidRDefault="007B439B" w:rsidP="007B439B">
      <w:pPr>
        <w:pBdr>
          <w:bottom w:val="single" w:sz="6" w:space="1" w:color="auto"/>
        </w:pBdr>
        <w:tabs>
          <w:tab w:val="left" w:pos="2160"/>
          <w:tab w:val="left" w:pos="3880"/>
        </w:tabs>
        <w:ind w:left="2070" w:hanging="2070"/>
        <w:rPr>
          <w:rFonts w:ascii="Arial" w:hAnsi="Arial" w:cs="Arial"/>
          <w:bCs/>
          <w:sz w:val="24"/>
        </w:rPr>
      </w:pPr>
      <w:r>
        <w:rPr>
          <w:rFonts w:ascii="Arial" w:hAnsi="Arial" w:cs="Arial"/>
          <w:b/>
          <w:bCs/>
          <w:sz w:val="24"/>
        </w:rPr>
        <w:t>Document for:</w:t>
      </w:r>
      <w:r>
        <w:rPr>
          <w:rFonts w:ascii="Arial" w:hAnsi="Arial" w:cs="Arial"/>
          <w:bCs/>
          <w:sz w:val="24"/>
        </w:rPr>
        <w:tab/>
        <w:t xml:space="preserve">Discussion and </w:t>
      </w:r>
      <w:proofErr w:type="gramStart"/>
      <w:r>
        <w:rPr>
          <w:rFonts w:ascii="Arial" w:hAnsi="Arial" w:cs="Arial"/>
          <w:bCs/>
          <w:sz w:val="24"/>
        </w:rPr>
        <w:t>decision</w:t>
      </w:r>
      <w:proofErr w:type="gramEnd"/>
    </w:p>
    <w:p w14:paraId="077AF3A2" w14:textId="77777777" w:rsidR="007B439B" w:rsidRDefault="007B439B" w:rsidP="007B439B">
      <w:pPr>
        <w:pStyle w:val="Heading1"/>
      </w:pPr>
      <w:r>
        <w:t>Introduction</w:t>
      </w:r>
    </w:p>
    <w:p w14:paraId="12E13FC2" w14:textId="77777777" w:rsidR="007B439B" w:rsidRDefault="007B439B" w:rsidP="007B439B">
      <w:r>
        <w:t>One of the objectives of Rel-19 Mobility Enhancement phase 4 is to support inter-CU L1/L2 triggered mobility.  The following objective is captured from the approved WID [</w:t>
      </w:r>
      <w:hyperlink r:id="rId8" w:history="1">
        <w:r>
          <w:rPr>
            <w:rStyle w:val="Hyperlink"/>
          </w:rPr>
          <w:t>RP-240299</w:t>
        </w:r>
      </w:hyperlink>
      <w:r>
        <w:t>].</w:t>
      </w:r>
    </w:p>
    <w:p w14:paraId="6657A7E7" w14:textId="77777777" w:rsidR="007B439B" w:rsidRDefault="007B439B" w:rsidP="007B439B">
      <w:pPr>
        <w:pStyle w:val="paragraph"/>
        <w:numPr>
          <w:ilvl w:val="0"/>
          <w:numId w:val="2"/>
        </w:numPr>
        <w:spacing w:before="0" w:beforeAutospacing="0" w:after="0" w:afterAutospacing="0"/>
        <w:ind w:firstLine="0"/>
        <w:textAlignment w:val="baseline"/>
        <w:rPr>
          <w:sz w:val="22"/>
          <w:szCs w:val="22"/>
        </w:rPr>
      </w:pPr>
      <w:r>
        <w:rPr>
          <w:rStyle w:val="normaltextrun"/>
          <w:rFonts w:eastAsiaTheme="majorEastAsia"/>
          <w:sz w:val="20"/>
          <w:szCs w:val="20"/>
        </w:rPr>
        <w:t>Specify support for inte</w:t>
      </w:r>
      <w:r w:rsidRPr="00055FDA">
        <w:rPr>
          <w:rStyle w:val="normaltextrun"/>
          <w:rFonts w:eastAsiaTheme="majorEastAsia"/>
          <w:sz w:val="20"/>
          <w:szCs w:val="20"/>
        </w:rPr>
        <w:t xml:space="preserve">r-CU </w:t>
      </w:r>
      <w:r w:rsidRPr="00AA57B5">
        <w:rPr>
          <w:rStyle w:val="normaltextrun"/>
          <w:rFonts w:eastAsiaTheme="majorEastAsia"/>
          <w:sz w:val="20"/>
          <w:szCs w:val="20"/>
        </w:rPr>
        <w:t>Layer1/</w:t>
      </w:r>
      <w:r w:rsidRPr="00055FDA">
        <w:rPr>
          <w:rStyle w:val="normaltextrun"/>
          <w:rFonts w:eastAsiaTheme="majorEastAsia"/>
          <w:sz w:val="20"/>
          <w:szCs w:val="20"/>
        </w:rPr>
        <w:t xml:space="preserve">Layer 2 </w:t>
      </w:r>
      <w:r w:rsidRPr="00AA57B5">
        <w:rPr>
          <w:rStyle w:val="normaltextrun"/>
          <w:rFonts w:eastAsiaTheme="majorEastAsia"/>
          <w:sz w:val="20"/>
          <w:szCs w:val="20"/>
        </w:rPr>
        <w:t xml:space="preserve">Triggered </w:t>
      </w:r>
      <w:r w:rsidRPr="00055FDA">
        <w:rPr>
          <w:rStyle w:val="normaltextrun"/>
          <w:rFonts w:eastAsiaTheme="majorEastAsia"/>
          <w:sz w:val="20"/>
          <w:szCs w:val="20"/>
        </w:rPr>
        <w:t>Mobil</w:t>
      </w:r>
      <w:r>
        <w:rPr>
          <w:rStyle w:val="normaltextrun"/>
          <w:rFonts w:eastAsiaTheme="majorEastAsia"/>
          <w:sz w:val="20"/>
          <w:szCs w:val="20"/>
        </w:rPr>
        <w:t>ity (LTM) [RAN2, RAN3]</w:t>
      </w:r>
      <w:r>
        <w:rPr>
          <w:rStyle w:val="eop"/>
          <w:rFonts w:eastAsiaTheme="majorEastAsia"/>
          <w:sz w:val="20"/>
          <w:szCs w:val="20"/>
        </w:rPr>
        <w:t> </w:t>
      </w:r>
    </w:p>
    <w:p w14:paraId="0E93A2BD" w14:textId="3713DD69" w:rsidR="007B439B" w:rsidRPr="006070EC" w:rsidRDefault="006070EC" w:rsidP="006070EC">
      <w:pPr>
        <w:pStyle w:val="paragraph"/>
        <w:numPr>
          <w:ilvl w:val="0"/>
          <w:numId w:val="3"/>
        </w:numPr>
        <w:spacing w:before="0" w:beforeAutospacing="0" w:after="0" w:afterAutospacing="0"/>
        <w:ind w:left="1440" w:firstLine="0"/>
        <w:textAlignment w:val="baseline"/>
        <w:rPr>
          <w:sz w:val="22"/>
          <w:szCs w:val="22"/>
        </w:rPr>
      </w:pPr>
      <w:r>
        <w:rPr>
          <w:rStyle w:val="normaltextrun"/>
          <w:rFonts w:eastAsiaTheme="majorEastAsia"/>
          <w:sz w:val="20"/>
          <w:szCs w:val="20"/>
        </w:rPr>
        <w:t>[..]</w:t>
      </w:r>
    </w:p>
    <w:p w14:paraId="50D6E634" w14:textId="77777777" w:rsidR="007B439B" w:rsidRDefault="007B439B" w:rsidP="007B439B">
      <w:pPr>
        <w:pStyle w:val="paragraph"/>
        <w:numPr>
          <w:ilvl w:val="0"/>
          <w:numId w:val="5"/>
        </w:numPr>
        <w:spacing w:before="0" w:beforeAutospacing="0" w:after="0" w:afterAutospacing="0"/>
        <w:ind w:left="1440" w:firstLine="0"/>
        <w:textAlignment w:val="baseline"/>
        <w:rPr>
          <w:sz w:val="22"/>
          <w:szCs w:val="22"/>
        </w:rPr>
      </w:pPr>
      <w:r>
        <w:rPr>
          <w:rStyle w:val="normaltextrun"/>
          <w:rFonts w:eastAsiaTheme="majorEastAsia"/>
          <w:sz w:val="20"/>
          <w:szCs w:val="20"/>
        </w:rPr>
        <w:t>Specify support for subsequent LTM mobility procedures aiming to avoid RRC configuration between cell switches as per Rel-18 LTM</w:t>
      </w:r>
      <w:r>
        <w:rPr>
          <w:rStyle w:val="eop"/>
          <w:rFonts w:eastAsiaTheme="majorEastAsia"/>
          <w:sz w:val="20"/>
          <w:szCs w:val="20"/>
        </w:rPr>
        <w:t> </w:t>
      </w:r>
    </w:p>
    <w:p w14:paraId="5F4A45E9" w14:textId="77777777" w:rsidR="007B439B" w:rsidRDefault="007B439B" w:rsidP="007B439B">
      <w:pPr>
        <w:pStyle w:val="paragraph"/>
        <w:numPr>
          <w:ilvl w:val="0"/>
          <w:numId w:val="6"/>
        </w:numPr>
        <w:spacing w:before="0" w:beforeAutospacing="0" w:after="0" w:afterAutospacing="0"/>
        <w:ind w:left="2160" w:firstLine="0"/>
        <w:textAlignment w:val="baseline"/>
        <w:rPr>
          <w:sz w:val="22"/>
          <w:szCs w:val="22"/>
        </w:rPr>
      </w:pPr>
      <w:r>
        <w:rPr>
          <w:rStyle w:val="normaltextrun"/>
          <w:rFonts w:eastAsiaTheme="majorEastAsia"/>
          <w:sz w:val="20"/>
          <w:szCs w:val="20"/>
        </w:rPr>
        <w:t xml:space="preserve">Coordination with SA3 needed with respect to security key </w:t>
      </w:r>
      <w:proofErr w:type="gramStart"/>
      <w:r>
        <w:rPr>
          <w:rStyle w:val="normaltextrun"/>
          <w:rFonts w:eastAsiaTheme="majorEastAsia"/>
          <w:sz w:val="20"/>
          <w:szCs w:val="20"/>
        </w:rPr>
        <w:t>handling</w:t>
      </w:r>
      <w:proofErr w:type="gramEnd"/>
      <w:r>
        <w:rPr>
          <w:rStyle w:val="normaltextrun"/>
          <w:rFonts w:eastAsiaTheme="majorEastAsia"/>
          <w:sz w:val="20"/>
          <w:szCs w:val="20"/>
        </w:rPr>
        <w:t> </w:t>
      </w:r>
      <w:r>
        <w:rPr>
          <w:rStyle w:val="eop"/>
          <w:rFonts w:eastAsiaTheme="majorEastAsia"/>
          <w:sz w:val="20"/>
          <w:szCs w:val="20"/>
        </w:rPr>
        <w:t> </w:t>
      </w:r>
    </w:p>
    <w:p w14:paraId="3F68E080" w14:textId="77777777" w:rsidR="007B439B" w:rsidRDefault="007B439B" w:rsidP="007B439B">
      <w:pPr>
        <w:pStyle w:val="paragraph"/>
        <w:numPr>
          <w:ilvl w:val="0"/>
          <w:numId w:val="7"/>
        </w:numPr>
        <w:spacing w:before="0" w:beforeAutospacing="0" w:after="0" w:afterAutospacing="0"/>
        <w:ind w:left="1440" w:firstLine="0"/>
        <w:textAlignment w:val="baseline"/>
        <w:rPr>
          <w:sz w:val="22"/>
          <w:szCs w:val="22"/>
        </w:rPr>
      </w:pPr>
      <w:r>
        <w:rPr>
          <w:rStyle w:val="normaltextrun"/>
          <w:rFonts w:eastAsiaTheme="majorEastAsia"/>
          <w:sz w:val="20"/>
          <w:szCs w:val="20"/>
        </w:rPr>
        <w:t>Note: Rel. 18 intra-CU LTM procedure is considered as baseline for adding inter-CU support</w:t>
      </w:r>
      <w:r>
        <w:rPr>
          <w:rStyle w:val="eop"/>
          <w:rFonts w:eastAsiaTheme="majorEastAsia"/>
          <w:sz w:val="20"/>
          <w:szCs w:val="20"/>
        </w:rPr>
        <w:t> </w:t>
      </w:r>
    </w:p>
    <w:p w14:paraId="240854D5" w14:textId="77777777" w:rsidR="007B439B" w:rsidRDefault="007B439B" w:rsidP="007B439B">
      <w:r>
        <w:t xml:space="preserve">The agenda provided the following guidance: </w:t>
      </w:r>
    </w:p>
    <w:p w14:paraId="6EAB282C" w14:textId="77777777" w:rsidR="007B439B" w:rsidRPr="00931C16" w:rsidRDefault="007B439B" w:rsidP="007B439B">
      <w:pPr>
        <w:pStyle w:val="Comments"/>
        <w:rPr>
          <w:lang w:val="en-US"/>
        </w:rPr>
      </w:pPr>
      <w:r>
        <w:rPr>
          <w:lang w:val="en-US"/>
        </w:rPr>
        <w:t xml:space="preserve">Scenarios/use cases, stage 2 signalling flows, RAN2 spec impacts and high-levl solutions. Also including subsequent LTM mobility procedures with the security key handling aspects.  </w:t>
      </w:r>
    </w:p>
    <w:p w14:paraId="3731140D" w14:textId="77777777" w:rsidR="007B439B" w:rsidRPr="00EB7355" w:rsidRDefault="007B439B" w:rsidP="007B439B">
      <w:pPr>
        <w:spacing w:after="0"/>
        <w:rPr>
          <w:sz w:val="16"/>
          <w:szCs w:val="16"/>
        </w:rPr>
      </w:pPr>
    </w:p>
    <w:p w14:paraId="70DAF822" w14:textId="461031D1" w:rsidR="007B439B" w:rsidRDefault="001668C4" w:rsidP="007B439B">
      <w:r>
        <w:t xml:space="preserve">Rel-18 LTM only allowed LTM cell switch within a CU and hence there was no need to configure or change security keys during LTM cell switch.  The objective of Rel-19 mobility enhancement WI is to allow LTM cell switch between cells of different CUs as captured in the objective above. </w:t>
      </w:r>
      <w:r w:rsidR="007B439B">
        <w:t>In this document we discuss the security key handling aspects related to subsequent LTM</w:t>
      </w:r>
      <w:r>
        <w:t xml:space="preserve"> involving inter-CU mobility</w:t>
      </w:r>
      <w:r w:rsidR="007B439B">
        <w:t>.</w:t>
      </w:r>
      <w:r w:rsidR="004E714E">
        <w:t xml:space="preserve">  In this document, we assume that inter-CU mobility is the same as inter-</w:t>
      </w:r>
      <w:proofErr w:type="spellStart"/>
      <w:r w:rsidR="004E714E">
        <w:t>gNB</w:t>
      </w:r>
      <w:proofErr w:type="spellEnd"/>
      <w:r w:rsidR="004E714E">
        <w:t xml:space="preserve"> mobility for an integrated </w:t>
      </w:r>
      <w:proofErr w:type="spellStart"/>
      <w:r w:rsidR="004E714E">
        <w:t>gNB</w:t>
      </w:r>
      <w:proofErr w:type="spellEnd"/>
      <w:r w:rsidR="004E714E">
        <w:t>.</w:t>
      </w:r>
    </w:p>
    <w:p w14:paraId="7B33EF2F" w14:textId="48667ABB" w:rsidR="007B439B" w:rsidRDefault="007B439B" w:rsidP="007B439B">
      <w:pPr>
        <w:pStyle w:val="Heading1"/>
      </w:pPr>
      <w:r>
        <w:t>Discussion</w:t>
      </w:r>
    </w:p>
    <w:p w14:paraId="126BE9BE" w14:textId="0A5D2885" w:rsidR="007B439B" w:rsidRDefault="007B439B" w:rsidP="007B439B">
      <w:r>
        <w:t xml:space="preserve">Subsequent LTM, as is </w:t>
      </w:r>
      <w:proofErr w:type="gramStart"/>
      <w:r>
        <w:t>similar to</w:t>
      </w:r>
      <w:proofErr w:type="gramEnd"/>
      <w:r>
        <w:t xml:space="preserve"> SCPAC, allows UEs to be “handed over” between pre-configured cells, using LTM cell switch command.  </w:t>
      </w:r>
      <w:r w:rsidR="00E84E10">
        <w:t xml:space="preserve">Subsequent LTM cell switch between these pre-configured cells is </w:t>
      </w:r>
      <w:r w:rsidR="001619A3">
        <w:t xml:space="preserve">triggered </w:t>
      </w:r>
      <w:r w:rsidR="00E84E10">
        <w:t xml:space="preserve">using MAC CE command without involving any RRC signalling.  </w:t>
      </w:r>
      <w:r w:rsidR="00DA674D">
        <w:t xml:space="preserve">In NR, the same security key is used for all the cells of a CU.  </w:t>
      </w:r>
      <w:r w:rsidR="001668C4">
        <w:t xml:space="preserve">When these cells are from different CUs, different security keys </w:t>
      </w:r>
      <w:proofErr w:type="gramStart"/>
      <w:r w:rsidR="00AA57B5">
        <w:t>have</w:t>
      </w:r>
      <w:r w:rsidR="001668C4">
        <w:t xml:space="preserve"> to</w:t>
      </w:r>
      <w:proofErr w:type="gramEnd"/>
      <w:r w:rsidR="001668C4">
        <w:t xml:space="preserve"> be used.  Further, the requirement from SA3 </w:t>
      </w:r>
      <w:r w:rsidR="00E27022">
        <w:t xml:space="preserve">[S3-235051] </w:t>
      </w:r>
      <w:r w:rsidR="001668C4">
        <w:t xml:space="preserve">in the context of SCPAC should be expected to be applicable also for LTM – that is, a new security key </w:t>
      </w:r>
      <w:r w:rsidR="00EC4C83">
        <w:t>must</w:t>
      </w:r>
      <w:r w:rsidR="001668C4">
        <w:t xml:space="preserve"> be used e</w:t>
      </w:r>
      <w:r w:rsidR="00EC4C83">
        <w:t>very time the UE moves into a cell that is from a different CU.</w:t>
      </w:r>
      <w:r w:rsidR="00AC3529">
        <w:t xml:space="preserve">  For mobility within the cells of a CU, the same security key can be used.  This is shown in the figure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3339"/>
      </w:tblGrid>
      <w:tr w:rsidR="00EC4C83" w14:paraId="7B8FAFA9" w14:textId="77777777" w:rsidTr="00EC4C83">
        <w:tc>
          <w:tcPr>
            <w:tcW w:w="4508" w:type="dxa"/>
          </w:tcPr>
          <w:p w14:paraId="38EC998B" w14:textId="681C86DF" w:rsidR="00EC4C83" w:rsidRDefault="00695C1F" w:rsidP="00CE137A">
            <w:r w:rsidRPr="00EC4C83">
              <w:object w:dxaOrig="5476" w:dyaOrig="2206" w14:anchorId="15F02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10.25pt" o:ole="">
                  <v:imagedata r:id="rId9" o:title=""/>
                </v:shape>
                <o:OLEObject Type="Embed" ProgID="Visio.Drawing.15" ShapeID="_x0000_i1025" DrawAspect="Content" ObjectID="_1773811959" r:id="rId10"/>
              </w:object>
            </w:r>
          </w:p>
        </w:tc>
        <w:tc>
          <w:tcPr>
            <w:tcW w:w="4508" w:type="dxa"/>
          </w:tcPr>
          <w:p w14:paraId="51FDA666" w14:textId="77777777" w:rsidR="00EC4C83" w:rsidRDefault="00EC4C83" w:rsidP="00CE137A"/>
          <w:p w14:paraId="77B47CBD" w14:textId="77777777" w:rsidR="00EC4C83" w:rsidRDefault="00EC4C83" w:rsidP="00CE137A">
            <w:r>
              <w:t xml:space="preserve">Use new security keys every time UE moves from cells {11,12} to cells {21, 22}.  </w:t>
            </w:r>
          </w:p>
          <w:p w14:paraId="67CB4129" w14:textId="693ACD20" w:rsidR="00EC4C83" w:rsidRDefault="00EC4C83" w:rsidP="00CE137A">
            <w:r>
              <w:t xml:space="preserve">Same key can be used for mobility </w:t>
            </w:r>
            <w:r w:rsidR="00695C1F">
              <w:t>within</w:t>
            </w:r>
            <w:r>
              <w:t xml:space="preserve"> cells {11,12} </w:t>
            </w:r>
            <w:r w:rsidR="00695C1F">
              <w:t xml:space="preserve">or </w:t>
            </w:r>
            <w:r>
              <w:t>{21, 22}</w:t>
            </w:r>
          </w:p>
        </w:tc>
      </w:tr>
    </w:tbl>
    <w:p w14:paraId="4727925F" w14:textId="0FDC3552" w:rsidR="00EC4C83" w:rsidRDefault="00AC3529" w:rsidP="00EC2EEF">
      <w:pPr>
        <w:pStyle w:val="Obs-prop"/>
      </w:pPr>
      <w:r>
        <w:lastRenderedPageBreak/>
        <w:t>Observation #</w:t>
      </w:r>
      <w:r w:rsidR="00695C1F">
        <w:t>1</w:t>
      </w:r>
      <w:r>
        <w:t xml:space="preserve">: As with SCPAC, SA3 will require the use of new security keys every time the UE moves back and forth between cells of a different CUs.  </w:t>
      </w:r>
    </w:p>
    <w:p w14:paraId="6CB2FAE8" w14:textId="2334803D" w:rsidR="00AC3529" w:rsidRDefault="00AC3529" w:rsidP="007B439B">
      <w:r>
        <w:t>To achieve this, a solution similar to the one used for SCPAC can be used.  A security key can be associated with a group of cells</w:t>
      </w:r>
      <w:r w:rsidR="00695C1F">
        <w:t xml:space="preserve"> (typically the cells of a CU)</w:t>
      </w:r>
      <w:r>
        <w:t xml:space="preserve">.  Every time the UE moves between groups, UE uses a new security key.  </w:t>
      </w:r>
    </w:p>
    <w:p w14:paraId="0F09C8F9" w14:textId="5DD5790D" w:rsidR="00AC3529" w:rsidRDefault="00AC3529" w:rsidP="00EC2EEF">
      <w:pPr>
        <w:pStyle w:val="Obs-prop"/>
      </w:pPr>
      <w:r>
        <w:t>Proposal #</w:t>
      </w:r>
      <w:r w:rsidR="00695C1F">
        <w:t>1</w:t>
      </w:r>
      <w:r>
        <w:t>: A group of cells</w:t>
      </w:r>
      <w:r w:rsidR="0089354E">
        <w:t xml:space="preserve"> (</w:t>
      </w:r>
      <w:r w:rsidR="00695C1F">
        <w:t xml:space="preserve">e.g., </w:t>
      </w:r>
      <w:r w:rsidR="0089354E">
        <w:t>of the same CU)</w:t>
      </w:r>
      <w:r>
        <w:t xml:space="preserve">, identified with a group ID, is associated with the same security key.  Different groups are provided with different security keys.  UE </w:t>
      </w:r>
      <w:r w:rsidR="00EC2EEF">
        <w:t xml:space="preserve">uses </w:t>
      </w:r>
      <w:r w:rsidR="00E27022">
        <w:t xml:space="preserve">a new </w:t>
      </w:r>
      <w:r w:rsidR="00EC2EEF">
        <w:t xml:space="preserve">target key </w:t>
      </w:r>
      <w:r w:rsidR="00E27022">
        <w:t xml:space="preserve">corresponding to the target group every time UE performs </w:t>
      </w:r>
      <w:r w:rsidR="00EC2EEF">
        <w:t xml:space="preserve">an LTM cell switch between cells of different </w:t>
      </w:r>
      <w:r>
        <w:t>groups</w:t>
      </w:r>
      <w:r w:rsidR="00EC2EEF">
        <w:t xml:space="preserve">.  </w:t>
      </w:r>
    </w:p>
    <w:p w14:paraId="4A4BDCE1" w14:textId="0D1531A0" w:rsidR="00DF38CB" w:rsidRDefault="00EC2EEF" w:rsidP="007B439B">
      <w:r>
        <w:t xml:space="preserve">To support subsequent </w:t>
      </w:r>
      <w:proofErr w:type="gramStart"/>
      <w:r>
        <w:t xml:space="preserve">LTM, </w:t>
      </w:r>
      <w:r w:rsidR="007B439B">
        <w:t xml:space="preserve"> it</w:t>
      </w:r>
      <w:proofErr w:type="gramEnd"/>
      <w:r w:rsidR="007B439B">
        <w:t xml:space="preserve"> should be possible to preconfigure multiple cells for subsequent LTM cell switch</w:t>
      </w:r>
      <w:r w:rsidR="00DA674D">
        <w:t xml:space="preserve"> and t</w:t>
      </w:r>
      <w:r w:rsidR="007B439B">
        <w:t xml:space="preserve">hese cells can be from different CUs.  In NR, </w:t>
      </w:r>
      <w:r w:rsidR="00DA674D">
        <w:t xml:space="preserve">while </w:t>
      </w:r>
      <w:r w:rsidR="007B439B">
        <w:t>the same security key is used for all the cells of a CU</w:t>
      </w:r>
      <w:r w:rsidR="00DA674D">
        <w:t>, a</w:t>
      </w:r>
      <w:r w:rsidR="007B439B">
        <w:t xml:space="preserve"> </w:t>
      </w:r>
      <w:proofErr w:type="spellStart"/>
      <w:r w:rsidR="007B439B">
        <w:t>KgNB</w:t>
      </w:r>
      <w:proofErr w:type="spellEnd"/>
      <w:r w:rsidR="007B439B">
        <w:t xml:space="preserve"> is still associated with a PCI</w:t>
      </w:r>
      <w:r w:rsidR="00DA674D">
        <w:t xml:space="preserve">.  </w:t>
      </w:r>
      <w:r w:rsidR="008A7CF4">
        <w:t>That is, the key used should be corresponding to the PCI of the first cell of the CU that the UE is handed over to.  Subsequent handovers within the cells of the CU do not require a key change even if the PCI of the cell changes. In the example figure shown below, t</w:t>
      </w:r>
      <w:r w:rsidR="00DF38CB">
        <w:t xml:space="preserve">his implies that the </w:t>
      </w:r>
      <w:proofErr w:type="spellStart"/>
      <w:r w:rsidR="00DF38CB">
        <w:t>KgNB</w:t>
      </w:r>
      <w:proofErr w:type="spellEnd"/>
      <w:r w:rsidR="00DF38CB">
        <w:t xml:space="preserve"> of </w:t>
      </w:r>
      <w:proofErr w:type="gramStart"/>
      <w:r w:rsidR="00DF38CB">
        <w:t>cell</w:t>
      </w:r>
      <w:proofErr w:type="gramEnd"/>
      <w:r w:rsidR="00DF38CB">
        <w:t xml:space="preserve"> 21 and 22 are different even if they are from the same CU.  Thus, when the UE moves from cell 11 to cell 21, it uses the </w:t>
      </w:r>
      <w:proofErr w:type="spellStart"/>
      <w:r w:rsidR="00DF38CB">
        <w:t>KgNB</w:t>
      </w:r>
      <w:proofErr w:type="spellEnd"/>
      <w:r w:rsidR="00DF38CB">
        <w:t xml:space="preserve"> of cell 21.  UE continues to use the </w:t>
      </w:r>
      <w:proofErr w:type="spellStart"/>
      <w:r w:rsidR="002B13E0">
        <w:t>KgNB</w:t>
      </w:r>
      <w:proofErr w:type="spellEnd"/>
      <w:r w:rsidR="00DF38CB">
        <w:t xml:space="preserve"> for cell 21 for subsequent mobility from cell 21 to cell 22.  On the other hand, when the UE moves from cell 11 to cell </w:t>
      </w:r>
      <w:proofErr w:type="gramStart"/>
      <w:r w:rsidR="00DF38CB">
        <w:t xml:space="preserve">22, </w:t>
      </w:r>
      <w:r w:rsidR="007B439B">
        <w:t xml:space="preserve"> </w:t>
      </w:r>
      <w:r w:rsidR="00DF38CB">
        <w:t>it</w:t>
      </w:r>
      <w:proofErr w:type="gramEnd"/>
      <w:r w:rsidR="00DF38CB">
        <w:t xml:space="preserve"> uses the </w:t>
      </w:r>
      <w:proofErr w:type="spellStart"/>
      <w:r w:rsidR="00DF38CB">
        <w:t>KgNB</w:t>
      </w:r>
      <w:proofErr w:type="spellEnd"/>
      <w:r w:rsidR="00DF38CB">
        <w:t xml:space="preserve"> of cell 22 and continues to use </w:t>
      </w:r>
      <w:proofErr w:type="spellStart"/>
      <w:r w:rsidR="00DF38CB">
        <w:t>KgNB</w:t>
      </w:r>
      <w:proofErr w:type="spellEnd"/>
      <w:r w:rsidR="00DF38CB">
        <w:t xml:space="preserve"> of cell 22 if it subsequently moves to cell 21.  Hence the key used by the UE in the cells of a CU corresponds to the </w:t>
      </w:r>
      <w:proofErr w:type="spellStart"/>
      <w:r w:rsidR="00DF38CB">
        <w:t>KgNB</w:t>
      </w:r>
      <w:proofErr w:type="spellEnd"/>
      <w:r w:rsidR="00DF38CB">
        <w:t xml:space="preserve"> of the first cell where the UE entered CU2.  </w:t>
      </w:r>
    </w:p>
    <w:p w14:paraId="61A46D76" w14:textId="19FF3985" w:rsidR="007549F8" w:rsidRDefault="008A7CF4" w:rsidP="007B439B">
      <w:r>
        <w:object w:dxaOrig="4110" w:dyaOrig="2101" w14:anchorId="62618296">
          <v:shape id="_x0000_i1026" type="#_x0000_t75" style="width:198pt;height:101.25pt" o:ole="">
            <v:imagedata r:id="rId11" o:title=""/>
          </v:shape>
          <o:OLEObject Type="Embed" ProgID="Visio.Drawing.15" ShapeID="_x0000_i1026" DrawAspect="Content" ObjectID="_1773811960" r:id="rId12"/>
        </w:object>
      </w:r>
      <w:r>
        <w:object w:dxaOrig="4110" w:dyaOrig="2101" w14:anchorId="227F374C">
          <v:shape id="_x0000_i1027" type="#_x0000_t75" style="width:198pt;height:101.25pt" o:ole="">
            <v:imagedata r:id="rId13" o:title=""/>
          </v:shape>
          <o:OLEObject Type="Embed" ProgID="Visio.Drawing.15" ShapeID="_x0000_i1027" DrawAspect="Content" ObjectID="_1773811961" r:id="rId14"/>
        </w:object>
      </w:r>
    </w:p>
    <w:p w14:paraId="608C5D0E" w14:textId="011D8339" w:rsidR="00DF38CB" w:rsidRDefault="00DF38CB" w:rsidP="007549F8">
      <w:pPr>
        <w:pStyle w:val="Obs-prop"/>
      </w:pPr>
      <w:r>
        <w:t>Observation #</w:t>
      </w:r>
      <w:r w:rsidR="002B13E0">
        <w:t>2</w:t>
      </w:r>
      <w:r>
        <w:t xml:space="preserve">: The key used by the UE in the cells of a CU corresponds to the </w:t>
      </w:r>
      <w:proofErr w:type="spellStart"/>
      <w:r>
        <w:t>KgNB</w:t>
      </w:r>
      <w:proofErr w:type="spellEnd"/>
      <w:r>
        <w:t xml:space="preserve"> of the first cell where the UE entered CU2.</w:t>
      </w:r>
    </w:p>
    <w:p w14:paraId="43FCB8B1" w14:textId="77777777" w:rsidR="00875610" w:rsidRDefault="00875610" w:rsidP="00875610">
      <w:pPr>
        <w:pStyle w:val="Obs-prop"/>
      </w:pPr>
      <w:r>
        <w:t xml:space="preserve">Proposal #2: Vertical key derivation is used to generate the </w:t>
      </w:r>
      <w:proofErr w:type="spellStart"/>
      <w:r>
        <w:t>KgNB</w:t>
      </w:r>
      <w:proofErr w:type="spellEnd"/>
      <w:r>
        <w:t xml:space="preserve"> of the first cell of a CU when the UE moves to the cell of a new CU.</w:t>
      </w:r>
    </w:p>
    <w:p w14:paraId="265313C0" w14:textId="53B0E2E1" w:rsidR="006919D8" w:rsidRDefault="006919D8" w:rsidP="006919D8">
      <w:r>
        <w:t xml:space="preserve">Cells of a CU can be assigned the same group ID and the same </w:t>
      </w:r>
      <w:r w:rsidR="00A44D4A">
        <w:t xml:space="preserve">key </w:t>
      </w:r>
      <w:proofErr w:type="spellStart"/>
      <w:r w:rsidR="00A44D4A">
        <w:t>KgNB</w:t>
      </w:r>
      <w:proofErr w:type="spellEnd"/>
      <w:r w:rsidR="00A44D4A">
        <w:t xml:space="preserve"> </w:t>
      </w:r>
      <w:r>
        <w:t xml:space="preserve">can be used </w:t>
      </w:r>
      <w:r w:rsidR="39B0FC55">
        <w:t xml:space="preserve">by a UE </w:t>
      </w:r>
      <w:r>
        <w:t>for all the cells of the group</w:t>
      </w:r>
      <w:r w:rsidR="00A44D4A">
        <w:t xml:space="preserve"> once it has moved into the group</w:t>
      </w:r>
      <w:r>
        <w:t xml:space="preserve">.  </w:t>
      </w:r>
      <w:r w:rsidR="00A44D4A">
        <w:t>Note that t</w:t>
      </w:r>
      <w:r>
        <w:t xml:space="preserve">he </w:t>
      </w:r>
      <w:proofErr w:type="spellStart"/>
      <w:r>
        <w:t>KgNB</w:t>
      </w:r>
      <w:proofErr w:type="spellEnd"/>
      <w:r>
        <w:t xml:space="preserve"> for each cell in that group will still be different as it is dependent on the PCI of the cell.  </w:t>
      </w:r>
      <w:r w:rsidR="0089354E">
        <w:t xml:space="preserve"> </w:t>
      </w:r>
      <w:r w:rsidR="00A44D4A">
        <w:t>The UE use</w:t>
      </w:r>
      <w:r w:rsidR="00DB4ECF">
        <w:t>s</w:t>
      </w:r>
      <w:r w:rsidR="00A44D4A">
        <w:t xml:space="preserve"> the </w:t>
      </w:r>
      <w:proofErr w:type="spellStart"/>
      <w:r w:rsidR="00A44D4A">
        <w:t>KgNB</w:t>
      </w:r>
      <w:proofErr w:type="spellEnd"/>
      <w:r w:rsidR="00A44D4A">
        <w:t xml:space="preserve"> of the first cell where it entered the group</w:t>
      </w:r>
      <w:r w:rsidR="00DB4ECF">
        <w:t xml:space="preserve"> for all the cells of the group</w:t>
      </w:r>
      <w:r w:rsidR="00A44D4A">
        <w:t xml:space="preserve">.  </w:t>
      </w:r>
      <w:r w:rsidR="0089354E">
        <w:t xml:space="preserve">This also implies that the candidate CU </w:t>
      </w:r>
      <w:proofErr w:type="gramStart"/>
      <w:r w:rsidR="0089354E">
        <w:t>has to</w:t>
      </w:r>
      <w:proofErr w:type="gramEnd"/>
      <w:r w:rsidR="0089354E">
        <w:t xml:space="preserve"> be configured with different </w:t>
      </w:r>
      <w:proofErr w:type="spellStart"/>
      <w:r w:rsidR="0089354E">
        <w:t>KgNBs</w:t>
      </w:r>
      <w:proofErr w:type="spellEnd"/>
      <w:r w:rsidR="0089354E">
        <w:t xml:space="preserve"> for each of the candidate LTM preconfigured cells in the target CU.</w:t>
      </w:r>
      <w:r w:rsidR="00C425AA">
        <w:t xml:space="preserve">   The signalling for this is </w:t>
      </w:r>
      <w:r w:rsidR="0063015E">
        <w:t xml:space="preserve">already </w:t>
      </w:r>
      <w:r w:rsidR="00C425AA">
        <w:t xml:space="preserve">supported </w:t>
      </w:r>
      <w:r w:rsidR="0063015E">
        <w:t>in</w:t>
      </w:r>
      <w:r w:rsidR="00C425AA">
        <w:t xml:space="preserve"> HO preparation messages.  </w:t>
      </w:r>
    </w:p>
    <w:p w14:paraId="663CFA5F" w14:textId="32F1CCDC" w:rsidR="00247CAE" w:rsidRPr="00247CAE" w:rsidRDefault="00247CAE" w:rsidP="00247CAE">
      <w:pPr>
        <w:pStyle w:val="Obs-prop"/>
      </w:pPr>
      <w:r>
        <w:t>Observation #</w:t>
      </w:r>
      <w:r w:rsidR="0063015E">
        <w:t>3</w:t>
      </w:r>
      <w:r>
        <w:t xml:space="preserve">: </w:t>
      </w:r>
      <w:r w:rsidR="006919D8" w:rsidRPr="006919D8">
        <w:t xml:space="preserve">Cells of a CU can be assigned the same group ID and the same </w:t>
      </w:r>
      <w:proofErr w:type="spellStart"/>
      <w:r w:rsidR="0063015E">
        <w:t>KgNB</w:t>
      </w:r>
      <w:proofErr w:type="spellEnd"/>
      <w:r w:rsidR="006919D8" w:rsidRPr="006919D8">
        <w:t xml:space="preserve"> can be used </w:t>
      </w:r>
      <w:r w:rsidR="0063015E">
        <w:t xml:space="preserve">by the UE </w:t>
      </w:r>
      <w:r w:rsidR="006919D8" w:rsidRPr="006919D8">
        <w:t>for all the cells of the group.</w:t>
      </w:r>
      <w:r w:rsidR="0089354E">
        <w:t xml:space="preserve">  The candidate CU </w:t>
      </w:r>
      <w:proofErr w:type="gramStart"/>
      <w:r w:rsidR="0089354E">
        <w:t>has to</w:t>
      </w:r>
      <w:proofErr w:type="gramEnd"/>
      <w:r w:rsidR="0089354E">
        <w:t xml:space="preserve"> be configured with different </w:t>
      </w:r>
      <w:proofErr w:type="spellStart"/>
      <w:r w:rsidR="0089354E">
        <w:t>KgNBs</w:t>
      </w:r>
      <w:proofErr w:type="spellEnd"/>
      <w:r w:rsidR="0089354E">
        <w:t xml:space="preserve"> for each of the candidate LTM preconfigured cells in the target CU.</w:t>
      </w:r>
    </w:p>
    <w:p w14:paraId="52D86E0E" w14:textId="0CF8124F" w:rsidR="00E27022" w:rsidRDefault="00E27022" w:rsidP="00E27022">
      <w:r>
        <w:t xml:space="preserve">If a new </w:t>
      </w:r>
      <w:proofErr w:type="spellStart"/>
      <w:r>
        <w:t>KgNB</w:t>
      </w:r>
      <w:proofErr w:type="spellEnd"/>
      <w:r w:rsidR="0063015E">
        <w:t xml:space="preserve"> with new NCC value</w:t>
      </w:r>
      <w:r>
        <w:t xml:space="preserve">, that is, vertical key derivation was used, the UE and </w:t>
      </w:r>
      <w:proofErr w:type="gramStart"/>
      <w:r w:rsidR="00247CAE">
        <w:t xml:space="preserve">CUs  </w:t>
      </w:r>
      <w:r>
        <w:t>will</w:t>
      </w:r>
      <w:proofErr w:type="gramEnd"/>
      <w:r>
        <w:t xml:space="preserve"> need to be pre-configured </w:t>
      </w:r>
      <w:r w:rsidR="005C4792">
        <w:t xml:space="preserve">with different </w:t>
      </w:r>
      <w:proofErr w:type="spellStart"/>
      <w:r w:rsidR="005C4792">
        <w:t>KgNB</w:t>
      </w:r>
      <w:proofErr w:type="spellEnd"/>
      <w:r w:rsidR="005C4792">
        <w:t xml:space="preserve"> for each LTM cell switch between CUs</w:t>
      </w:r>
      <w:r>
        <w:t xml:space="preserve">, it will require a new NCC value for each of these keys.  However, there are </w:t>
      </w:r>
      <w:r w:rsidR="005C4792">
        <w:t xml:space="preserve">currently </w:t>
      </w:r>
      <w:r>
        <w:t xml:space="preserve">only 8 values for NCC.  Hence </w:t>
      </w:r>
      <w:r>
        <w:lastRenderedPageBreak/>
        <w:t xml:space="preserve">it would only be possible to support </w:t>
      </w:r>
      <w:r w:rsidR="005C4792">
        <w:t xml:space="preserve">a </w:t>
      </w:r>
      <w:r>
        <w:t xml:space="preserve">maximum </w:t>
      </w:r>
      <w:r w:rsidR="005C4792">
        <w:t xml:space="preserve">of </w:t>
      </w:r>
      <w:r>
        <w:t xml:space="preserve">8 subsequent </w:t>
      </w:r>
      <w:r w:rsidR="005C4792">
        <w:t>LTM cell switch</w:t>
      </w:r>
      <w:r>
        <w:t xml:space="preserve"> back and forth between cells </w:t>
      </w:r>
      <w:r w:rsidR="005C4792">
        <w:t xml:space="preserve">of CU1 and CU2 </w:t>
      </w:r>
      <w:r>
        <w:t xml:space="preserve">before requiring </w:t>
      </w:r>
      <w:r w:rsidR="005C4792">
        <w:t xml:space="preserve">a reconfiguration to </w:t>
      </w:r>
      <w:r>
        <w:t xml:space="preserve">update the keys.  </w:t>
      </w:r>
      <w:proofErr w:type="gramStart"/>
      <w:r w:rsidR="005C4792">
        <w:t>In reality, it</w:t>
      </w:r>
      <w:proofErr w:type="gramEnd"/>
      <w:r w:rsidR="005C4792">
        <w:t xml:space="preserve"> will be</w:t>
      </w:r>
      <w:r>
        <w:t xml:space="preserve"> even less if there </w:t>
      </w:r>
      <w:r w:rsidR="004E714E">
        <w:t xml:space="preserve">are </w:t>
      </w:r>
      <w:r>
        <w:t xml:space="preserve">more than </w:t>
      </w:r>
      <w:r w:rsidR="005C4792">
        <w:t xml:space="preserve">one cell per CU or cells of multiple </w:t>
      </w:r>
      <w:r>
        <w:t>CU cells preconfigured.  Increasing NCC value range is one option, which will also require CN to provide that many NH, NCC pairs to the serving CU.</w:t>
      </w:r>
    </w:p>
    <w:p w14:paraId="32155558" w14:textId="23E316F3" w:rsidR="00355247" w:rsidRDefault="00355247" w:rsidP="00355247">
      <w:pPr>
        <w:pStyle w:val="Obs-prop"/>
      </w:pPr>
      <w:r>
        <w:t>Observation #</w:t>
      </w:r>
      <w:r w:rsidR="004E714E">
        <w:t>4</w:t>
      </w:r>
      <w:r>
        <w:t>: The current NCC value range of 8 is not sufficient for subsequent LTM cell switch.</w:t>
      </w:r>
      <w:r w:rsidR="00002E7E">
        <w:t xml:space="preserve">  Increasing NCC value range will cause additional complexity, also for CN.</w:t>
      </w:r>
    </w:p>
    <w:p w14:paraId="5402E94C" w14:textId="37025D8B" w:rsidR="00E27022" w:rsidRDefault="00E27022" w:rsidP="00E27022">
      <w:r>
        <w:t>The main motivation for vertical key derivation</w:t>
      </w:r>
      <w:r w:rsidR="00355247">
        <w:t xml:space="preserve">, as opposed to horizontal key derivation, </w:t>
      </w:r>
      <w:r>
        <w:t xml:space="preserve">is key separation.  That is, it should not be possible to derive the keys of a subsequent target cell after 2 hops from the current cell.  As the candidate cell key is configured by the source CU, </w:t>
      </w:r>
      <w:r w:rsidR="004E714E">
        <w:t xml:space="preserve">UE mobility </w:t>
      </w:r>
      <w:r>
        <w:t xml:space="preserve">back and forth between the cells </w:t>
      </w:r>
      <w:r w:rsidR="00355247">
        <w:t xml:space="preserve">of CU1 and CU2 </w:t>
      </w:r>
      <w:r>
        <w:t>does not require key separation. Hence horizontal key derivation to generate a new key for the same target cell whenever the UE moves back to the same cell</w:t>
      </w:r>
      <w:r w:rsidR="00355247">
        <w:t xml:space="preserve"> </w:t>
      </w:r>
      <w:r w:rsidR="004E714E">
        <w:t xml:space="preserve">group </w:t>
      </w:r>
      <w:r w:rsidR="00355247">
        <w:t>should be sufficient and does not create new security threats from lack of key separation</w:t>
      </w:r>
      <w:r>
        <w:t xml:space="preserve">.  </w:t>
      </w:r>
      <w:r w:rsidR="00002E7E">
        <w:t xml:space="preserve">Using horizontal key derivation avoids the complexity of increasing the NCC value range.  </w:t>
      </w:r>
    </w:p>
    <w:p w14:paraId="57B30193" w14:textId="1569E032" w:rsidR="00E27022" w:rsidRDefault="00355247" w:rsidP="00355247">
      <w:pPr>
        <w:pStyle w:val="Obs-prop"/>
      </w:pPr>
      <w:r>
        <w:t>Observation #</w:t>
      </w:r>
      <w:r w:rsidR="00B818B9">
        <w:t>5</w:t>
      </w:r>
      <w:r>
        <w:t xml:space="preserve">: </w:t>
      </w:r>
      <w:r w:rsidR="00002E7E">
        <w:t xml:space="preserve">For subsequent LTM cell switch between same two CUs, </w:t>
      </w:r>
      <w:r>
        <w:t>horizontal key derivation should be sufficient and does not create new security threats from lack of key separation.</w:t>
      </w:r>
      <w:r w:rsidR="00002E7E">
        <w:t xml:space="preserve"> Using horizontal key derivation avoids the complexity of increasing the NCC value range.</w:t>
      </w:r>
    </w:p>
    <w:p w14:paraId="66CC9E0E" w14:textId="127DBE22" w:rsidR="00E27022" w:rsidRPr="00E27022" w:rsidRDefault="00002E7E" w:rsidP="00C75510">
      <w:pPr>
        <w:pStyle w:val="Obs-prop"/>
      </w:pPr>
      <w:r>
        <w:t>Proposal #</w:t>
      </w:r>
      <w:r w:rsidR="00875610">
        <w:t>3</w:t>
      </w:r>
      <w:r>
        <w:t xml:space="preserve">: Use horizontal key derivation for </w:t>
      </w:r>
      <w:r w:rsidR="00C75510">
        <w:t>subsequent</w:t>
      </w:r>
      <w:r>
        <w:t xml:space="preserve"> </w:t>
      </w:r>
      <w:r w:rsidR="00C75510">
        <w:t xml:space="preserve">LTM cell switch </w:t>
      </w:r>
      <w:r w:rsidR="00B818B9">
        <w:t xml:space="preserve">back and forth </w:t>
      </w:r>
      <w:r w:rsidR="00C75510">
        <w:t>between same two CUs</w:t>
      </w:r>
      <w:r w:rsidR="00B818B9">
        <w:t xml:space="preserve"> (i.e., after vertical key derivation when the UE moves to a CU cell first time)</w:t>
      </w:r>
      <w:r w:rsidR="00C75510">
        <w:t xml:space="preserve">.  </w:t>
      </w:r>
      <w:r w:rsidR="00B818B9">
        <w:t>RAN2 can c</w:t>
      </w:r>
      <w:r w:rsidR="00C75510">
        <w:t>heck with SA3 if required.</w:t>
      </w:r>
    </w:p>
    <w:p w14:paraId="50F2E7AD" w14:textId="1BB9E3B0" w:rsidR="007B439B" w:rsidRDefault="00C75510" w:rsidP="00C75510">
      <w:pPr>
        <w:pStyle w:val="Heading1"/>
      </w:pPr>
      <w:r>
        <w:t>Summary and proposals</w:t>
      </w:r>
    </w:p>
    <w:p w14:paraId="32C96A64" w14:textId="036CA67E" w:rsidR="00C75510" w:rsidRDefault="00C75510" w:rsidP="00C75510">
      <w:r>
        <w:t>This document looked at security handling during subsequent LTM cell switch between cells of different CUs.  The following observations and proposals were made.</w:t>
      </w:r>
    </w:p>
    <w:p w14:paraId="43ABAB9C" w14:textId="77777777" w:rsidR="00875610" w:rsidRPr="00875610" w:rsidRDefault="00875610" w:rsidP="00875610">
      <w:pPr>
        <w:pStyle w:val="Obs-prop"/>
        <w:rPr>
          <w:b w:val="0"/>
          <w:bCs w:val="0"/>
        </w:rPr>
      </w:pPr>
      <w:r>
        <w:t xml:space="preserve">Observation #1: </w:t>
      </w:r>
      <w:r w:rsidRPr="00875610">
        <w:rPr>
          <w:b w:val="0"/>
          <w:bCs w:val="0"/>
        </w:rPr>
        <w:t xml:space="preserve">As with SCPAC, SA3 will require the use of new security keys every time the UE moves back and forth between cells of a different CUs.  </w:t>
      </w:r>
    </w:p>
    <w:p w14:paraId="2BE350BF" w14:textId="77777777" w:rsidR="00875610" w:rsidRDefault="00875610" w:rsidP="00875610">
      <w:pPr>
        <w:pStyle w:val="Obs-prop"/>
      </w:pPr>
      <w:r>
        <w:t xml:space="preserve">Proposal #1: </w:t>
      </w:r>
      <w:r w:rsidRPr="00875610">
        <w:rPr>
          <w:b w:val="0"/>
          <w:bCs w:val="0"/>
        </w:rPr>
        <w:t xml:space="preserve">A group of cells (e.g., of the same CU), identified with a group ID, is associated with the same security key.  Different groups are provided with different security keys.  UE uses a new target key corresponding to the target group every time UE performs an LTM cell switch between cells of different groups.  </w:t>
      </w:r>
    </w:p>
    <w:p w14:paraId="4A9D7764" w14:textId="77777777" w:rsidR="00875610" w:rsidRDefault="00875610" w:rsidP="00875610">
      <w:pPr>
        <w:pStyle w:val="Obs-prop"/>
      </w:pPr>
      <w:r>
        <w:t xml:space="preserve">Observation #2: </w:t>
      </w:r>
      <w:r w:rsidRPr="00875610">
        <w:rPr>
          <w:b w:val="0"/>
          <w:bCs w:val="0"/>
        </w:rPr>
        <w:t xml:space="preserve">The key used by the UE in the cells of a CU corresponds to the </w:t>
      </w:r>
      <w:proofErr w:type="spellStart"/>
      <w:r w:rsidRPr="00875610">
        <w:rPr>
          <w:b w:val="0"/>
          <w:bCs w:val="0"/>
        </w:rPr>
        <w:t>KgNB</w:t>
      </w:r>
      <w:proofErr w:type="spellEnd"/>
      <w:r w:rsidRPr="00875610">
        <w:rPr>
          <w:b w:val="0"/>
          <w:bCs w:val="0"/>
        </w:rPr>
        <w:t xml:space="preserve"> of the first cell where the UE entered CU2.</w:t>
      </w:r>
    </w:p>
    <w:p w14:paraId="15FA2686" w14:textId="77777777" w:rsidR="00875610" w:rsidRDefault="00875610" w:rsidP="00875610">
      <w:pPr>
        <w:pStyle w:val="Obs-prop"/>
      </w:pPr>
      <w:r>
        <w:t xml:space="preserve">Proposal #2: </w:t>
      </w:r>
      <w:r w:rsidRPr="00875610">
        <w:rPr>
          <w:b w:val="0"/>
          <w:bCs w:val="0"/>
        </w:rPr>
        <w:t xml:space="preserve">Vertical key derivation is used to generate the </w:t>
      </w:r>
      <w:proofErr w:type="spellStart"/>
      <w:r w:rsidRPr="00875610">
        <w:rPr>
          <w:b w:val="0"/>
          <w:bCs w:val="0"/>
        </w:rPr>
        <w:t>KgNB</w:t>
      </w:r>
      <w:proofErr w:type="spellEnd"/>
      <w:r w:rsidRPr="00875610">
        <w:rPr>
          <w:b w:val="0"/>
          <w:bCs w:val="0"/>
        </w:rPr>
        <w:t xml:space="preserve"> of the first cell of a CU when the UE moves to the cell of a new CU.</w:t>
      </w:r>
    </w:p>
    <w:p w14:paraId="38A4AB70" w14:textId="77777777" w:rsidR="00875610" w:rsidRPr="00247CAE" w:rsidRDefault="00875610" w:rsidP="00875610">
      <w:pPr>
        <w:pStyle w:val="Obs-prop"/>
      </w:pPr>
      <w:r>
        <w:t xml:space="preserve">Observation #3: </w:t>
      </w:r>
      <w:r w:rsidRPr="00875610">
        <w:rPr>
          <w:b w:val="0"/>
          <w:bCs w:val="0"/>
        </w:rPr>
        <w:t xml:space="preserve">Cells of a CU can be assigned the same group ID and the same </w:t>
      </w:r>
      <w:proofErr w:type="spellStart"/>
      <w:r w:rsidRPr="00875610">
        <w:rPr>
          <w:b w:val="0"/>
          <w:bCs w:val="0"/>
        </w:rPr>
        <w:t>KgNB</w:t>
      </w:r>
      <w:proofErr w:type="spellEnd"/>
      <w:r w:rsidRPr="00875610">
        <w:rPr>
          <w:b w:val="0"/>
          <w:bCs w:val="0"/>
        </w:rPr>
        <w:t xml:space="preserve"> can be used by the UE for all the cells of the group.  The candidate CU </w:t>
      </w:r>
      <w:proofErr w:type="gramStart"/>
      <w:r w:rsidRPr="00875610">
        <w:rPr>
          <w:b w:val="0"/>
          <w:bCs w:val="0"/>
        </w:rPr>
        <w:t>has to</w:t>
      </w:r>
      <w:proofErr w:type="gramEnd"/>
      <w:r w:rsidRPr="00875610">
        <w:rPr>
          <w:b w:val="0"/>
          <w:bCs w:val="0"/>
        </w:rPr>
        <w:t xml:space="preserve"> be configured with different </w:t>
      </w:r>
      <w:proofErr w:type="spellStart"/>
      <w:r w:rsidRPr="00875610">
        <w:rPr>
          <w:b w:val="0"/>
          <w:bCs w:val="0"/>
        </w:rPr>
        <w:t>KgNBs</w:t>
      </w:r>
      <w:proofErr w:type="spellEnd"/>
      <w:r w:rsidRPr="00875610">
        <w:rPr>
          <w:b w:val="0"/>
          <w:bCs w:val="0"/>
        </w:rPr>
        <w:t xml:space="preserve"> for each of the candidate LTM preconfigured cells in the target CU.</w:t>
      </w:r>
    </w:p>
    <w:p w14:paraId="2051A97A" w14:textId="77777777" w:rsidR="00875610" w:rsidRDefault="00875610" w:rsidP="00875610">
      <w:pPr>
        <w:pStyle w:val="Obs-prop"/>
      </w:pPr>
      <w:r>
        <w:t xml:space="preserve">Observation #4: </w:t>
      </w:r>
      <w:r w:rsidRPr="00875610">
        <w:rPr>
          <w:b w:val="0"/>
          <w:bCs w:val="0"/>
        </w:rPr>
        <w:t>The current NCC value range of 8 is not sufficient for subsequent LTM cell switch.  Increasing NCC value range will cause additional complexity, also for CN.</w:t>
      </w:r>
    </w:p>
    <w:p w14:paraId="77DF733A" w14:textId="77777777" w:rsidR="00875610" w:rsidRDefault="00875610" w:rsidP="00875610">
      <w:pPr>
        <w:pStyle w:val="Obs-prop"/>
      </w:pPr>
      <w:r>
        <w:t xml:space="preserve">Observation #5: </w:t>
      </w:r>
      <w:r w:rsidRPr="00875610">
        <w:rPr>
          <w:b w:val="0"/>
          <w:bCs w:val="0"/>
        </w:rPr>
        <w:t>For subsequent LTM cell switch between same two CUs, horizontal key derivation should be sufficient and does not create new security threats from lack of key separation. Using horizontal key derivation avoids the complexity of increasing the NCC value range.</w:t>
      </w:r>
    </w:p>
    <w:p w14:paraId="525463F7" w14:textId="77777777" w:rsidR="00875610" w:rsidRPr="00E27022" w:rsidRDefault="00875610" w:rsidP="00875610">
      <w:pPr>
        <w:pStyle w:val="Obs-prop"/>
      </w:pPr>
      <w:r>
        <w:t xml:space="preserve">Proposal #3: </w:t>
      </w:r>
      <w:r w:rsidRPr="00875610">
        <w:rPr>
          <w:b w:val="0"/>
          <w:bCs w:val="0"/>
        </w:rPr>
        <w:t>Use horizontal key derivation for subsequent LTM cell switch back and forth between same two CUs (i.e., after vertical key derivation when the UE moves to a CU cell first time).  RAN2 can check with SA3 if required.</w:t>
      </w:r>
    </w:p>
    <w:p w14:paraId="072474B1" w14:textId="77777777" w:rsidR="007B439B" w:rsidRDefault="007B439B" w:rsidP="007B439B"/>
    <w:p w14:paraId="0AC8BC3A" w14:textId="77777777" w:rsidR="00681090" w:rsidRDefault="00681090"/>
    <w:sectPr w:rsidR="006810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204EE"/>
    <w:multiLevelType w:val="multilevel"/>
    <w:tmpl w:val="817A89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837F53"/>
    <w:multiLevelType w:val="multilevel"/>
    <w:tmpl w:val="DF22C0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AAD7138"/>
    <w:multiLevelType w:val="multilevel"/>
    <w:tmpl w:val="96EA01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F8414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A305A1F"/>
    <w:multiLevelType w:val="multilevel"/>
    <w:tmpl w:val="3AA076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6C48578D"/>
    <w:multiLevelType w:val="multilevel"/>
    <w:tmpl w:val="EE328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F541E01"/>
    <w:multiLevelType w:val="multilevel"/>
    <w:tmpl w:val="8284AA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824855424">
    <w:abstractNumId w:val="3"/>
  </w:num>
  <w:num w:numId="2" w16cid:durableId="600381655">
    <w:abstractNumId w:val="5"/>
  </w:num>
  <w:num w:numId="3" w16cid:durableId="420104848">
    <w:abstractNumId w:val="1"/>
  </w:num>
  <w:num w:numId="4" w16cid:durableId="1739859401">
    <w:abstractNumId w:val="2"/>
  </w:num>
  <w:num w:numId="5" w16cid:durableId="1289164540">
    <w:abstractNumId w:val="4"/>
  </w:num>
  <w:num w:numId="6" w16cid:durableId="760905559">
    <w:abstractNumId w:val="0"/>
  </w:num>
  <w:num w:numId="7" w16cid:durableId="6290965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39B"/>
    <w:rsid w:val="000020E4"/>
    <w:rsid w:val="0000259F"/>
    <w:rsid w:val="00002E7E"/>
    <w:rsid w:val="00003E4D"/>
    <w:rsid w:val="000052F6"/>
    <w:rsid w:val="00005E74"/>
    <w:rsid w:val="000122EF"/>
    <w:rsid w:val="00014DB9"/>
    <w:rsid w:val="00014EAC"/>
    <w:rsid w:val="0001633D"/>
    <w:rsid w:val="00016643"/>
    <w:rsid w:val="00017ADD"/>
    <w:rsid w:val="000209BD"/>
    <w:rsid w:val="0002567C"/>
    <w:rsid w:val="000260C4"/>
    <w:rsid w:val="00027DC1"/>
    <w:rsid w:val="000315E8"/>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5FDA"/>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19A3"/>
    <w:rsid w:val="0016368A"/>
    <w:rsid w:val="00164CF9"/>
    <w:rsid w:val="001668C4"/>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831"/>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47CAE"/>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13E0"/>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5247"/>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60A"/>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410"/>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42D2"/>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E714E"/>
    <w:rsid w:val="004F0453"/>
    <w:rsid w:val="004F1677"/>
    <w:rsid w:val="004F3A6C"/>
    <w:rsid w:val="004F4DAD"/>
    <w:rsid w:val="004F5E43"/>
    <w:rsid w:val="004F603D"/>
    <w:rsid w:val="004F629F"/>
    <w:rsid w:val="004F76B0"/>
    <w:rsid w:val="00500883"/>
    <w:rsid w:val="00500929"/>
    <w:rsid w:val="00500E9C"/>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6C53"/>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4792"/>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054"/>
    <w:rsid w:val="00600E33"/>
    <w:rsid w:val="00603145"/>
    <w:rsid w:val="00603703"/>
    <w:rsid w:val="00605418"/>
    <w:rsid w:val="00605B0A"/>
    <w:rsid w:val="00606040"/>
    <w:rsid w:val="006070EC"/>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15E"/>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19D8"/>
    <w:rsid w:val="00693049"/>
    <w:rsid w:val="006937F1"/>
    <w:rsid w:val="00695C1F"/>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9F8"/>
    <w:rsid w:val="00754A27"/>
    <w:rsid w:val="00756D16"/>
    <w:rsid w:val="00760702"/>
    <w:rsid w:val="007607D1"/>
    <w:rsid w:val="007628BB"/>
    <w:rsid w:val="007633F3"/>
    <w:rsid w:val="00764628"/>
    <w:rsid w:val="00764899"/>
    <w:rsid w:val="00764965"/>
    <w:rsid w:val="00764F1B"/>
    <w:rsid w:val="007671CA"/>
    <w:rsid w:val="00770332"/>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2D19"/>
    <w:rsid w:val="007B439B"/>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17D93"/>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10"/>
    <w:rsid w:val="008756F0"/>
    <w:rsid w:val="008757F3"/>
    <w:rsid w:val="00877885"/>
    <w:rsid w:val="00884405"/>
    <w:rsid w:val="00884EFD"/>
    <w:rsid w:val="00886635"/>
    <w:rsid w:val="00887134"/>
    <w:rsid w:val="0088765C"/>
    <w:rsid w:val="00890185"/>
    <w:rsid w:val="00891322"/>
    <w:rsid w:val="0089354E"/>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CF4"/>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619A"/>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6939"/>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365"/>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4BF3"/>
    <w:rsid w:val="00A44D4A"/>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7B5"/>
    <w:rsid w:val="00AA58A5"/>
    <w:rsid w:val="00AA7E2C"/>
    <w:rsid w:val="00AB187E"/>
    <w:rsid w:val="00AB1AFD"/>
    <w:rsid w:val="00AB1CA7"/>
    <w:rsid w:val="00AB4834"/>
    <w:rsid w:val="00AB5DAD"/>
    <w:rsid w:val="00AB5FA1"/>
    <w:rsid w:val="00AC13F0"/>
    <w:rsid w:val="00AC211B"/>
    <w:rsid w:val="00AC2303"/>
    <w:rsid w:val="00AC338D"/>
    <w:rsid w:val="00AC3529"/>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2E37"/>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2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18B9"/>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23A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25AA"/>
    <w:rsid w:val="00C434F0"/>
    <w:rsid w:val="00C43886"/>
    <w:rsid w:val="00C4415D"/>
    <w:rsid w:val="00C44302"/>
    <w:rsid w:val="00C44A03"/>
    <w:rsid w:val="00C45DEE"/>
    <w:rsid w:val="00C46607"/>
    <w:rsid w:val="00C47460"/>
    <w:rsid w:val="00C474ED"/>
    <w:rsid w:val="00C4787B"/>
    <w:rsid w:val="00C47F88"/>
    <w:rsid w:val="00C50583"/>
    <w:rsid w:val="00C51025"/>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510"/>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971"/>
    <w:rsid w:val="00CB1C5C"/>
    <w:rsid w:val="00CB3137"/>
    <w:rsid w:val="00CB3B63"/>
    <w:rsid w:val="00CB48D7"/>
    <w:rsid w:val="00CB57F5"/>
    <w:rsid w:val="00CC03CC"/>
    <w:rsid w:val="00CC0A60"/>
    <w:rsid w:val="00CC0ABD"/>
    <w:rsid w:val="00CC5281"/>
    <w:rsid w:val="00CD004F"/>
    <w:rsid w:val="00CD0177"/>
    <w:rsid w:val="00CD5AF3"/>
    <w:rsid w:val="00CD726F"/>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74D"/>
    <w:rsid w:val="00DA6A24"/>
    <w:rsid w:val="00DB0927"/>
    <w:rsid w:val="00DB0E20"/>
    <w:rsid w:val="00DB0E2C"/>
    <w:rsid w:val="00DB2F62"/>
    <w:rsid w:val="00DB3848"/>
    <w:rsid w:val="00DB471C"/>
    <w:rsid w:val="00DB4ECF"/>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38CB"/>
    <w:rsid w:val="00DF5EB4"/>
    <w:rsid w:val="00DF71DA"/>
    <w:rsid w:val="00DF7EF7"/>
    <w:rsid w:val="00E00310"/>
    <w:rsid w:val="00E00749"/>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27022"/>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84E10"/>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2EEF"/>
    <w:rsid w:val="00EC442C"/>
    <w:rsid w:val="00EC4C83"/>
    <w:rsid w:val="00EC60D9"/>
    <w:rsid w:val="00ED0C6D"/>
    <w:rsid w:val="00ED111E"/>
    <w:rsid w:val="00ED16E3"/>
    <w:rsid w:val="00ED239B"/>
    <w:rsid w:val="00ED265D"/>
    <w:rsid w:val="00ED3B10"/>
    <w:rsid w:val="00ED44A3"/>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3E"/>
    <w:rsid w:val="00F25AE1"/>
    <w:rsid w:val="00F25F74"/>
    <w:rsid w:val="00F27341"/>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66E6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24F609B"/>
    <w:rsid w:val="27892E5E"/>
    <w:rsid w:val="2D6202ED"/>
    <w:rsid w:val="39B0FC55"/>
    <w:rsid w:val="40243E37"/>
    <w:rsid w:val="7B218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6EDAD36"/>
  <w15:chartTrackingRefBased/>
  <w15:docId w15:val="{ADBB57BE-F400-4ECA-80A1-7D558FC8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39B"/>
  </w:style>
  <w:style w:type="paragraph" w:styleId="Heading1">
    <w:name w:val="heading 1"/>
    <w:basedOn w:val="Normal"/>
    <w:next w:val="Normal"/>
    <w:link w:val="Heading1Char"/>
    <w:uiPriority w:val="9"/>
    <w:qFormat/>
    <w:rsid w:val="007B439B"/>
    <w:pPr>
      <w:keepNext/>
      <w:keepLines/>
      <w:numPr>
        <w:numId w:val="1"/>
      </w:numPr>
      <w:spacing w:before="240" w:after="0" w:line="240" w:lineRule="auto"/>
      <w:outlineLvl w:val="0"/>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2">
    <w:name w:val="heading 2"/>
    <w:basedOn w:val="Normal"/>
    <w:next w:val="Normal"/>
    <w:link w:val="Heading2Char"/>
    <w:uiPriority w:val="9"/>
    <w:unhideWhenUsed/>
    <w:qFormat/>
    <w:rsid w:val="007B439B"/>
    <w:pPr>
      <w:keepNext/>
      <w:keepLines/>
      <w:numPr>
        <w:ilvl w:val="1"/>
        <w:numId w:val="1"/>
      </w:numPr>
      <w:spacing w:before="40" w:after="0" w:line="240"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paragraph" w:styleId="Heading3">
    <w:name w:val="heading 3"/>
    <w:basedOn w:val="Normal"/>
    <w:next w:val="Normal"/>
    <w:link w:val="Heading3Char"/>
    <w:uiPriority w:val="9"/>
    <w:semiHidden/>
    <w:unhideWhenUsed/>
    <w:qFormat/>
    <w:rsid w:val="007B439B"/>
    <w:pPr>
      <w:keepNext/>
      <w:keepLines/>
      <w:numPr>
        <w:ilvl w:val="2"/>
        <w:numId w:val="1"/>
      </w:numPr>
      <w:spacing w:before="40" w:after="0" w:line="240" w:lineRule="auto"/>
      <w:outlineLvl w:val="2"/>
    </w:pPr>
    <w:rPr>
      <w:rFonts w:asciiTheme="majorHAnsi" w:eastAsiaTheme="majorEastAsia" w:hAnsiTheme="majorHAnsi" w:cstheme="majorBidi"/>
      <w:color w:val="1F3763" w:themeColor="accent1" w:themeShade="7F"/>
      <w:kern w:val="2"/>
      <w:sz w:val="24"/>
      <w:szCs w:val="24"/>
      <w14:ligatures w14:val="standardContextual"/>
    </w:rPr>
  </w:style>
  <w:style w:type="paragraph" w:styleId="Heading4">
    <w:name w:val="heading 4"/>
    <w:basedOn w:val="Normal"/>
    <w:next w:val="Normal"/>
    <w:link w:val="Heading4Char"/>
    <w:uiPriority w:val="9"/>
    <w:semiHidden/>
    <w:unhideWhenUsed/>
    <w:qFormat/>
    <w:rsid w:val="007B439B"/>
    <w:pPr>
      <w:keepNext/>
      <w:keepLines/>
      <w:numPr>
        <w:ilvl w:val="3"/>
        <w:numId w:val="1"/>
      </w:numPr>
      <w:spacing w:before="40" w:after="0" w:line="240" w:lineRule="auto"/>
      <w:outlineLvl w:val="3"/>
    </w:pPr>
    <w:rPr>
      <w:rFonts w:asciiTheme="majorHAnsi" w:eastAsiaTheme="majorEastAsia" w:hAnsiTheme="maj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B439B"/>
    <w:pPr>
      <w:keepNext/>
      <w:keepLines/>
      <w:numPr>
        <w:ilvl w:val="4"/>
        <w:numId w:val="1"/>
      </w:numPr>
      <w:spacing w:before="40" w:after="0" w:line="240" w:lineRule="auto"/>
      <w:outlineLvl w:val="4"/>
    </w:pPr>
    <w:rPr>
      <w:rFonts w:asciiTheme="majorHAnsi" w:eastAsiaTheme="majorEastAsia" w:hAnsiTheme="maj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B439B"/>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kern w:val="2"/>
      <w14:ligatures w14:val="standardContextual"/>
    </w:rPr>
  </w:style>
  <w:style w:type="paragraph" w:styleId="Heading7">
    <w:name w:val="heading 7"/>
    <w:basedOn w:val="Normal"/>
    <w:next w:val="Normal"/>
    <w:link w:val="Heading7Char"/>
    <w:uiPriority w:val="9"/>
    <w:semiHidden/>
    <w:unhideWhenUsed/>
    <w:qFormat/>
    <w:rsid w:val="007B439B"/>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kern w:val="2"/>
      <w14:ligatures w14:val="standardContextual"/>
    </w:rPr>
  </w:style>
  <w:style w:type="paragraph" w:styleId="Heading8">
    <w:name w:val="heading 8"/>
    <w:basedOn w:val="Normal"/>
    <w:next w:val="Normal"/>
    <w:link w:val="Heading8Char"/>
    <w:uiPriority w:val="9"/>
    <w:semiHidden/>
    <w:unhideWhenUsed/>
    <w:qFormat/>
    <w:rsid w:val="007B439B"/>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Heading9">
    <w:name w:val="heading 9"/>
    <w:basedOn w:val="Normal"/>
    <w:next w:val="Normal"/>
    <w:link w:val="Heading9Char"/>
    <w:uiPriority w:val="9"/>
    <w:semiHidden/>
    <w:unhideWhenUsed/>
    <w:qFormat/>
    <w:rsid w:val="007B439B"/>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kern w:val="2"/>
      <w:sz w:val="21"/>
      <w:szCs w:val="2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7B439B"/>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2Char">
    <w:name w:val="Heading 2 Char"/>
    <w:basedOn w:val="DefaultParagraphFont"/>
    <w:link w:val="Heading2"/>
    <w:uiPriority w:val="9"/>
    <w:rsid w:val="007B439B"/>
    <w:rPr>
      <w:rFonts w:asciiTheme="majorHAnsi" w:eastAsiaTheme="majorEastAsia" w:hAnsiTheme="majorHAnsi" w:cstheme="majorBidi"/>
      <w:color w:val="2F5496" w:themeColor="accent1" w:themeShade="BF"/>
      <w:kern w:val="2"/>
      <w:sz w:val="26"/>
      <w:szCs w:val="26"/>
      <w14:ligatures w14:val="standardContextual"/>
    </w:rPr>
  </w:style>
  <w:style w:type="character" w:customStyle="1" w:styleId="Heading3Char">
    <w:name w:val="Heading 3 Char"/>
    <w:basedOn w:val="DefaultParagraphFont"/>
    <w:link w:val="Heading3"/>
    <w:uiPriority w:val="9"/>
    <w:semiHidden/>
    <w:rsid w:val="007B439B"/>
    <w:rPr>
      <w:rFonts w:asciiTheme="majorHAnsi" w:eastAsiaTheme="majorEastAsia" w:hAnsiTheme="majorHAnsi" w:cstheme="majorBidi"/>
      <w:color w:val="1F3763" w:themeColor="accent1" w:themeShade="7F"/>
      <w:kern w:val="2"/>
      <w:sz w:val="24"/>
      <w:szCs w:val="24"/>
      <w14:ligatures w14:val="standardContextual"/>
    </w:rPr>
  </w:style>
  <w:style w:type="character" w:customStyle="1" w:styleId="Heading4Char">
    <w:name w:val="Heading 4 Char"/>
    <w:basedOn w:val="DefaultParagraphFont"/>
    <w:link w:val="Heading4"/>
    <w:uiPriority w:val="9"/>
    <w:semiHidden/>
    <w:rsid w:val="007B439B"/>
    <w:rPr>
      <w:rFonts w:asciiTheme="majorHAnsi" w:eastAsiaTheme="majorEastAsia" w:hAnsiTheme="majorHAnsi" w:cstheme="majorBidi"/>
      <w:i/>
      <w:iCs/>
      <w:color w:val="2F5496" w:themeColor="accent1" w:themeShade="BF"/>
      <w:kern w:val="2"/>
      <w14:ligatures w14:val="standardContextual"/>
    </w:rPr>
  </w:style>
  <w:style w:type="character" w:customStyle="1" w:styleId="Heading5Char">
    <w:name w:val="Heading 5 Char"/>
    <w:basedOn w:val="DefaultParagraphFont"/>
    <w:link w:val="Heading5"/>
    <w:uiPriority w:val="9"/>
    <w:semiHidden/>
    <w:rsid w:val="007B439B"/>
    <w:rPr>
      <w:rFonts w:asciiTheme="majorHAnsi" w:eastAsiaTheme="majorEastAsia" w:hAnsiTheme="majorHAnsi"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7B439B"/>
    <w:rPr>
      <w:rFonts w:asciiTheme="majorHAnsi" w:eastAsiaTheme="majorEastAsia" w:hAnsiTheme="majorHAnsi" w:cstheme="majorBidi"/>
      <w:color w:val="1F3763" w:themeColor="accent1" w:themeShade="7F"/>
      <w:kern w:val="2"/>
      <w14:ligatures w14:val="standardContextual"/>
    </w:rPr>
  </w:style>
  <w:style w:type="character" w:customStyle="1" w:styleId="Heading7Char">
    <w:name w:val="Heading 7 Char"/>
    <w:basedOn w:val="DefaultParagraphFont"/>
    <w:link w:val="Heading7"/>
    <w:uiPriority w:val="9"/>
    <w:semiHidden/>
    <w:rsid w:val="007B439B"/>
    <w:rPr>
      <w:rFonts w:asciiTheme="majorHAnsi" w:eastAsiaTheme="majorEastAsia" w:hAnsiTheme="majorHAnsi" w:cstheme="majorBidi"/>
      <w:i/>
      <w:iCs/>
      <w:color w:val="1F3763" w:themeColor="accent1" w:themeShade="7F"/>
      <w:kern w:val="2"/>
      <w14:ligatures w14:val="standardContextual"/>
    </w:rPr>
  </w:style>
  <w:style w:type="character" w:customStyle="1" w:styleId="Heading8Char">
    <w:name w:val="Heading 8 Char"/>
    <w:basedOn w:val="DefaultParagraphFont"/>
    <w:link w:val="Heading8"/>
    <w:uiPriority w:val="9"/>
    <w:semiHidden/>
    <w:rsid w:val="007B439B"/>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Heading9Char">
    <w:name w:val="Heading 9 Char"/>
    <w:basedOn w:val="DefaultParagraphFont"/>
    <w:link w:val="Heading9"/>
    <w:uiPriority w:val="9"/>
    <w:semiHidden/>
    <w:rsid w:val="007B439B"/>
    <w:rPr>
      <w:rFonts w:asciiTheme="majorHAnsi" w:eastAsiaTheme="majorEastAsia" w:hAnsiTheme="majorHAnsi" w:cstheme="majorBidi"/>
      <w:i/>
      <w:iCs/>
      <w:color w:val="272727" w:themeColor="text1" w:themeTint="D8"/>
      <w:kern w:val="2"/>
      <w:sz w:val="21"/>
      <w:szCs w:val="21"/>
      <w14:ligatures w14:val="standardContextual"/>
    </w:rPr>
  </w:style>
  <w:style w:type="paragraph" w:customStyle="1" w:styleId="paragraph">
    <w:name w:val="paragraph"/>
    <w:basedOn w:val="Normal"/>
    <w:rsid w:val="007B439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B439B"/>
  </w:style>
  <w:style w:type="character" w:customStyle="1" w:styleId="eop">
    <w:name w:val="eop"/>
    <w:basedOn w:val="DefaultParagraphFont"/>
    <w:rsid w:val="007B439B"/>
  </w:style>
  <w:style w:type="character" w:styleId="Hyperlink">
    <w:name w:val="Hyperlink"/>
    <w:uiPriority w:val="99"/>
    <w:semiHidden/>
    <w:unhideWhenUsed/>
    <w:qFormat/>
    <w:rsid w:val="007B439B"/>
    <w:rPr>
      <w:color w:val="0000FF"/>
      <w:u w:val="single"/>
    </w:rPr>
  </w:style>
  <w:style w:type="paragraph" w:customStyle="1" w:styleId="Comments">
    <w:name w:val="Comments"/>
    <w:basedOn w:val="Normal"/>
    <w:link w:val="CommentsChar"/>
    <w:qFormat/>
    <w:rsid w:val="007B439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7B439B"/>
    <w:rPr>
      <w:rFonts w:ascii="Arial" w:eastAsia="MS Mincho" w:hAnsi="Arial" w:cs="Times New Roman"/>
      <w:i/>
      <w:noProof/>
      <w:sz w:val="18"/>
      <w:szCs w:val="24"/>
      <w:lang w:eastAsia="en-GB"/>
    </w:rPr>
  </w:style>
  <w:style w:type="table" w:styleId="TableGrid">
    <w:name w:val="Table Grid"/>
    <w:basedOn w:val="TableNormal"/>
    <w:uiPriority w:val="39"/>
    <w:rsid w:val="00EC4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DA0"/>
    <w:rPr>
      <w:sz w:val="16"/>
      <w:szCs w:val="16"/>
    </w:rPr>
  </w:style>
  <w:style w:type="paragraph" w:styleId="CommentText">
    <w:name w:val="annotation text"/>
    <w:basedOn w:val="Normal"/>
    <w:link w:val="CommentTextChar"/>
    <w:uiPriority w:val="99"/>
    <w:unhideWhenUsed/>
    <w:rsid w:val="003B1DA0"/>
    <w:pPr>
      <w:spacing w:line="240" w:lineRule="auto"/>
    </w:pPr>
    <w:rPr>
      <w:sz w:val="20"/>
      <w:szCs w:val="20"/>
    </w:rPr>
  </w:style>
  <w:style w:type="character" w:customStyle="1" w:styleId="CommentTextChar">
    <w:name w:val="Comment Text Char"/>
    <w:basedOn w:val="DefaultParagraphFont"/>
    <w:link w:val="CommentText"/>
    <w:uiPriority w:val="99"/>
    <w:rsid w:val="003B1DA0"/>
    <w:rPr>
      <w:sz w:val="20"/>
      <w:szCs w:val="20"/>
    </w:rPr>
  </w:style>
  <w:style w:type="paragraph" w:styleId="CommentSubject">
    <w:name w:val="annotation subject"/>
    <w:basedOn w:val="CommentText"/>
    <w:next w:val="CommentText"/>
    <w:link w:val="CommentSubjectChar"/>
    <w:uiPriority w:val="99"/>
    <w:semiHidden/>
    <w:unhideWhenUsed/>
    <w:rsid w:val="003B1DA0"/>
    <w:rPr>
      <w:b/>
      <w:bCs/>
    </w:rPr>
  </w:style>
  <w:style w:type="character" w:customStyle="1" w:styleId="CommentSubjectChar">
    <w:name w:val="Comment Subject Char"/>
    <w:basedOn w:val="CommentTextChar"/>
    <w:link w:val="CommentSubject"/>
    <w:uiPriority w:val="99"/>
    <w:semiHidden/>
    <w:rsid w:val="003B1DA0"/>
    <w:rPr>
      <w:b/>
      <w:bCs/>
      <w:sz w:val="20"/>
      <w:szCs w:val="20"/>
    </w:rPr>
  </w:style>
  <w:style w:type="paragraph" w:styleId="Revision">
    <w:name w:val="Revision"/>
    <w:hidden/>
    <w:uiPriority w:val="99"/>
    <w:semiHidden/>
    <w:rsid w:val="001619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3/Docs/RP-240299.zip" TargetMode="Externa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555451d-518f-4a10-969e-f3a9a0f123ff">
      <UserInfo>
        <DisplayName>Guo, Yi</DisplayName>
        <AccountId>15</AccountId>
        <AccountType/>
      </UserInfo>
      <UserInfo>
        <DisplayName>Burbidge, Richard C</DisplayName>
        <AccountId>14</AccountId>
        <AccountType/>
      </UserInfo>
      <UserInfo>
        <DisplayName>Kolekar, Abhijeet</DisplayName>
        <AccountId>29</AccountId>
        <AccountType/>
      </UserInfo>
      <UserInfo>
        <DisplayName>Palat, Sudeep K</DisplayName>
        <AccountId>6</AccountId>
        <AccountType/>
      </UserInfo>
    </SharedWithUsers>
    <_activity xmlns="a0881c7e-bde8-497c-bcbe-18a05f14a85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8" ma:contentTypeDescription="Create a new document." ma:contentTypeScope="" ma:versionID="a3855aeb62e62d4347e6d6502a3cc2bc">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35d9ded35ade25d6f35e8c290740c490"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F192C-90D6-4C52-A3AE-94D19E16EE80}">
  <ds:schemaRefs>
    <ds:schemaRef ds:uri="http://schemas.microsoft.com/sharepoint/v3/contenttype/forms"/>
  </ds:schemaRefs>
</ds:datastoreItem>
</file>

<file path=customXml/itemProps2.xml><?xml version="1.0" encoding="utf-8"?>
<ds:datastoreItem xmlns:ds="http://schemas.openxmlformats.org/officeDocument/2006/customXml" ds:itemID="{453B1C0D-4D05-41CA-83C3-544972C16780}">
  <ds:schemaRefs>
    <ds:schemaRef ds:uri="a555451d-518f-4a10-969e-f3a9a0f123ff"/>
    <ds:schemaRef ds:uri="http://purl.org/dc/terms/"/>
    <ds:schemaRef ds:uri="a0881c7e-bde8-497c-bcbe-18a05f14a854"/>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5704AC0-2EE3-48C3-AA88-C1AA4C8B6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Sudeep-2</cp:lastModifiedBy>
  <cp:revision>2</cp:revision>
  <dcterms:created xsi:type="dcterms:W3CDTF">2024-04-05T07:39:00Z</dcterms:created>
  <dcterms:modified xsi:type="dcterms:W3CDTF">2024-04-05T07:39:00Z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MediaServiceImageTags">
    <vt:lpwstr/>
  </property>
</Properties>
</file>