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3E209AF8"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12</w:t>
      </w:r>
      <w:r w:rsidR="00C54157">
        <w:rPr>
          <w:rFonts w:eastAsia="游明朝" w:cs="Arial"/>
          <w:lang w:val="de-DE" w:eastAsia="ja-JP"/>
        </w:rPr>
        <w:t>5bis</w:t>
      </w:r>
      <w:r w:rsidRPr="004F2BE7">
        <w:rPr>
          <w:rFonts w:cs="Arial"/>
        </w:rPr>
        <w:tab/>
      </w:r>
      <w:r w:rsidR="005A7F7F" w:rsidRPr="004F2BE7">
        <w:rPr>
          <w:rFonts w:cs="Arial"/>
        </w:rPr>
        <w:t xml:space="preserve"> </w:t>
      </w:r>
      <w:r w:rsidR="00DA48A8" w:rsidRPr="00DA48A8">
        <w:rPr>
          <w:rFonts w:cs="Arial"/>
        </w:rPr>
        <w:t>R2-</w:t>
      </w:r>
      <w:r w:rsidR="000671D1">
        <w:rPr>
          <w:rFonts w:cs="Arial"/>
        </w:rPr>
        <w:t>2</w:t>
      </w:r>
      <w:r w:rsidR="004E6046">
        <w:rPr>
          <w:rFonts w:cs="Arial"/>
        </w:rPr>
        <w:t>402361</w:t>
      </w:r>
    </w:p>
    <w:p w14:paraId="1637773D" w14:textId="534326F4" w:rsidR="00A34395" w:rsidRPr="004F2BE7" w:rsidRDefault="00273A3C" w:rsidP="0063498A">
      <w:pPr>
        <w:pStyle w:val="3GPPHeader"/>
        <w:spacing w:afterLines="100"/>
        <w:rPr>
          <w:rFonts w:cs="Arial"/>
        </w:rPr>
      </w:pPr>
      <w:r>
        <w:rPr>
          <w:rFonts w:cs="Arial"/>
          <w:szCs w:val="24"/>
        </w:rPr>
        <w:t>Changsha</w:t>
      </w:r>
      <w:r w:rsidR="00EF1DCE" w:rsidRPr="00EF1DCE">
        <w:rPr>
          <w:rFonts w:cs="Arial"/>
          <w:szCs w:val="24"/>
        </w:rPr>
        <w:t xml:space="preserve">, </w:t>
      </w:r>
      <w:r>
        <w:rPr>
          <w:rFonts w:cs="Arial"/>
          <w:szCs w:val="24"/>
        </w:rPr>
        <w:t>China</w:t>
      </w:r>
      <w:r w:rsidR="00EF1DCE" w:rsidRPr="00EF1DCE">
        <w:rPr>
          <w:rFonts w:cs="Arial"/>
          <w:szCs w:val="24"/>
        </w:rPr>
        <w:t xml:space="preserve">, </w:t>
      </w:r>
      <w:r>
        <w:rPr>
          <w:rFonts w:cs="Arial"/>
          <w:szCs w:val="24"/>
        </w:rPr>
        <w:t>April</w:t>
      </w:r>
      <w:r w:rsidR="00EF1DCE" w:rsidRPr="00EF1DCE">
        <w:rPr>
          <w:rFonts w:cs="Arial"/>
          <w:szCs w:val="24"/>
        </w:rPr>
        <w:t xml:space="preserve"> </w:t>
      </w:r>
      <w:r>
        <w:rPr>
          <w:rFonts w:cs="Arial"/>
          <w:szCs w:val="24"/>
        </w:rPr>
        <w:t>15</w:t>
      </w:r>
      <w:r w:rsidR="00EF1DCE" w:rsidRPr="00EF1DCE">
        <w:rPr>
          <w:rFonts w:cs="Arial"/>
          <w:szCs w:val="24"/>
        </w:rPr>
        <w:t>-</w:t>
      </w:r>
      <w:r w:rsidR="00E51A32">
        <w:rPr>
          <w:rFonts w:cs="Arial"/>
          <w:szCs w:val="24"/>
        </w:rPr>
        <w:t>1</w:t>
      </w:r>
      <w:r>
        <w:rPr>
          <w:rFonts w:cs="Arial"/>
          <w:szCs w:val="24"/>
        </w:rPr>
        <w:t>9</w:t>
      </w:r>
      <w:r w:rsidR="00EF1DCE" w:rsidRPr="00EF1DCE">
        <w:rPr>
          <w:rFonts w:cs="Arial"/>
          <w:szCs w:val="24"/>
        </w:rPr>
        <w:t>, 202</w:t>
      </w:r>
      <w:r w:rsidR="004E6728">
        <w:rPr>
          <w:rFonts w:cs="Arial"/>
          <w:szCs w:val="24"/>
        </w:rPr>
        <w:t>4</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268107A7"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Discussion</w:t>
      </w:r>
      <w:r w:rsidR="00EA07CE">
        <w:rPr>
          <w:rFonts w:cs="Arial"/>
          <w:sz w:val="22"/>
        </w:rPr>
        <w:t>s</w:t>
      </w:r>
      <w:r w:rsidR="008E283C" w:rsidRPr="008E283C">
        <w:rPr>
          <w:rFonts w:cs="Arial"/>
          <w:sz w:val="22"/>
        </w:rPr>
        <w:t xml:space="preserve"> on </w:t>
      </w:r>
      <w:r w:rsidR="00CA0D2E">
        <w:rPr>
          <w:rFonts w:cs="Arial"/>
          <w:sz w:val="22"/>
        </w:rPr>
        <w:t>inter-CU LTM</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3BDFD44B"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1B1623">
        <w:rPr>
          <w:rFonts w:cs="Arial"/>
          <w:sz w:val="22"/>
        </w:rPr>
        <w:t>8</w:t>
      </w:r>
      <w:r w:rsidR="005101CC" w:rsidRPr="005101CC">
        <w:rPr>
          <w:rFonts w:cs="Arial"/>
          <w:sz w:val="22"/>
        </w:rPr>
        <w:t>.</w:t>
      </w:r>
      <w:r w:rsidR="001B1623">
        <w:rPr>
          <w:rFonts w:cs="Arial"/>
          <w:sz w:val="22"/>
        </w:rPr>
        <w:t>6</w:t>
      </w:r>
      <w:r w:rsidR="005101CC" w:rsidRPr="005101CC">
        <w:rPr>
          <w:rFonts w:cs="Arial"/>
          <w:sz w:val="22"/>
        </w:rPr>
        <w:t>.2</w:t>
      </w:r>
      <w:r w:rsidR="005101CC" w:rsidRPr="005101CC">
        <w:rPr>
          <w:rFonts w:cs="Arial"/>
          <w:sz w:val="22"/>
        </w:rPr>
        <w:tab/>
      </w:r>
      <w:r w:rsidR="001B1623">
        <w:rPr>
          <w:rFonts w:cs="Arial"/>
          <w:sz w:val="22"/>
        </w:rPr>
        <w:t>inter-CU LTM</w:t>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70E4160C"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19614CB6" w14:textId="77777777" w:rsidR="00D15CBE" w:rsidRDefault="00D15CBE" w:rsidP="00D718A2">
      <w:pPr>
        <w:pStyle w:val="1"/>
        <w:rPr>
          <w:sz w:val="20"/>
          <w:lang w:eastAsia="zh-CN"/>
        </w:rPr>
      </w:pPr>
      <w:bookmarkStart w:id="0" w:name="_Ref178064866"/>
      <w:r w:rsidRPr="00D15CBE">
        <w:rPr>
          <w:sz w:val="20"/>
          <w:lang w:eastAsia="zh-CN"/>
        </w:rPr>
        <w:t>In this contribution, we discuss the support for inter-CU Layer2 Mobility (LTM).</w:t>
      </w:r>
    </w:p>
    <w:p w14:paraId="483FF206" w14:textId="4CD3517C" w:rsidR="00665460" w:rsidRPr="00B12C8F" w:rsidRDefault="001E6463" w:rsidP="00B12C8F">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tbl>
      <w:tblPr>
        <w:tblStyle w:val="aff4"/>
        <w:tblW w:w="0" w:type="auto"/>
        <w:tblLook w:val="04A0" w:firstRow="1" w:lastRow="0" w:firstColumn="1" w:lastColumn="0" w:noHBand="0" w:noVBand="1"/>
      </w:tblPr>
      <w:tblGrid>
        <w:gridCol w:w="9629"/>
      </w:tblGrid>
      <w:tr w:rsidR="00665460" w14:paraId="019C50EB" w14:textId="77777777" w:rsidTr="001C159B">
        <w:tc>
          <w:tcPr>
            <w:tcW w:w="9629" w:type="dxa"/>
          </w:tcPr>
          <w:p w14:paraId="36D21A00" w14:textId="77777777" w:rsidR="00D66784" w:rsidRPr="00CC5AFB" w:rsidRDefault="00D66784" w:rsidP="00D66784">
            <w:pPr>
              <w:numPr>
                <w:ilvl w:val="0"/>
                <w:numId w:val="46"/>
              </w:numPr>
              <w:spacing w:after="0"/>
              <w:rPr>
                <w:bCs/>
                <w:sz w:val="18"/>
                <w:szCs w:val="18"/>
              </w:rPr>
            </w:pPr>
            <w:r w:rsidRPr="00CC5AFB">
              <w:rPr>
                <w:bCs/>
                <w:sz w:val="18"/>
                <w:szCs w:val="18"/>
              </w:rPr>
              <w:t>Specify support for inter-CU Layer 2 Mobility (LTM) [RAN2, RAN3]</w:t>
            </w:r>
          </w:p>
          <w:p w14:paraId="353C54AE" w14:textId="77777777" w:rsidR="00D66784" w:rsidRPr="00CC5AFB" w:rsidRDefault="00D66784" w:rsidP="00D66784">
            <w:pPr>
              <w:numPr>
                <w:ilvl w:val="1"/>
                <w:numId w:val="46"/>
              </w:numPr>
              <w:spacing w:after="0"/>
              <w:rPr>
                <w:bCs/>
                <w:sz w:val="18"/>
                <w:szCs w:val="18"/>
              </w:rPr>
            </w:pPr>
            <w:r w:rsidRPr="00CC5AFB">
              <w:rPr>
                <w:bCs/>
                <w:sz w:val="18"/>
                <w:szCs w:val="18"/>
              </w:rPr>
              <w:t>Prioritize the case when CU is acting as MN when DC is not configured</w:t>
            </w:r>
          </w:p>
          <w:p w14:paraId="66897984" w14:textId="77777777" w:rsidR="00D66784" w:rsidRPr="00CC5AFB" w:rsidRDefault="00D66784" w:rsidP="00D66784">
            <w:pPr>
              <w:numPr>
                <w:ilvl w:val="1"/>
                <w:numId w:val="46"/>
              </w:numPr>
              <w:spacing w:after="0"/>
              <w:rPr>
                <w:bCs/>
                <w:sz w:val="18"/>
                <w:szCs w:val="18"/>
              </w:rPr>
            </w:pPr>
            <w:r w:rsidRPr="00CC5AFB">
              <w:rPr>
                <w:bCs/>
                <w:sz w:val="18"/>
                <w:szCs w:val="18"/>
              </w:rPr>
              <w:t>As secondary priority, support the case when NR-DC is configured and CU is acting as SN and MCG is unchanged</w:t>
            </w:r>
          </w:p>
          <w:p w14:paraId="4307A2C8" w14:textId="77777777" w:rsidR="00D66784" w:rsidRPr="00CC5AFB" w:rsidRDefault="00D66784" w:rsidP="00D66784">
            <w:pPr>
              <w:numPr>
                <w:ilvl w:val="1"/>
                <w:numId w:val="46"/>
              </w:numPr>
              <w:spacing w:after="0"/>
              <w:rPr>
                <w:bCs/>
                <w:sz w:val="18"/>
                <w:szCs w:val="18"/>
              </w:rPr>
            </w:pPr>
            <w:r w:rsidRPr="00CC5AFB">
              <w:rPr>
                <w:bCs/>
                <w:sz w:val="18"/>
                <w:szCs w:val="18"/>
              </w:rPr>
              <w:t>As secondary priority, support the case when NR-DC is configured, CU is acting as MN and SCG is unchanged or SCG is released</w:t>
            </w:r>
          </w:p>
          <w:p w14:paraId="16FCA6BB" w14:textId="77777777" w:rsidR="00D66784" w:rsidRPr="00CC5AFB" w:rsidRDefault="00D66784" w:rsidP="00D66784">
            <w:pPr>
              <w:numPr>
                <w:ilvl w:val="2"/>
                <w:numId w:val="46"/>
              </w:numPr>
              <w:spacing w:after="0"/>
              <w:rPr>
                <w:bCs/>
                <w:sz w:val="18"/>
                <w:szCs w:val="18"/>
              </w:rPr>
            </w:pPr>
            <w:r w:rsidRPr="00CC5AFB">
              <w:rPr>
                <w:bCs/>
                <w:sz w:val="18"/>
                <w:szCs w:val="18"/>
              </w:rPr>
              <w:t xml:space="preserve">Note: The case that LTM is configured in both MCG and SCG is excluded </w:t>
            </w:r>
          </w:p>
          <w:p w14:paraId="7594FFC4" w14:textId="77777777" w:rsidR="00D66784" w:rsidRPr="00CC5AFB" w:rsidRDefault="00D66784" w:rsidP="00D66784">
            <w:pPr>
              <w:numPr>
                <w:ilvl w:val="1"/>
                <w:numId w:val="46"/>
              </w:numPr>
              <w:spacing w:after="0"/>
              <w:rPr>
                <w:bCs/>
                <w:sz w:val="18"/>
                <w:szCs w:val="18"/>
                <w:highlight w:val="yellow"/>
              </w:rPr>
            </w:pPr>
            <w:r w:rsidRPr="00CC5AFB">
              <w:rPr>
                <w:bCs/>
                <w:sz w:val="18"/>
                <w:szCs w:val="18"/>
                <w:highlight w:val="yellow"/>
              </w:rPr>
              <w:t>Specify support for subsequent LTM mobility procedures aiming to avoid RRC configuration between cell switches as per Rel-18 LTM</w:t>
            </w:r>
          </w:p>
          <w:p w14:paraId="7024E601" w14:textId="77777777" w:rsidR="00D66784" w:rsidRPr="00CC5AFB" w:rsidRDefault="00D66784" w:rsidP="00D66784">
            <w:pPr>
              <w:numPr>
                <w:ilvl w:val="2"/>
                <w:numId w:val="46"/>
              </w:numPr>
              <w:spacing w:after="0"/>
              <w:rPr>
                <w:bCs/>
                <w:sz w:val="18"/>
                <w:szCs w:val="18"/>
              </w:rPr>
            </w:pPr>
            <w:r w:rsidRPr="00CC5AFB">
              <w:rPr>
                <w:bCs/>
                <w:sz w:val="18"/>
                <w:szCs w:val="18"/>
              </w:rPr>
              <w:t xml:space="preserve">Coordination with SA3 needed with respect to security key handling </w:t>
            </w:r>
          </w:p>
          <w:p w14:paraId="5298B277" w14:textId="77777777" w:rsidR="00D66784" w:rsidRPr="00CC5AFB" w:rsidRDefault="00D66784" w:rsidP="00D66784">
            <w:pPr>
              <w:numPr>
                <w:ilvl w:val="1"/>
                <w:numId w:val="46"/>
              </w:numPr>
              <w:spacing w:after="0"/>
              <w:rPr>
                <w:bCs/>
                <w:sz w:val="18"/>
                <w:szCs w:val="18"/>
              </w:rPr>
            </w:pPr>
            <w:r w:rsidRPr="00CC5AFB">
              <w:rPr>
                <w:bCs/>
                <w:sz w:val="18"/>
                <w:szCs w:val="18"/>
              </w:rPr>
              <w:t>Note: Rel. 18 intra-CU LTM procedure is considered as baseline for adding inter-CU support</w:t>
            </w:r>
          </w:p>
          <w:p w14:paraId="0B8ED55F" w14:textId="586FAC96" w:rsidR="00665460" w:rsidRPr="007F6916" w:rsidRDefault="00665460" w:rsidP="00F266FB">
            <w:pPr>
              <w:pStyle w:val="Agreement"/>
              <w:numPr>
                <w:ilvl w:val="0"/>
                <w:numId w:val="0"/>
              </w:numPr>
              <w:tabs>
                <w:tab w:val="left" w:pos="419"/>
              </w:tabs>
              <w:spacing w:before="0"/>
              <w:jc w:val="both"/>
              <w:rPr>
                <w:rFonts w:ascii="Times New Roman" w:hAnsi="Times New Roman"/>
                <w:b w:val="0"/>
                <w:bCs/>
                <w:color w:val="000000"/>
              </w:rPr>
            </w:pPr>
            <w:r>
              <w:rPr>
                <w:rFonts w:ascii="Times New Roman" w:hAnsi="Times New Roman"/>
                <w:b w:val="0"/>
                <w:bCs/>
              </w:rPr>
              <w:t xml:space="preserve"> </w:t>
            </w:r>
          </w:p>
        </w:tc>
      </w:tr>
    </w:tbl>
    <w:p w14:paraId="576DCB55" w14:textId="77777777" w:rsidR="00223CA9" w:rsidRDefault="00223CA9" w:rsidP="00DD132C">
      <w:pPr>
        <w:pStyle w:val="a9"/>
        <w:jc w:val="left"/>
        <w:rPr>
          <w:rFonts w:cs="Arial"/>
          <w:bCs/>
        </w:rPr>
      </w:pPr>
    </w:p>
    <w:p w14:paraId="69BD34B8" w14:textId="77777777" w:rsidR="0035702B" w:rsidRDefault="00B12C8F" w:rsidP="00DD132C">
      <w:pPr>
        <w:pStyle w:val="a9"/>
        <w:jc w:val="left"/>
        <w:rPr>
          <w:rStyle w:val="ui-provider"/>
        </w:rPr>
      </w:pPr>
      <w:r w:rsidRPr="00636EA4">
        <w:rPr>
          <w:rFonts w:cs="Arial"/>
          <w:bCs/>
        </w:rPr>
        <w:t>In RP-234036</w:t>
      </w:r>
      <w:r>
        <w:rPr>
          <w:rFonts w:cs="Arial"/>
          <w:bCs/>
        </w:rPr>
        <w:t>[1]</w:t>
      </w:r>
      <w:r w:rsidRPr="00636EA4">
        <w:rPr>
          <w:rFonts w:cs="Arial"/>
          <w:bCs/>
        </w:rPr>
        <w:t>, it was decided that inter-CU LTM would be discussed in Rel-19.</w:t>
      </w:r>
      <w:r w:rsidR="006658AC">
        <w:rPr>
          <w:rFonts w:cs="Arial"/>
          <w:bCs/>
        </w:rPr>
        <w:t xml:space="preserve"> </w:t>
      </w:r>
      <w:r w:rsidR="001C159B" w:rsidRPr="001C159B">
        <w:rPr>
          <w:rFonts w:cs="Arial"/>
        </w:rPr>
        <w:t xml:space="preserve">As stated in the </w:t>
      </w:r>
      <w:r w:rsidR="00D14B53">
        <w:rPr>
          <w:rFonts w:cs="Arial"/>
        </w:rPr>
        <w:t xml:space="preserve">above </w:t>
      </w:r>
      <w:r w:rsidR="001C159B" w:rsidRPr="001C159B">
        <w:rPr>
          <w:rFonts w:cs="Arial"/>
        </w:rPr>
        <w:t>document, it says "Specify support for subsequent LTM mobility procedures aiming to avoid RRC configuration between cell switch as per Rel-18 LTM", there is a need to support subsequent LTM</w:t>
      </w:r>
      <w:r w:rsidR="00853E65">
        <w:rPr>
          <w:rFonts w:cs="Arial"/>
        </w:rPr>
        <w:t xml:space="preserve"> on inter-CU</w:t>
      </w:r>
      <w:r w:rsidR="001C159B" w:rsidRPr="001C159B">
        <w:rPr>
          <w:rFonts w:cs="Arial"/>
        </w:rPr>
        <w:t xml:space="preserve">. </w:t>
      </w:r>
      <w:bookmarkStart w:id="1" w:name="P1"/>
      <w:r w:rsidR="0035702B">
        <w:rPr>
          <w:rStyle w:val="ui-provider"/>
        </w:rPr>
        <w:t>In Rel-18, RAN2 have specified subsequent LTM which is only applicable to the intra-CU case, this is realized by maintaining the configurations of candidate cells after cell switch. So, we should use Rel-18 subsequent LTM mechanism for intra-CU as a baseline for Rel-19 inter-CU.</w:t>
      </w:r>
    </w:p>
    <w:p w14:paraId="63B40060" w14:textId="2BA4BB96" w:rsidR="00B14DF3" w:rsidRDefault="008B52F0" w:rsidP="00DD132C">
      <w:pPr>
        <w:pStyle w:val="a9"/>
        <w:jc w:val="left"/>
        <w:rPr>
          <w:rFonts w:eastAsia="游明朝" w:cs="Arial"/>
          <w:b/>
          <w:bCs/>
          <w:sz w:val="21"/>
          <w:szCs w:val="21"/>
          <w:lang w:eastAsia="ja-JP"/>
        </w:rPr>
      </w:pPr>
      <w:r w:rsidRPr="008B52F0">
        <w:rPr>
          <w:rFonts w:eastAsia="游明朝" w:cs="Arial"/>
          <w:b/>
          <w:bCs/>
          <w:sz w:val="21"/>
          <w:szCs w:val="21"/>
          <w:lang w:eastAsia="ja-JP"/>
        </w:rPr>
        <w:t xml:space="preserve">Proposal1: </w:t>
      </w:r>
      <w:bookmarkStart w:id="2" w:name="_Hlk163064384"/>
      <w:bookmarkStart w:id="3" w:name="P2"/>
      <w:bookmarkEnd w:id="1"/>
      <w:r w:rsidR="00802C87" w:rsidRPr="00462F52">
        <w:rPr>
          <w:rStyle w:val="ui-provider"/>
          <w:b/>
          <w:bCs/>
        </w:rPr>
        <w:t>RAN2 agree to use Rel-18 subsequent LTM mechanism for intra-CU as a baseline for Rel-19 inter-CU.</w:t>
      </w:r>
      <w:bookmarkEnd w:id="2"/>
    </w:p>
    <w:p w14:paraId="361AF221" w14:textId="2E52B0D8" w:rsidR="00152124" w:rsidRDefault="00FB4FC7" w:rsidP="00EE4B14">
      <w:pPr>
        <w:pStyle w:val="a9"/>
        <w:jc w:val="left"/>
        <w:rPr>
          <w:rFonts w:eastAsia="游明朝" w:cs="Arial"/>
          <w:lang w:eastAsia="ja-JP"/>
        </w:rPr>
      </w:pPr>
      <w:r>
        <w:rPr>
          <w:rFonts w:eastAsia="游明朝" w:cs="Arial"/>
          <w:lang w:eastAsia="ja-JP"/>
        </w:rPr>
        <w:t>I</w:t>
      </w:r>
      <w:r w:rsidRPr="00152124">
        <w:rPr>
          <w:rFonts w:eastAsia="游明朝" w:cs="Arial"/>
          <w:lang w:eastAsia="ja-JP"/>
        </w:rPr>
        <w:t xml:space="preserve">n inter-CU LTM, </w:t>
      </w:r>
      <w:proofErr w:type="spellStart"/>
      <w:r w:rsidRPr="00152124">
        <w:rPr>
          <w:rFonts w:eastAsia="游明朝" w:cs="Arial"/>
          <w:lang w:eastAsia="ja-JP"/>
        </w:rPr>
        <w:t>Xn</w:t>
      </w:r>
      <w:proofErr w:type="spellEnd"/>
      <w:r w:rsidRPr="00152124">
        <w:rPr>
          <w:rFonts w:eastAsia="游明朝" w:cs="Arial"/>
          <w:lang w:eastAsia="ja-JP"/>
        </w:rPr>
        <w:t>/N2 interface needs to be considered</w:t>
      </w:r>
      <w:r>
        <w:rPr>
          <w:rFonts w:eastAsia="游明朝" w:cs="Arial"/>
          <w:lang w:eastAsia="ja-JP"/>
        </w:rPr>
        <w:t>, but w</w:t>
      </w:r>
      <w:r w:rsidRPr="00152124">
        <w:rPr>
          <w:rFonts w:eastAsia="游明朝" w:cs="Arial"/>
          <w:lang w:eastAsia="ja-JP"/>
        </w:rPr>
        <w:t>hen considering the N2 interface, it becomes more complex as it is necessary to exchange LTM configuration with the core. Therefore, in Rel-1</w:t>
      </w:r>
      <w:r>
        <w:rPr>
          <w:rFonts w:eastAsia="游明朝" w:cs="Arial"/>
          <w:lang w:eastAsia="ja-JP"/>
        </w:rPr>
        <w:t>9</w:t>
      </w:r>
      <w:r w:rsidRPr="00152124">
        <w:rPr>
          <w:rFonts w:eastAsia="游明朝" w:cs="Arial"/>
          <w:lang w:eastAsia="ja-JP"/>
        </w:rPr>
        <w:t xml:space="preserve">, where time is limited, </w:t>
      </w:r>
      <w:r>
        <w:rPr>
          <w:rStyle w:val="ui-provider"/>
        </w:rPr>
        <w:t xml:space="preserve">we believe it’s better to fucus on </w:t>
      </w:r>
      <w:proofErr w:type="spellStart"/>
      <w:r>
        <w:rPr>
          <w:rStyle w:val="ui-provider"/>
        </w:rPr>
        <w:t>Xn</w:t>
      </w:r>
      <w:proofErr w:type="spellEnd"/>
      <w:r>
        <w:rPr>
          <w:rStyle w:val="ui-provider"/>
        </w:rPr>
        <w:t xml:space="preserve"> interface mobility first, and then subsequent LTM via N2 interface mobility can be discussed later.</w:t>
      </w:r>
      <w:r w:rsidR="00152124">
        <w:rPr>
          <w:rFonts w:eastAsia="游明朝" w:cs="Arial"/>
          <w:lang w:eastAsia="ja-JP"/>
        </w:rPr>
        <w:br/>
      </w:r>
    </w:p>
    <w:p w14:paraId="5715D542" w14:textId="77777777" w:rsidR="00986514" w:rsidRDefault="00986514" w:rsidP="00986514">
      <w:pPr>
        <w:pStyle w:val="a9"/>
        <w:jc w:val="left"/>
        <w:rPr>
          <w:rStyle w:val="ui-provider"/>
          <w:b/>
          <w:bCs/>
        </w:rPr>
      </w:pPr>
      <w:bookmarkStart w:id="4" w:name="_Hlk118378814"/>
      <w:bookmarkEnd w:id="3"/>
      <w:r w:rsidRPr="008B52F0">
        <w:rPr>
          <w:rFonts w:eastAsia="游明朝" w:cs="Arial"/>
          <w:b/>
          <w:bCs/>
          <w:sz w:val="21"/>
          <w:szCs w:val="21"/>
          <w:lang w:eastAsia="ja-JP"/>
        </w:rPr>
        <w:t>Proposal2</w:t>
      </w:r>
      <w:r w:rsidRPr="00902681">
        <w:rPr>
          <w:rFonts w:eastAsia="游明朝" w:cs="Arial"/>
          <w:b/>
          <w:bCs/>
          <w:sz w:val="21"/>
          <w:szCs w:val="21"/>
          <w:lang w:eastAsia="ja-JP"/>
        </w:rPr>
        <w:t>:</w:t>
      </w:r>
      <w:r w:rsidRPr="00902681">
        <w:rPr>
          <w:b/>
          <w:bCs/>
        </w:rPr>
        <w:t xml:space="preserve"> </w:t>
      </w:r>
      <w:r w:rsidRPr="00902681">
        <w:rPr>
          <w:rStyle w:val="ui-provider"/>
          <w:b/>
          <w:bCs/>
        </w:rPr>
        <w:t xml:space="preserve">RAN2 agree to focus on the subsequent LTM mechanism for </w:t>
      </w:r>
      <w:proofErr w:type="spellStart"/>
      <w:r w:rsidRPr="00902681">
        <w:rPr>
          <w:rStyle w:val="ui-provider"/>
          <w:b/>
          <w:bCs/>
        </w:rPr>
        <w:t>Xn</w:t>
      </w:r>
      <w:proofErr w:type="spellEnd"/>
      <w:r w:rsidRPr="00902681">
        <w:rPr>
          <w:rStyle w:val="ui-provider"/>
          <w:b/>
          <w:bCs/>
        </w:rPr>
        <w:t xml:space="preserve"> handover case first.</w:t>
      </w:r>
    </w:p>
    <w:p w14:paraId="0A19E689" w14:textId="77777777" w:rsidR="001A18E7" w:rsidRPr="00902681" w:rsidRDefault="001A18E7" w:rsidP="001A18E7">
      <w:pPr>
        <w:pStyle w:val="a9"/>
        <w:jc w:val="left"/>
        <w:rPr>
          <w:rFonts w:eastAsia="游明朝" w:cs="Arial"/>
          <w:b/>
          <w:bCs/>
          <w:sz w:val="22"/>
          <w:szCs w:val="22"/>
          <w:lang w:eastAsia="ja-JP"/>
        </w:rPr>
      </w:pPr>
      <w:r w:rsidRPr="00902681">
        <w:rPr>
          <w:rStyle w:val="ui-provider"/>
          <w:rFonts w:eastAsia="游明朝" w:hint="eastAsia"/>
          <w:b/>
          <w:bCs/>
          <w:sz w:val="21"/>
          <w:szCs w:val="21"/>
          <w:lang w:eastAsia="ja-JP"/>
        </w:rPr>
        <w:t>P</w:t>
      </w:r>
      <w:r w:rsidRPr="00902681">
        <w:rPr>
          <w:rStyle w:val="ui-provider"/>
          <w:rFonts w:eastAsia="游明朝"/>
          <w:b/>
          <w:bCs/>
          <w:sz w:val="21"/>
          <w:szCs w:val="21"/>
          <w:lang w:eastAsia="ja-JP"/>
        </w:rPr>
        <w:t xml:space="preserve">roposal3: </w:t>
      </w:r>
      <w:r w:rsidRPr="00446424">
        <w:rPr>
          <w:rStyle w:val="ui-provider"/>
          <w:b/>
          <w:bCs/>
        </w:rPr>
        <w:t xml:space="preserve">RAN2 agree to discuss the subsequent LTM mechanism for N2 handover case later (after </w:t>
      </w:r>
      <w:proofErr w:type="spellStart"/>
      <w:r w:rsidRPr="00446424">
        <w:rPr>
          <w:rStyle w:val="ui-provider"/>
          <w:b/>
          <w:bCs/>
        </w:rPr>
        <w:t>Xn</w:t>
      </w:r>
      <w:proofErr w:type="spellEnd"/>
      <w:r w:rsidRPr="00446424">
        <w:rPr>
          <w:rStyle w:val="ui-provider"/>
          <w:b/>
          <w:bCs/>
        </w:rPr>
        <w:t xml:space="preserve"> handover case)</w:t>
      </w:r>
    </w:p>
    <w:p w14:paraId="3E38CE0D" w14:textId="77777777" w:rsidR="00986514" w:rsidRPr="001A18E7" w:rsidRDefault="00986514" w:rsidP="00986514">
      <w:pPr>
        <w:pStyle w:val="a9"/>
        <w:jc w:val="left"/>
        <w:rPr>
          <w:rStyle w:val="ui-provider"/>
          <w:b/>
          <w:bCs/>
        </w:rPr>
      </w:pPr>
    </w:p>
    <w:tbl>
      <w:tblPr>
        <w:tblStyle w:val="aff4"/>
        <w:tblW w:w="0" w:type="auto"/>
        <w:tblLook w:val="04A0" w:firstRow="1" w:lastRow="0" w:firstColumn="1" w:lastColumn="0" w:noHBand="0" w:noVBand="1"/>
      </w:tblPr>
      <w:tblGrid>
        <w:gridCol w:w="9629"/>
      </w:tblGrid>
      <w:tr w:rsidR="00162772" w14:paraId="337CE40F" w14:textId="77777777" w:rsidTr="00162772">
        <w:tc>
          <w:tcPr>
            <w:tcW w:w="9629" w:type="dxa"/>
          </w:tcPr>
          <w:p w14:paraId="39468F4B" w14:textId="77777777" w:rsidR="00F40F8C" w:rsidRPr="00DE561F" w:rsidRDefault="00F40F8C" w:rsidP="00F40F8C">
            <w:pPr>
              <w:pStyle w:val="50"/>
              <w:outlineLvl w:val="4"/>
              <w:rPr>
                <w:sz w:val="18"/>
                <w:szCs w:val="18"/>
              </w:rPr>
            </w:pPr>
            <w:bookmarkStart w:id="5" w:name="_Toc19634727"/>
            <w:bookmarkStart w:id="6" w:name="_Toc26875787"/>
            <w:bookmarkStart w:id="7" w:name="_Toc35528538"/>
            <w:bookmarkStart w:id="8" w:name="_Toc35533299"/>
            <w:bookmarkStart w:id="9" w:name="_Toc45028642"/>
            <w:bookmarkStart w:id="10" w:name="_Toc45274307"/>
            <w:bookmarkStart w:id="11" w:name="_Toc45274894"/>
            <w:bookmarkStart w:id="12" w:name="_Toc51168151"/>
            <w:bookmarkStart w:id="13" w:name="_Toc161838133"/>
            <w:r w:rsidRPr="00DE561F">
              <w:rPr>
                <w:sz w:val="18"/>
                <w:szCs w:val="18"/>
              </w:rPr>
              <w:lastRenderedPageBreak/>
              <w:t>6.9.2.3.1</w:t>
            </w:r>
            <w:r w:rsidRPr="00DE561F">
              <w:rPr>
                <w:sz w:val="18"/>
                <w:szCs w:val="18"/>
              </w:rPr>
              <w:tab/>
              <w:t xml:space="preserve">Intra-gNB-CU handover </w:t>
            </w:r>
            <w:r w:rsidRPr="00DE561F">
              <w:rPr>
                <w:sz w:val="18"/>
                <w:szCs w:val="18"/>
                <w:lang w:val="sv-SE"/>
              </w:rPr>
              <w:t>and intra-ng-eNB handover</w:t>
            </w:r>
            <w:bookmarkEnd w:id="5"/>
            <w:bookmarkEnd w:id="6"/>
            <w:bookmarkEnd w:id="7"/>
            <w:bookmarkEnd w:id="8"/>
            <w:bookmarkEnd w:id="9"/>
            <w:bookmarkEnd w:id="10"/>
            <w:bookmarkEnd w:id="11"/>
            <w:bookmarkEnd w:id="12"/>
            <w:bookmarkEnd w:id="13"/>
          </w:p>
          <w:p w14:paraId="62F3FA46" w14:textId="77777777" w:rsidR="00F40F8C" w:rsidRPr="00DE561F" w:rsidRDefault="00F40F8C" w:rsidP="00F40F8C">
            <w:pPr>
              <w:rPr>
                <w:sz w:val="18"/>
                <w:szCs w:val="18"/>
              </w:rPr>
            </w:pPr>
            <w:r w:rsidRPr="00DE561F">
              <w:rPr>
                <w:sz w:val="18"/>
                <w:szCs w:val="18"/>
              </w:rPr>
              <w:t>The gNB shall have a policy deciding at which intra-gNB -CU handovers the K</w:t>
            </w:r>
            <w:r w:rsidRPr="00DE561F">
              <w:rPr>
                <w:sz w:val="18"/>
                <w:szCs w:val="18"/>
                <w:vertAlign w:val="subscript"/>
              </w:rPr>
              <w:t>gNB</w:t>
            </w:r>
            <w:r w:rsidRPr="00DE561F">
              <w:rPr>
                <w:sz w:val="18"/>
                <w:szCs w:val="18"/>
              </w:rPr>
              <w:t xml:space="preserve"> can be retained and at which a new K</w:t>
            </w:r>
            <w:r w:rsidRPr="00DE561F">
              <w:rPr>
                <w:sz w:val="18"/>
                <w:szCs w:val="18"/>
                <w:vertAlign w:val="subscript"/>
              </w:rPr>
              <w:t>gNB</w:t>
            </w:r>
            <w:r w:rsidRPr="00DE561F">
              <w:rPr>
                <w:sz w:val="18"/>
                <w:szCs w:val="18"/>
              </w:rPr>
              <w:t xml:space="preserve"> needs to be derived. At an intra-gNB-CU handover, the gNB shall indicate to the UE whether to change or retain the current K</w:t>
            </w:r>
            <w:r w:rsidRPr="00DE561F">
              <w:rPr>
                <w:sz w:val="18"/>
                <w:szCs w:val="18"/>
                <w:vertAlign w:val="subscript"/>
              </w:rPr>
              <w:t>gNB</w:t>
            </w:r>
            <w:r w:rsidRPr="00DE561F">
              <w:rPr>
                <w:sz w:val="18"/>
                <w:szCs w:val="18"/>
              </w:rPr>
              <w:t xml:space="preserve"> in the HO Command message. Retaining the current K</w:t>
            </w:r>
            <w:r w:rsidRPr="00DE561F">
              <w:rPr>
                <w:sz w:val="18"/>
                <w:szCs w:val="18"/>
                <w:vertAlign w:val="subscript"/>
              </w:rPr>
              <w:t>gNB</w:t>
            </w:r>
            <w:r w:rsidRPr="00DE561F">
              <w:rPr>
                <w:sz w:val="18"/>
                <w:szCs w:val="18"/>
              </w:rPr>
              <w:t xml:space="preserve"> shall only be done during intra-gNB-CU handover. </w:t>
            </w:r>
          </w:p>
          <w:p w14:paraId="44D53AF4" w14:textId="77777777" w:rsidR="00F40F8C" w:rsidRPr="00DE561F" w:rsidRDefault="00F40F8C" w:rsidP="00F40F8C">
            <w:pPr>
              <w:pStyle w:val="NO"/>
              <w:rPr>
                <w:sz w:val="18"/>
                <w:szCs w:val="18"/>
              </w:rPr>
            </w:pPr>
            <w:r w:rsidRPr="00DE561F">
              <w:rPr>
                <w:sz w:val="18"/>
                <w:szCs w:val="18"/>
              </w:rPr>
              <w:t xml:space="preserve">NOTE: </w:t>
            </w:r>
            <w:r w:rsidRPr="00DE561F">
              <w:rPr>
                <w:sz w:val="18"/>
                <w:szCs w:val="18"/>
              </w:rPr>
              <w:tab/>
              <w:t>The option of retaining the K</w:t>
            </w:r>
            <w:r w:rsidRPr="00DE561F">
              <w:rPr>
                <w:sz w:val="18"/>
                <w:szCs w:val="18"/>
                <w:vertAlign w:val="subscript"/>
              </w:rPr>
              <w:t>eNB</w:t>
            </w:r>
            <w:r w:rsidRPr="00DE561F">
              <w:rPr>
                <w:sz w:val="18"/>
                <w:szCs w:val="18"/>
              </w:rPr>
              <w:t xml:space="preserve"> at intra-ng-eNB handover is not supported in ng-eNB.</w:t>
            </w:r>
          </w:p>
          <w:p w14:paraId="43436F38" w14:textId="77777777" w:rsidR="00F40F8C" w:rsidRPr="00DE561F" w:rsidRDefault="00F40F8C" w:rsidP="00F40F8C">
            <w:pPr>
              <w:rPr>
                <w:sz w:val="18"/>
                <w:szCs w:val="18"/>
              </w:rPr>
            </w:pPr>
            <w:r w:rsidRPr="00010478">
              <w:rPr>
                <w:sz w:val="18"/>
                <w:szCs w:val="18"/>
                <w:highlight w:val="yellow"/>
              </w:rPr>
              <w:t>If the current K</w:t>
            </w:r>
            <w:r w:rsidRPr="00010478">
              <w:rPr>
                <w:sz w:val="18"/>
                <w:szCs w:val="18"/>
                <w:highlight w:val="yellow"/>
                <w:vertAlign w:val="subscript"/>
              </w:rPr>
              <w:t>gNB</w:t>
            </w:r>
            <w:r w:rsidRPr="00010478">
              <w:rPr>
                <w:sz w:val="18"/>
                <w:szCs w:val="18"/>
                <w:highlight w:val="yellow"/>
              </w:rPr>
              <w:t xml:space="preserve"> is to be changed, the gNB/ng-eNB and the UE shall derive a K</w:t>
            </w:r>
            <w:r w:rsidRPr="00010478">
              <w:rPr>
                <w:sz w:val="18"/>
                <w:szCs w:val="18"/>
                <w:highlight w:val="yellow"/>
                <w:vertAlign w:val="subscript"/>
              </w:rPr>
              <w:t>NG-RAN</w:t>
            </w:r>
            <w:r w:rsidRPr="00010478">
              <w:rPr>
                <w:sz w:val="18"/>
                <w:szCs w:val="18"/>
                <w:highlight w:val="yellow"/>
              </w:rPr>
              <w:t>* as in Annex A.11/A.12 using target PCI, its frequency ARFCN-DL/EARFCN-DL, and either NH or the current K</w:t>
            </w:r>
            <w:r w:rsidRPr="00010478">
              <w:rPr>
                <w:sz w:val="18"/>
                <w:szCs w:val="18"/>
                <w:highlight w:val="yellow"/>
                <w:vertAlign w:val="subscript"/>
              </w:rPr>
              <w:t>gNB</w:t>
            </w:r>
            <w:r w:rsidRPr="00010478">
              <w:rPr>
                <w:sz w:val="18"/>
                <w:szCs w:val="18"/>
                <w:highlight w:val="yellow"/>
              </w:rPr>
              <w:t xml:space="preserve"> depending on the following criteria:</w:t>
            </w:r>
            <w:r w:rsidRPr="00DE561F">
              <w:rPr>
                <w:sz w:val="18"/>
                <w:szCs w:val="18"/>
              </w:rPr>
              <w:t xml:space="preserve"> the gNB shall use the NH for deriving K</w:t>
            </w:r>
            <w:r w:rsidRPr="00DE561F">
              <w:rPr>
                <w:sz w:val="18"/>
                <w:szCs w:val="18"/>
                <w:vertAlign w:val="subscript"/>
              </w:rPr>
              <w:t>NG-RAN</w:t>
            </w:r>
            <w:r w:rsidRPr="00DE561F">
              <w:rPr>
                <w:sz w:val="18"/>
                <w:szCs w:val="18"/>
              </w:rPr>
              <w:t>* if an unused {NH, NCC} pair is available in the gNB (this is referred to as a vertical key derivation), otherwise if no unused {NH, NCC} pair is available in the gNB, the gNB shall derive K</w:t>
            </w:r>
            <w:r w:rsidRPr="00DE561F">
              <w:rPr>
                <w:sz w:val="18"/>
                <w:szCs w:val="18"/>
                <w:vertAlign w:val="subscript"/>
              </w:rPr>
              <w:t>NG-RAN</w:t>
            </w:r>
            <w:r w:rsidRPr="00DE561F">
              <w:rPr>
                <w:sz w:val="18"/>
                <w:szCs w:val="18"/>
              </w:rPr>
              <w:t>* from the current K</w:t>
            </w:r>
            <w:r w:rsidRPr="00DE561F">
              <w:rPr>
                <w:sz w:val="18"/>
                <w:szCs w:val="18"/>
                <w:vertAlign w:val="subscript"/>
              </w:rPr>
              <w:t>gNB</w:t>
            </w:r>
            <w:r w:rsidRPr="00DE561F">
              <w:rPr>
                <w:sz w:val="18"/>
                <w:szCs w:val="18"/>
              </w:rPr>
              <w:t xml:space="preserve"> (this is referred to as a horizontal key derivation). The gNB shall send the NCC used for the K</w:t>
            </w:r>
            <w:r w:rsidRPr="00DE561F">
              <w:rPr>
                <w:sz w:val="18"/>
                <w:szCs w:val="18"/>
                <w:vertAlign w:val="subscript"/>
              </w:rPr>
              <w:t>NG-RAN</w:t>
            </w:r>
            <w:r w:rsidRPr="00DE561F">
              <w:rPr>
                <w:sz w:val="18"/>
                <w:szCs w:val="18"/>
              </w:rPr>
              <w:t>*derivation to UE in HO Command message. The gNB/ng-eNB and the UE shall use the K</w:t>
            </w:r>
            <w:r w:rsidRPr="00DE561F">
              <w:rPr>
                <w:sz w:val="18"/>
                <w:szCs w:val="18"/>
                <w:vertAlign w:val="subscript"/>
              </w:rPr>
              <w:t>NG-RAN</w:t>
            </w:r>
            <w:r w:rsidRPr="00DE561F">
              <w:rPr>
                <w:sz w:val="18"/>
                <w:szCs w:val="18"/>
              </w:rPr>
              <w:t>* as the K</w:t>
            </w:r>
            <w:r w:rsidRPr="00DE561F">
              <w:rPr>
                <w:sz w:val="18"/>
                <w:szCs w:val="18"/>
                <w:vertAlign w:val="subscript"/>
              </w:rPr>
              <w:t>gNB</w:t>
            </w:r>
            <w:r w:rsidRPr="00DE561F">
              <w:rPr>
                <w:sz w:val="18"/>
                <w:szCs w:val="18"/>
              </w:rPr>
              <w:t>, after handover.</w:t>
            </w:r>
          </w:p>
          <w:p w14:paraId="47DAE480" w14:textId="531DCCCC" w:rsidR="00162772" w:rsidRPr="00F40F8C" w:rsidRDefault="00162772" w:rsidP="00EE4B14">
            <w:pPr>
              <w:pStyle w:val="a9"/>
              <w:jc w:val="left"/>
              <w:rPr>
                <w:rFonts w:eastAsia="游明朝" w:cs="Arial"/>
                <w:sz w:val="21"/>
                <w:szCs w:val="21"/>
                <w:lang w:eastAsia="ja-JP"/>
              </w:rPr>
            </w:pPr>
          </w:p>
        </w:tc>
      </w:tr>
    </w:tbl>
    <w:p w14:paraId="5EEF4074" w14:textId="77777777" w:rsidR="001140D5" w:rsidRDefault="001140D5" w:rsidP="00EE4B14">
      <w:pPr>
        <w:pStyle w:val="a9"/>
        <w:jc w:val="left"/>
        <w:rPr>
          <w:rFonts w:eastAsia="游明朝" w:cs="Arial"/>
          <w:sz w:val="21"/>
          <w:szCs w:val="21"/>
          <w:lang w:eastAsia="ja-JP"/>
        </w:rPr>
      </w:pPr>
    </w:p>
    <w:p w14:paraId="409D337D" w14:textId="49C16A95" w:rsidR="000C1C27" w:rsidRDefault="001140D5" w:rsidP="00471007">
      <w:pPr>
        <w:pStyle w:val="a9"/>
        <w:jc w:val="left"/>
      </w:pPr>
      <w:r>
        <w:rPr>
          <w:rFonts w:eastAsia="游明朝" w:cs="Arial"/>
          <w:sz w:val="21"/>
          <w:szCs w:val="21"/>
          <w:lang w:eastAsia="ja-JP"/>
        </w:rPr>
        <w:t>I</w:t>
      </w:r>
      <w:r w:rsidRPr="001140D5">
        <w:rPr>
          <w:rFonts w:eastAsia="游明朝" w:cs="Arial"/>
          <w:sz w:val="21"/>
          <w:szCs w:val="21"/>
          <w:lang w:eastAsia="ja-JP"/>
        </w:rPr>
        <w:t xml:space="preserve">n Rel-18, it was limited to intra-CU, and since there were no changes to the PDCP entity, it was not necessary to update parameters related to the security key. On the other hand, in inter-CU LTM, it is necessary to consider </w:t>
      </w:r>
      <w:proofErr w:type="spellStart"/>
      <w:r w:rsidRPr="001140D5">
        <w:rPr>
          <w:rFonts w:eastAsia="游明朝" w:cs="Arial"/>
          <w:sz w:val="21"/>
          <w:szCs w:val="21"/>
          <w:lang w:eastAsia="ja-JP"/>
        </w:rPr>
        <w:t>Xn</w:t>
      </w:r>
      <w:proofErr w:type="spellEnd"/>
      <w:r w:rsidRPr="001140D5">
        <w:rPr>
          <w:rFonts w:eastAsia="游明朝" w:cs="Arial"/>
          <w:sz w:val="21"/>
          <w:szCs w:val="21"/>
          <w:lang w:eastAsia="ja-JP"/>
        </w:rPr>
        <w:t xml:space="preserve"> handover. According to the description in 33.501</w:t>
      </w:r>
      <w:r w:rsidR="00B54416">
        <w:rPr>
          <w:rFonts w:eastAsia="游明朝" w:cs="Arial"/>
          <w:sz w:val="21"/>
          <w:szCs w:val="21"/>
          <w:lang w:eastAsia="ja-JP"/>
        </w:rPr>
        <w:t>[2]</w:t>
      </w:r>
      <w:r w:rsidRPr="001140D5">
        <w:rPr>
          <w:rFonts w:eastAsia="游明朝" w:cs="Arial"/>
          <w:sz w:val="21"/>
          <w:szCs w:val="21"/>
          <w:lang w:eastAsia="ja-JP"/>
        </w:rPr>
        <w:t xml:space="preserve">, </w:t>
      </w:r>
      <w:r w:rsidR="0026653C">
        <w:t xml:space="preserve">The source </w:t>
      </w:r>
      <w:proofErr w:type="spellStart"/>
      <w:r w:rsidR="0026653C">
        <w:t>gNB</w:t>
      </w:r>
      <w:proofErr w:type="spellEnd"/>
      <w:r w:rsidR="0026653C">
        <w:t xml:space="preserve"> shall first compute </w:t>
      </w:r>
      <w:r w:rsidR="0068499D" w:rsidRPr="007B0C8B">
        <w:t>K</w:t>
      </w:r>
      <w:r w:rsidR="0068499D">
        <w:rPr>
          <w:vertAlign w:val="subscript"/>
        </w:rPr>
        <w:t>NG-RAN</w:t>
      </w:r>
      <w:r w:rsidR="0068499D" w:rsidRPr="007B0C8B">
        <w:t>*</w:t>
      </w:r>
      <w:r w:rsidR="0068499D">
        <w:t>, and</w:t>
      </w:r>
      <w:r w:rsidR="00F85509">
        <w:t xml:space="preserve"> </w:t>
      </w:r>
      <w:r w:rsidR="00471007">
        <w:t xml:space="preserve">the target </w:t>
      </w:r>
      <w:proofErr w:type="spellStart"/>
      <w:r w:rsidR="00471007">
        <w:t>gNB</w:t>
      </w:r>
      <w:proofErr w:type="spellEnd"/>
      <w:r w:rsidR="00471007">
        <w:t xml:space="preserve"> sends </w:t>
      </w:r>
      <w:r w:rsidR="0041767F">
        <w:t xml:space="preserve">UE </w:t>
      </w:r>
      <w:r w:rsidR="00471007">
        <w:t>the NCC which was used to compute the key</w:t>
      </w:r>
      <w:r w:rsidR="008F5864">
        <w:t xml:space="preserve"> in source </w:t>
      </w:r>
      <w:proofErr w:type="spellStart"/>
      <w:r w:rsidR="008F5864">
        <w:t>gNB</w:t>
      </w:r>
      <w:proofErr w:type="spellEnd"/>
      <w:r w:rsidR="0041767F">
        <w:t>.</w:t>
      </w:r>
    </w:p>
    <w:tbl>
      <w:tblPr>
        <w:tblStyle w:val="aff4"/>
        <w:tblW w:w="0" w:type="auto"/>
        <w:tblLook w:val="04A0" w:firstRow="1" w:lastRow="0" w:firstColumn="1" w:lastColumn="0" w:noHBand="0" w:noVBand="1"/>
      </w:tblPr>
      <w:tblGrid>
        <w:gridCol w:w="9629"/>
      </w:tblGrid>
      <w:tr w:rsidR="000C1C27" w14:paraId="5850E9E6" w14:textId="77777777" w:rsidTr="000C1C27">
        <w:tc>
          <w:tcPr>
            <w:tcW w:w="9629" w:type="dxa"/>
          </w:tcPr>
          <w:p w14:paraId="76EA7D7C" w14:textId="77777777" w:rsidR="009D323C" w:rsidRPr="009D323C" w:rsidRDefault="009D323C" w:rsidP="009D323C">
            <w:pPr>
              <w:pStyle w:val="50"/>
              <w:outlineLvl w:val="4"/>
              <w:rPr>
                <w:sz w:val="18"/>
                <w:szCs w:val="18"/>
              </w:rPr>
            </w:pPr>
            <w:bookmarkStart w:id="14" w:name="_Toc19634728"/>
            <w:bookmarkStart w:id="15" w:name="_Toc26875788"/>
            <w:bookmarkStart w:id="16" w:name="_Toc35528539"/>
            <w:bookmarkStart w:id="17" w:name="_Toc35533300"/>
            <w:bookmarkStart w:id="18" w:name="_Toc45028643"/>
            <w:bookmarkStart w:id="19" w:name="_Toc45274308"/>
            <w:bookmarkStart w:id="20" w:name="_Toc45274895"/>
            <w:bookmarkStart w:id="21" w:name="_Toc51168152"/>
            <w:bookmarkStart w:id="22" w:name="_Toc161838134"/>
            <w:r w:rsidRPr="009D323C">
              <w:rPr>
                <w:sz w:val="18"/>
                <w:szCs w:val="18"/>
              </w:rPr>
              <w:t>6.9.2.3.2</w:t>
            </w:r>
            <w:r w:rsidRPr="009D323C">
              <w:rPr>
                <w:sz w:val="18"/>
                <w:szCs w:val="18"/>
              </w:rPr>
              <w:tab/>
              <w:t>Xn-handover</w:t>
            </w:r>
            <w:bookmarkEnd w:id="14"/>
            <w:bookmarkEnd w:id="15"/>
            <w:bookmarkEnd w:id="16"/>
            <w:bookmarkEnd w:id="17"/>
            <w:bookmarkEnd w:id="18"/>
            <w:bookmarkEnd w:id="19"/>
            <w:bookmarkEnd w:id="20"/>
            <w:bookmarkEnd w:id="21"/>
            <w:bookmarkEnd w:id="22"/>
          </w:p>
          <w:p w14:paraId="1CDCEE5E" w14:textId="77777777" w:rsidR="009D323C" w:rsidRPr="00682B01" w:rsidRDefault="009D323C" w:rsidP="009D323C">
            <w:pPr>
              <w:rPr>
                <w:sz w:val="18"/>
                <w:szCs w:val="18"/>
                <w:highlight w:val="yellow"/>
              </w:rPr>
            </w:pPr>
            <w:r w:rsidRPr="009D323C">
              <w:rPr>
                <w:sz w:val="18"/>
                <w:szCs w:val="18"/>
              </w:rPr>
              <w:t xml:space="preserve">In Xn handovers the source gNB/ng-eNB shall perform a vertical key derivation in case it has an unused {NH, NCC} pair. </w:t>
            </w:r>
            <w:r w:rsidRPr="00682B01">
              <w:rPr>
                <w:sz w:val="18"/>
                <w:szCs w:val="18"/>
                <w:highlight w:val="yellow"/>
              </w:rPr>
              <w:t>The source gNB/ng-eNB shall first compute K</w:t>
            </w:r>
            <w:r w:rsidRPr="00682B01">
              <w:rPr>
                <w:sz w:val="18"/>
                <w:szCs w:val="18"/>
                <w:highlight w:val="yellow"/>
                <w:vertAlign w:val="subscript"/>
              </w:rPr>
              <w:t>NG-RAN</w:t>
            </w:r>
            <w:r w:rsidRPr="00682B01">
              <w:rPr>
                <w:sz w:val="18"/>
                <w:szCs w:val="18"/>
                <w:highlight w:val="yellow"/>
              </w:rPr>
              <w:t>* from target PCI, its frequency ARFCN-DL/EARFCN-DL, and either from currently active K</w:t>
            </w:r>
            <w:r w:rsidRPr="00682B01">
              <w:rPr>
                <w:sz w:val="18"/>
                <w:szCs w:val="18"/>
                <w:highlight w:val="yellow"/>
                <w:vertAlign w:val="subscript"/>
              </w:rPr>
              <w:t>gNB</w:t>
            </w:r>
            <w:r w:rsidRPr="00682B01">
              <w:rPr>
                <w:sz w:val="18"/>
                <w:szCs w:val="18"/>
                <w:highlight w:val="yellow"/>
              </w:rPr>
              <w:t xml:space="preserve"> in case of horizontal key derivation or from the NH in case of vertical key derivation as described in Annex A.11/A.12.</w:t>
            </w:r>
          </w:p>
          <w:p w14:paraId="62B14A69" w14:textId="77777777" w:rsidR="009D323C" w:rsidRPr="009D323C" w:rsidRDefault="009D323C" w:rsidP="009D323C">
            <w:pPr>
              <w:rPr>
                <w:sz w:val="18"/>
                <w:szCs w:val="18"/>
              </w:rPr>
            </w:pPr>
            <w:r w:rsidRPr="00682B01">
              <w:rPr>
                <w:sz w:val="18"/>
                <w:szCs w:val="18"/>
                <w:highlight w:val="yellow"/>
              </w:rPr>
              <w:t>Next, the source gNB/ng-eNB shall forward the { K</w:t>
            </w:r>
            <w:r w:rsidRPr="00682B01">
              <w:rPr>
                <w:sz w:val="18"/>
                <w:szCs w:val="18"/>
                <w:highlight w:val="yellow"/>
                <w:vertAlign w:val="subscript"/>
              </w:rPr>
              <w:t>NG-RAN</w:t>
            </w:r>
            <w:r w:rsidRPr="00682B01">
              <w:rPr>
                <w:sz w:val="18"/>
                <w:szCs w:val="18"/>
                <w:highlight w:val="yellow"/>
              </w:rPr>
              <w:t>*, NCC} pair to the target gNB/ng-eNB. The target gNB/ng-eNB shall use the received K</w:t>
            </w:r>
            <w:r w:rsidRPr="00682B01">
              <w:rPr>
                <w:sz w:val="18"/>
                <w:szCs w:val="18"/>
                <w:highlight w:val="yellow"/>
                <w:vertAlign w:val="subscript"/>
              </w:rPr>
              <w:t>NG-RAN</w:t>
            </w:r>
            <w:r w:rsidRPr="00682B01">
              <w:rPr>
                <w:sz w:val="18"/>
                <w:szCs w:val="18"/>
                <w:highlight w:val="yellow"/>
              </w:rPr>
              <w:t>* directly as K</w:t>
            </w:r>
            <w:r w:rsidRPr="00682B01">
              <w:rPr>
                <w:sz w:val="18"/>
                <w:szCs w:val="18"/>
                <w:highlight w:val="yellow"/>
                <w:vertAlign w:val="subscript"/>
              </w:rPr>
              <w:t>gNB</w:t>
            </w:r>
            <w:r w:rsidRPr="00682B01">
              <w:rPr>
                <w:sz w:val="18"/>
                <w:szCs w:val="18"/>
                <w:highlight w:val="yellow"/>
              </w:rPr>
              <w:t xml:space="preserve"> to be used with the UE. The target gNB/ng-eNB shall associate the NCC value received from source gNB/ng-eNB with the K</w:t>
            </w:r>
            <w:r w:rsidRPr="00682B01">
              <w:rPr>
                <w:sz w:val="18"/>
                <w:szCs w:val="18"/>
                <w:highlight w:val="yellow"/>
                <w:vertAlign w:val="subscript"/>
              </w:rPr>
              <w:t>gNB</w:t>
            </w:r>
            <w:r w:rsidRPr="00682B01">
              <w:rPr>
                <w:sz w:val="18"/>
                <w:szCs w:val="18"/>
                <w:highlight w:val="yellow"/>
              </w:rPr>
              <w:t>. The target gNB/ng-eNB shall include the received NCC into the prepared HO Command message, which is sent back to the source gNB/ng-eNB in a transparent container and forwarded to the UE by source gNB/ng-eNB.</w:t>
            </w:r>
            <w:r w:rsidRPr="009D323C">
              <w:rPr>
                <w:sz w:val="18"/>
                <w:szCs w:val="18"/>
              </w:rPr>
              <w:t xml:space="preserve"> </w:t>
            </w:r>
          </w:p>
          <w:p w14:paraId="47671301" w14:textId="7C1619D8" w:rsidR="000C1C27" w:rsidRPr="009D323C" w:rsidRDefault="000C1C27" w:rsidP="00EE4B14">
            <w:pPr>
              <w:pStyle w:val="a9"/>
              <w:jc w:val="left"/>
              <w:rPr>
                <w:rFonts w:eastAsia="游明朝" w:cs="Arial"/>
                <w:sz w:val="21"/>
                <w:szCs w:val="21"/>
                <w:lang w:eastAsia="ja-JP"/>
              </w:rPr>
            </w:pPr>
          </w:p>
        </w:tc>
      </w:tr>
    </w:tbl>
    <w:p w14:paraId="5A86EA71" w14:textId="46987438" w:rsidR="00471007" w:rsidRPr="008D66E9" w:rsidRDefault="00471007" w:rsidP="00EE4B14">
      <w:pPr>
        <w:pStyle w:val="a9"/>
        <w:jc w:val="left"/>
        <w:rPr>
          <w:rFonts w:eastAsia="游明朝"/>
          <w:lang w:eastAsia="ja-JP"/>
        </w:rPr>
      </w:pPr>
    </w:p>
    <w:tbl>
      <w:tblPr>
        <w:tblStyle w:val="aff4"/>
        <w:tblW w:w="0" w:type="auto"/>
        <w:tblLook w:val="04A0" w:firstRow="1" w:lastRow="0" w:firstColumn="1" w:lastColumn="0" w:noHBand="0" w:noVBand="1"/>
      </w:tblPr>
      <w:tblGrid>
        <w:gridCol w:w="9629"/>
      </w:tblGrid>
      <w:tr w:rsidR="00471007" w14:paraId="0FA68C7E" w14:textId="77777777" w:rsidTr="00471007">
        <w:tc>
          <w:tcPr>
            <w:tcW w:w="9629" w:type="dxa"/>
          </w:tcPr>
          <w:p w14:paraId="2876125E" w14:textId="77777777" w:rsidR="0003323E" w:rsidRPr="00C561F2" w:rsidRDefault="0003323E" w:rsidP="0003323E">
            <w:pPr>
              <w:pStyle w:val="50"/>
              <w:outlineLvl w:val="4"/>
              <w:rPr>
                <w:sz w:val="18"/>
                <w:szCs w:val="18"/>
              </w:rPr>
            </w:pPr>
            <w:bookmarkStart w:id="23" w:name="_Toc19634730"/>
            <w:bookmarkStart w:id="24" w:name="_Toc26875790"/>
            <w:bookmarkStart w:id="25" w:name="_Toc35528541"/>
            <w:bookmarkStart w:id="26" w:name="_Toc35533302"/>
            <w:bookmarkStart w:id="27" w:name="_Toc45028645"/>
            <w:bookmarkStart w:id="28" w:name="_Toc45274310"/>
            <w:bookmarkStart w:id="29" w:name="_Toc45274897"/>
            <w:bookmarkStart w:id="30" w:name="_Toc51168154"/>
            <w:bookmarkStart w:id="31" w:name="_Toc161838136"/>
            <w:r w:rsidRPr="00C561F2">
              <w:rPr>
                <w:sz w:val="18"/>
                <w:szCs w:val="18"/>
              </w:rPr>
              <w:t>6.9.2.3.4</w:t>
            </w:r>
            <w:r w:rsidRPr="00C561F2">
              <w:rPr>
                <w:sz w:val="18"/>
                <w:szCs w:val="18"/>
              </w:rPr>
              <w:tab/>
              <w:t>UE handling</w:t>
            </w:r>
            <w:bookmarkEnd w:id="23"/>
            <w:bookmarkEnd w:id="24"/>
            <w:bookmarkEnd w:id="25"/>
            <w:bookmarkEnd w:id="26"/>
            <w:bookmarkEnd w:id="27"/>
            <w:bookmarkEnd w:id="28"/>
            <w:bookmarkEnd w:id="29"/>
            <w:bookmarkEnd w:id="30"/>
            <w:bookmarkEnd w:id="31"/>
          </w:p>
          <w:p w14:paraId="2EF6E45B" w14:textId="77777777" w:rsidR="00C561F2" w:rsidRPr="00C561F2" w:rsidRDefault="00C561F2" w:rsidP="00C561F2">
            <w:pPr>
              <w:rPr>
                <w:sz w:val="18"/>
                <w:szCs w:val="18"/>
              </w:rPr>
            </w:pPr>
            <w:r w:rsidRPr="00C561F2">
              <w:rPr>
                <w:sz w:val="18"/>
                <w:szCs w:val="18"/>
              </w:rPr>
              <w:t xml:space="preserve">f </w:t>
            </w:r>
            <w:r w:rsidRPr="00C561F2">
              <w:rPr>
                <w:i/>
                <w:sz w:val="18"/>
                <w:szCs w:val="18"/>
              </w:rPr>
              <w:t>keySetChangeIndicator</w:t>
            </w:r>
            <w:r w:rsidRPr="00C561F2" w:rsidDel="00AA7498">
              <w:rPr>
                <w:sz w:val="18"/>
                <w:szCs w:val="18"/>
              </w:rPr>
              <w:t xml:space="preserve"> </w:t>
            </w:r>
            <w:r w:rsidRPr="00C561F2">
              <w:rPr>
                <w:sz w:val="18"/>
                <w:szCs w:val="18"/>
              </w:rPr>
              <w:t>in the HO command is true</w:t>
            </w:r>
          </w:p>
          <w:p w14:paraId="50A333D3" w14:textId="77777777" w:rsidR="00C561F2" w:rsidRPr="00C561F2" w:rsidRDefault="00C561F2" w:rsidP="00C561F2">
            <w:pPr>
              <w:pStyle w:val="B1"/>
              <w:rPr>
                <w:sz w:val="18"/>
                <w:szCs w:val="18"/>
              </w:rPr>
            </w:pPr>
            <w:r w:rsidRPr="00C561F2">
              <w:rPr>
                <w:sz w:val="18"/>
                <w:szCs w:val="18"/>
              </w:rPr>
              <w:t>-</w:t>
            </w:r>
            <w:r w:rsidRPr="00C561F2">
              <w:rPr>
                <w:sz w:val="18"/>
                <w:szCs w:val="18"/>
              </w:rPr>
              <w:tab/>
              <w:t>If the HO Command message contained a NASC parameter with the K_AMF_change_flag set to one:</w:t>
            </w:r>
          </w:p>
          <w:p w14:paraId="20080B68" w14:textId="77777777" w:rsidR="00C561F2" w:rsidRPr="00C561F2" w:rsidRDefault="00C561F2" w:rsidP="00C561F2">
            <w:pPr>
              <w:pStyle w:val="B2"/>
              <w:rPr>
                <w:sz w:val="18"/>
                <w:szCs w:val="18"/>
              </w:rPr>
            </w:pPr>
            <w:r w:rsidRPr="00C561F2">
              <w:rPr>
                <w:sz w:val="18"/>
                <w:szCs w:val="18"/>
              </w:rPr>
              <w:t>-</w:t>
            </w:r>
            <w:r w:rsidRPr="00C561F2">
              <w:rPr>
                <w:sz w:val="18"/>
                <w:szCs w:val="18"/>
              </w:rPr>
              <w:tab/>
              <w:t>The UE shall use the horizontally derived K</w:t>
            </w:r>
            <w:r w:rsidRPr="00C561F2">
              <w:rPr>
                <w:sz w:val="18"/>
                <w:szCs w:val="18"/>
                <w:vertAlign w:val="subscript"/>
              </w:rPr>
              <w:t>AMF</w:t>
            </w:r>
            <w:r w:rsidRPr="00C561F2">
              <w:rPr>
                <w:sz w:val="18"/>
                <w:szCs w:val="18"/>
              </w:rPr>
              <w:t xml:space="preserve"> and the NAS COUNT value of 2</w:t>
            </w:r>
            <w:r w:rsidRPr="00C561F2">
              <w:rPr>
                <w:sz w:val="18"/>
                <w:szCs w:val="18"/>
                <w:vertAlign w:val="superscript"/>
              </w:rPr>
              <w:t>32</w:t>
            </w:r>
            <w:r w:rsidRPr="00C561F2">
              <w:rPr>
                <w:sz w:val="18"/>
                <w:szCs w:val="18"/>
              </w:rPr>
              <w:t>-1 in the derivation of the temporary K</w:t>
            </w:r>
            <w:r w:rsidRPr="00C561F2">
              <w:rPr>
                <w:sz w:val="18"/>
                <w:szCs w:val="18"/>
                <w:vertAlign w:val="subscript"/>
              </w:rPr>
              <w:t>gNB</w:t>
            </w:r>
            <w:r w:rsidRPr="00C561F2">
              <w:rPr>
                <w:sz w:val="18"/>
                <w:szCs w:val="18"/>
              </w:rPr>
              <w:t>. The UE shall further process this temporary key as described in subclause 6.9.4.4.</w:t>
            </w:r>
          </w:p>
          <w:p w14:paraId="6FAA61E1" w14:textId="77777777" w:rsidR="00C561F2" w:rsidRPr="00C561F2" w:rsidRDefault="00C561F2" w:rsidP="00C561F2">
            <w:pPr>
              <w:pStyle w:val="B1"/>
              <w:rPr>
                <w:sz w:val="18"/>
                <w:szCs w:val="18"/>
              </w:rPr>
            </w:pPr>
            <w:r w:rsidRPr="00C561F2">
              <w:rPr>
                <w:sz w:val="18"/>
                <w:szCs w:val="18"/>
              </w:rPr>
              <w:t>-</w:t>
            </w:r>
            <w:r w:rsidRPr="00C561F2">
              <w:rPr>
                <w:sz w:val="18"/>
                <w:szCs w:val="18"/>
              </w:rPr>
              <w:tab/>
              <w:t>Else:</w:t>
            </w:r>
          </w:p>
          <w:p w14:paraId="7679F16A" w14:textId="77777777" w:rsidR="00C561F2" w:rsidRPr="00C561F2" w:rsidRDefault="00C561F2" w:rsidP="00C561F2">
            <w:pPr>
              <w:pStyle w:val="B2"/>
              <w:rPr>
                <w:sz w:val="18"/>
                <w:szCs w:val="18"/>
              </w:rPr>
            </w:pPr>
            <w:r w:rsidRPr="00C561F2">
              <w:rPr>
                <w:sz w:val="18"/>
                <w:szCs w:val="18"/>
              </w:rPr>
              <w:t>-</w:t>
            </w:r>
            <w:r w:rsidRPr="00C561F2">
              <w:rPr>
                <w:sz w:val="18"/>
                <w:szCs w:val="18"/>
              </w:rPr>
              <w:tab/>
            </w:r>
            <w:r w:rsidRPr="007E20CA">
              <w:rPr>
                <w:sz w:val="18"/>
                <w:szCs w:val="18"/>
                <w:highlight w:val="yellow"/>
              </w:rPr>
              <w:t>The UE handling related to key derivation shall be done as defined in clause 6.9.4.4.</w:t>
            </w:r>
          </w:p>
          <w:p w14:paraId="3F2F794D" w14:textId="77777777" w:rsidR="00C561F2" w:rsidRPr="00C561F2" w:rsidRDefault="00C561F2" w:rsidP="00C561F2">
            <w:pPr>
              <w:rPr>
                <w:sz w:val="18"/>
                <w:szCs w:val="18"/>
              </w:rPr>
            </w:pPr>
            <w:r w:rsidRPr="00C561F2">
              <w:rPr>
                <w:sz w:val="18"/>
                <w:szCs w:val="18"/>
              </w:rPr>
              <w:t>Else</w:t>
            </w:r>
          </w:p>
          <w:p w14:paraId="1B4D5A50" w14:textId="77777777" w:rsidR="00C561F2" w:rsidRPr="00C561F2" w:rsidRDefault="00C561F2" w:rsidP="00C561F2">
            <w:pPr>
              <w:pStyle w:val="B1"/>
              <w:rPr>
                <w:sz w:val="18"/>
                <w:szCs w:val="18"/>
              </w:rPr>
            </w:pPr>
            <w:r w:rsidRPr="00C561F2">
              <w:rPr>
                <w:sz w:val="18"/>
                <w:szCs w:val="18"/>
              </w:rPr>
              <w:t>-</w:t>
            </w:r>
            <w:r w:rsidRPr="00C561F2">
              <w:rPr>
                <w:sz w:val="18"/>
                <w:szCs w:val="18"/>
              </w:rPr>
              <w:tab/>
            </w:r>
            <w:r w:rsidRPr="007E20CA">
              <w:rPr>
                <w:sz w:val="18"/>
                <w:szCs w:val="18"/>
                <w:highlight w:val="yellow"/>
              </w:rPr>
              <w:t>If the NCC value the UE received in the HO Command message from target ng-eNB/gNB via source ng-eNB/gNB is equal to the NCC value associated with the currently active K</w:t>
            </w:r>
            <w:r w:rsidRPr="007E20CA">
              <w:rPr>
                <w:sz w:val="18"/>
                <w:szCs w:val="18"/>
                <w:highlight w:val="yellow"/>
                <w:vertAlign w:val="subscript"/>
              </w:rPr>
              <w:t>gNB</w:t>
            </w:r>
            <w:r w:rsidRPr="007E20CA">
              <w:rPr>
                <w:sz w:val="18"/>
                <w:szCs w:val="18"/>
                <w:highlight w:val="yellow"/>
              </w:rPr>
              <w:t>/K</w:t>
            </w:r>
            <w:r w:rsidRPr="007E20CA">
              <w:rPr>
                <w:sz w:val="18"/>
                <w:szCs w:val="18"/>
                <w:highlight w:val="yellow"/>
                <w:vertAlign w:val="subscript"/>
              </w:rPr>
              <w:t>eNB</w:t>
            </w:r>
            <w:r w:rsidRPr="007E20CA">
              <w:rPr>
                <w:sz w:val="18"/>
                <w:szCs w:val="18"/>
                <w:highlight w:val="yellow"/>
              </w:rPr>
              <w:t>, the UE shall derive the K</w:t>
            </w:r>
            <w:r w:rsidRPr="007E20CA">
              <w:rPr>
                <w:sz w:val="18"/>
                <w:szCs w:val="18"/>
                <w:highlight w:val="yellow"/>
                <w:vertAlign w:val="subscript"/>
              </w:rPr>
              <w:t>NG-RAN</w:t>
            </w:r>
            <w:r w:rsidRPr="007E20CA">
              <w:rPr>
                <w:sz w:val="18"/>
                <w:szCs w:val="18"/>
                <w:highlight w:val="yellow"/>
              </w:rPr>
              <w:t>* from the currently active K</w:t>
            </w:r>
            <w:r w:rsidRPr="007E20CA">
              <w:rPr>
                <w:sz w:val="18"/>
                <w:szCs w:val="18"/>
                <w:highlight w:val="yellow"/>
                <w:vertAlign w:val="subscript"/>
              </w:rPr>
              <w:t>gNB</w:t>
            </w:r>
            <w:r w:rsidRPr="007E20CA">
              <w:rPr>
                <w:sz w:val="18"/>
                <w:szCs w:val="18"/>
                <w:highlight w:val="yellow"/>
              </w:rPr>
              <w:t>/K</w:t>
            </w:r>
            <w:r w:rsidRPr="007E20CA">
              <w:rPr>
                <w:sz w:val="18"/>
                <w:szCs w:val="18"/>
                <w:highlight w:val="yellow"/>
                <w:vertAlign w:val="subscript"/>
              </w:rPr>
              <w:t>eNB</w:t>
            </w:r>
            <w:r w:rsidRPr="007E20CA">
              <w:rPr>
                <w:sz w:val="18"/>
                <w:szCs w:val="18"/>
                <w:highlight w:val="yellow"/>
              </w:rPr>
              <w:t xml:space="preserve"> and the target PCI and its frequency ARFCN-DL/EARFCN-DL using the function defined in Annex A.11 and A.12.</w:t>
            </w:r>
            <w:r w:rsidRPr="00C561F2">
              <w:rPr>
                <w:sz w:val="18"/>
                <w:szCs w:val="18"/>
              </w:rPr>
              <w:t xml:space="preserve"> </w:t>
            </w:r>
          </w:p>
          <w:p w14:paraId="06B2AD14" w14:textId="06D521B8" w:rsidR="00AE734A" w:rsidRPr="00C561F2" w:rsidRDefault="00C561F2" w:rsidP="00C561F2">
            <w:pPr>
              <w:pStyle w:val="B1"/>
            </w:pPr>
            <w:r w:rsidRPr="00C561F2">
              <w:rPr>
                <w:sz w:val="18"/>
                <w:szCs w:val="18"/>
              </w:rPr>
              <w:t>-</w:t>
            </w:r>
            <w:r w:rsidRPr="00C561F2">
              <w:rPr>
                <w:sz w:val="18"/>
                <w:szCs w:val="18"/>
              </w:rPr>
              <w:tab/>
              <w:t>If the UE received an NCC value that was different from the NCC associated with the currently active K</w:t>
            </w:r>
            <w:r w:rsidRPr="00C561F2">
              <w:rPr>
                <w:sz w:val="18"/>
                <w:szCs w:val="18"/>
                <w:vertAlign w:val="subscript"/>
              </w:rPr>
              <w:t>gNB</w:t>
            </w:r>
            <w:r w:rsidRPr="00C561F2">
              <w:rPr>
                <w:sz w:val="18"/>
                <w:szCs w:val="18"/>
              </w:rPr>
              <w:t>/K</w:t>
            </w:r>
            <w:r w:rsidRPr="00C561F2">
              <w:rPr>
                <w:sz w:val="18"/>
                <w:szCs w:val="18"/>
                <w:vertAlign w:val="subscript"/>
              </w:rPr>
              <w:t>eNB</w:t>
            </w:r>
            <w:r w:rsidRPr="00C561F2">
              <w:rPr>
                <w:sz w:val="18"/>
                <w:szCs w:val="18"/>
              </w:rPr>
              <w:t>, the UE shall first synchronize the locally kept NH parameter by computing the function defined in Annex A.10 iteratively (and increasing the NCC value until it matches the NCC value received from the source ng-eNB/gNB via the HO command message. When the NCC values match, the UE shall compute the K</w:t>
            </w:r>
            <w:r w:rsidRPr="00C561F2">
              <w:rPr>
                <w:sz w:val="18"/>
                <w:szCs w:val="18"/>
                <w:vertAlign w:val="subscript"/>
              </w:rPr>
              <w:t>NG-RAN</w:t>
            </w:r>
            <w:r w:rsidRPr="00C561F2">
              <w:rPr>
                <w:sz w:val="18"/>
                <w:szCs w:val="18"/>
              </w:rPr>
              <w:t>* from the synchronized NH parameter and the target PCI and its frequency ARFCN-DL/EARFCN-DL using the function defined in Annex A.11 and A.12.</w:t>
            </w:r>
          </w:p>
        </w:tc>
      </w:tr>
    </w:tbl>
    <w:p w14:paraId="1A942909" w14:textId="77777777" w:rsidR="00A357F6" w:rsidRDefault="00A357F6" w:rsidP="00EE4B14">
      <w:pPr>
        <w:pStyle w:val="a9"/>
        <w:jc w:val="left"/>
        <w:rPr>
          <w:rFonts w:eastAsia="游明朝" w:cs="Arial"/>
          <w:sz w:val="21"/>
          <w:szCs w:val="21"/>
          <w:lang w:eastAsia="ja-JP"/>
        </w:rPr>
      </w:pPr>
    </w:p>
    <w:p w14:paraId="4A2F3B91" w14:textId="4FF8E5C9" w:rsidR="00CC5AFB" w:rsidRPr="00CC5AFB" w:rsidRDefault="008D66E9" w:rsidP="00EE4B14">
      <w:pPr>
        <w:pStyle w:val="a9"/>
        <w:jc w:val="left"/>
        <w:rPr>
          <w:rFonts w:eastAsia="游明朝"/>
          <w:lang w:eastAsia="ja-JP"/>
        </w:rPr>
      </w:pPr>
      <w:r>
        <w:rPr>
          <w:rFonts w:eastAsia="游明朝" w:cs="Arial" w:hint="eastAsia"/>
          <w:sz w:val="21"/>
          <w:szCs w:val="21"/>
          <w:lang w:eastAsia="ja-JP"/>
        </w:rPr>
        <w:lastRenderedPageBreak/>
        <w:t>Next,</w:t>
      </w:r>
      <w:r>
        <w:rPr>
          <w:rFonts w:eastAsia="游明朝" w:cs="Arial"/>
          <w:sz w:val="21"/>
          <w:szCs w:val="21"/>
          <w:lang w:eastAsia="ja-JP"/>
        </w:rPr>
        <w:t xml:space="preserve"> according to </w:t>
      </w:r>
      <w:r>
        <w:t>UE handling</w:t>
      </w:r>
      <w:r w:rsidR="00713340">
        <w:t xml:space="preserve"> in 6.9.2.3.4</w:t>
      </w:r>
      <w:r>
        <w:rPr>
          <w:rFonts w:eastAsia="游明朝" w:hint="eastAsia"/>
          <w:lang w:eastAsia="ja-JP"/>
        </w:rPr>
        <w:t>,</w:t>
      </w:r>
      <w:r>
        <w:rPr>
          <w:rFonts w:eastAsia="游明朝"/>
          <w:lang w:eastAsia="ja-JP"/>
        </w:rPr>
        <w:t xml:space="preserve"> </w:t>
      </w:r>
      <w:r w:rsidRPr="00B87BB8">
        <w:rPr>
          <w:rFonts w:eastAsia="游明朝"/>
          <w:lang w:eastAsia="ja-JP"/>
        </w:rPr>
        <w:t>UE derives the</w:t>
      </w:r>
      <w:r w:rsidR="007E6F2D">
        <w:rPr>
          <w:rFonts w:eastAsia="游明朝"/>
          <w:lang w:eastAsia="ja-JP"/>
        </w:rPr>
        <w:t xml:space="preserve"> </w:t>
      </w:r>
      <w:r w:rsidRPr="00B87BB8">
        <w:rPr>
          <w:rFonts w:eastAsia="游明朝"/>
          <w:lang w:eastAsia="ja-JP"/>
        </w:rPr>
        <w:t>key using the received NCC</w:t>
      </w:r>
      <w:r w:rsidR="00104402">
        <w:rPr>
          <w:rFonts w:eastAsia="游明朝"/>
          <w:lang w:eastAsia="ja-JP"/>
        </w:rPr>
        <w:t xml:space="preserve"> from source </w:t>
      </w:r>
      <w:proofErr w:type="spellStart"/>
      <w:r w:rsidR="00104402">
        <w:rPr>
          <w:rFonts w:eastAsia="游明朝"/>
          <w:lang w:eastAsia="ja-JP"/>
        </w:rPr>
        <w:t>gNB</w:t>
      </w:r>
      <w:proofErr w:type="spellEnd"/>
      <w:r w:rsidRPr="00B87BB8">
        <w:rPr>
          <w:rFonts w:eastAsia="游明朝"/>
          <w:lang w:eastAsia="ja-JP"/>
        </w:rPr>
        <w:t>. Therefore, in inter-CU LTM, since there is a need to derive a new key, it is necessary to notify the terminal of the parameters required for updating the security key, including the NCC.</w:t>
      </w:r>
    </w:p>
    <w:p w14:paraId="691A6F29" w14:textId="27604ED5" w:rsidR="00723EDA" w:rsidRDefault="00B91FBA" w:rsidP="00723EDA">
      <w:pPr>
        <w:pStyle w:val="a9"/>
        <w:rPr>
          <w:rFonts w:eastAsia="游明朝" w:cs="Arial"/>
          <w:b/>
          <w:bCs/>
          <w:sz w:val="21"/>
          <w:szCs w:val="21"/>
          <w:lang w:eastAsia="ja-JP"/>
        </w:rPr>
      </w:pPr>
      <w:r w:rsidRPr="00B91FBA">
        <w:rPr>
          <w:rFonts w:eastAsia="游明朝" w:cs="Arial" w:hint="eastAsia"/>
          <w:b/>
          <w:bCs/>
          <w:sz w:val="21"/>
          <w:szCs w:val="21"/>
          <w:lang w:eastAsia="ja-JP"/>
        </w:rPr>
        <w:t>P</w:t>
      </w:r>
      <w:r w:rsidRPr="00B91FBA">
        <w:rPr>
          <w:rFonts w:eastAsia="游明朝" w:cs="Arial"/>
          <w:b/>
          <w:bCs/>
          <w:sz w:val="21"/>
          <w:szCs w:val="21"/>
          <w:lang w:eastAsia="ja-JP"/>
        </w:rPr>
        <w:t>roposal</w:t>
      </w:r>
      <w:r w:rsidR="001A18E7">
        <w:rPr>
          <w:rFonts w:eastAsia="游明朝" w:cs="Arial"/>
          <w:b/>
          <w:bCs/>
          <w:sz w:val="21"/>
          <w:szCs w:val="21"/>
          <w:lang w:eastAsia="ja-JP"/>
        </w:rPr>
        <w:t>4</w:t>
      </w:r>
      <w:r w:rsidRPr="00B91FBA">
        <w:rPr>
          <w:rFonts w:eastAsia="游明朝" w:cs="Arial"/>
          <w:b/>
          <w:bCs/>
          <w:sz w:val="21"/>
          <w:szCs w:val="21"/>
          <w:lang w:eastAsia="ja-JP"/>
        </w:rPr>
        <w:t xml:space="preserve">: </w:t>
      </w:r>
      <w:r w:rsidR="00BB6484">
        <w:rPr>
          <w:rFonts w:eastAsia="游明朝" w:cs="Arial"/>
          <w:b/>
          <w:bCs/>
          <w:sz w:val="21"/>
          <w:szCs w:val="21"/>
          <w:lang w:eastAsia="ja-JP"/>
        </w:rPr>
        <w:t>RAN2 d</w:t>
      </w:r>
      <w:r w:rsidR="0095682F" w:rsidRPr="0095682F">
        <w:rPr>
          <w:rFonts w:eastAsia="游明朝" w:cs="Arial"/>
          <w:b/>
          <w:bCs/>
          <w:sz w:val="21"/>
          <w:szCs w:val="21"/>
          <w:lang w:eastAsia="ja-JP"/>
        </w:rPr>
        <w:t xml:space="preserve">iscuss updating the security key </w:t>
      </w:r>
      <w:r w:rsidR="009E5F45">
        <w:rPr>
          <w:rFonts w:eastAsia="游明朝" w:cs="Arial"/>
          <w:b/>
          <w:bCs/>
          <w:sz w:val="21"/>
          <w:szCs w:val="21"/>
          <w:lang w:eastAsia="ja-JP"/>
        </w:rPr>
        <w:t>for</w:t>
      </w:r>
      <w:r w:rsidR="0095682F" w:rsidRPr="0095682F">
        <w:rPr>
          <w:rFonts w:eastAsia="游明朝" w:cs="Arial"/>
          <w:b/>
          <w:bCs/>
          <w:sz w:val="21"/>
          <w:szCs w:val="21"/>
          <w:lang w:eastAsia="ja-JP"/>
        </w:rPr>
        <w:t xml:space="preserve"> inter-CU LTM scenarios.</w:t>
      </w:r>
    </w:p>
    <w:p w14:paraId="20F282E1" w14:textId="4DF11039" w:rsidR="00723EDA" w:rsidRDefault="00CC5AFB" w:rsidP="00CC5AFB">
      <w:pPr>
        <w:pStyle w:val="a9"/>
        <w:jc w:val="center"/>
        <w:rPr>
          <w:rFonts w:eastAsia="游明朝" w:cs="Arial"/>
          <w:b/>
          <w:bCs/>
          <w:sz w:val="21"/>
          <w:szCs w:val="21"/>
          <w:lang w:eastAsia="ja-JP"/>
        </w:rPr>
      </w:pPr>
      <w:r>
        <w:rPr>
          <w:rFonts w:eastAsia="游明朝" w:cs="Arial"/>
          <w:b/>
          <w:bCs/>
          <w:noProof/>
          <w:sz w:val="21"/>
          <w:szCs w:val="21"/>
          <w:lang w:eastAsia="ja-JP"/>
        </w:rPr>
        <w:drawing>
          <wp:anchor distT="0" distB="0" distL="114300" distR="114300" simplePos="0" relativeHeight="251659264" behindDoc="0" locked="0" layoutInCell="1" allowOverlap="1" wp14:anchorId="2925CD72" wp14:editId="715E40FC">
            <wp:simplePos x="0" y="0"/>
            <wp:positionH relativeFrom="column">
              <wp:posOffset>1758234</wp:posOffset>
            </wp:positionH>
            <wp:positionV relativeFrom="paragraph">
              <wp:posOffset>148688</wp:posOffset>
            </wp:positionV>
            <wp:extent cx="2299970" cy="1809750"/>
            <wp:effectExtent l="0" t="0" r="5080" b="0"/>
            <wp:wrapTopAndBottom/>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9970" cy="1809750"/>
                    </a:xfrm>
                    <a:prstGeom prst="rect">
                      <a:avLst/>
                    </a:prstGeom>
                    <a:noFill/>
                    <a:ln>
                      <a:noFill/>
                    </a:ln>
                  </pic:spPr>
                </pic:pic>
              </a:graphicData>
            </a:graphic>
          </wp:anchor>
        </w:drawing>
      </w:r>
      <w:r w:rsidR="00723EDA">
        <w:rPr>
          <w:rFonts w:eastAsia="游明朝" w:cs="Arial"/>
          <w:b/>
          <w:bCs/>
          <w:sz w:val="21"/>
          <w:szCs w:val="21"/>
          <w:lang w:eastAsia="ja-JP"/>
        </w:rPr>
        <w:t xml:space="preserve">Figure1: legacy </w:t>
      </w:r>
      <w:proofErr w:type="spellStart"/>
      <w:r w:rsidR="00723EDA">
        <w:rPr>
          <w:rFonts w:eastAsia="游明朝" w:cs="Arial"/>
          <w:b/>
          <w:bCs/>
          <w:sz w:val="21"/>
          <w:szCs w:val="21"/>
          <w:lang w:eastAsia="ja-JP"/>
        </w:rPr>
        <w:t>Xn</w:t>
      </w:r>
      <w:proofErr w:type="spellEnd"/>
      <w:r w:rsidR="00723EDA">
        <w:rPr>
          <w:rFonts w:eastAsia="游明朝" w:cs="Arial"/>
          <w:b/>
          <w:bCs/>
          <w:sz w:val="21"/>
          <w:szCs w:val="21"/>
          <w:lang w:eastAsia="ja-JP"/>
        </w:rPr>
        <w:t xml:space="preserve"> handover</w:t>
      </w:r>
    </w:p>
    <w:p w14:paraId="6BB656E6" w14:textId="64A7290D" w:rsidR="00B91FBA" w:rsidRPr="00B91FBA" w:rsidRDefault="00B91FBA" w:rsidP="00723EDA">
      <w:pPr>
        <w:pStyle w:val="a9"/>
        <w:rPr>
          <w:rFonts w:eastAsia="游明朝" w:cs="Arial"/>
          <w:b/>
          <w:bCs/>
          <w:sz w:val="21"/>
          <w:szCs w:val="21"/>
          <w:lang w:eastAsia="ja-JP"/>
        </w:rPr>
      </w:pPr>
    </w:p>
    <w:bookmarkEnd w:id="0"/>
    <w:bookmarkEnd w:id="4"/>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27350845" w14:textId="77777777" w:rsidR="001A18E7" w:rsidRDefault="001A18E7" w:rsidP="001A18E7">
      <w:pPr>
        <w:pStyle w:val="a9"/>
        <w:jc w:val="left"/>
        <w:rPr>
          <w:rFonts w:eastAsia="游明朝" w:cs="Arial"/>
          <w:b/>
          <w:bCs/>
          <w:sz w:val="21"/>
          <w:szCs w:val="21"/>
          <w:lang w:eastAsia="ja-JP"/>
        </w:rPr>
      </w:pPr>
      <w:r w:rsidRPr="008B52F0">
        <w:rPr>
          <w:rFonts w:eastAsia="游明朝" w:cs="Arial"/>
          <w:b/>
          <w:bCs/>
          <w:sz w:val="21"/>
          <w:szCs w:val="21"/>
          <w:lang w:eastAsia="ja-JP"/>
        </w:rPr>
        <w:t xml:space="preserve">Proposal1: </w:t>
      </w:r>
      <w:r w:rsidRPr="00462F52">
        <w:rPr>
          <w:rStyle w:val="ui-provider"/>
          <w:b/>
          <w:bCs/>
        </w:rPr>
        <w:t>RAN2 agree to use Rel-18 subsequent LTM mechanism for intra-CU as a baseline for Rel-19 inter-CU.</w:t>
      </w:r>
    </w:p>
    <w:p w14:paraId="33CAD2BC" w14:textId="77777777" w:rsidR="001A18E7" w:rsidRDefault="001A18E7" w:rsidP="001A18E7">
      <w:pPr>
        <w:pStyle w:val="a9"/>
        <w:jc w:val="left"/>
        <w:rPr>
          <w:rStyle w:val="ui-provider"/>
          <w:b/>
          <w:bCs/>
        </w:rPr>
      </w:pPr>
      <w:r w:rsidRPr="008B52F0">
        <w:rPr>
          <w:rFonts w:eastAsia="游明朝" w:cs="Arial"/>
          <w:b/>
          <w:bCs/>
          <w:sz w:val="21"/>
          <w:szCs w:val="21"/>
          <w:lang w:eastAsia="ja-JP"/>
        </w:rPr>
        <w:t>Proposal2</w:t>
      </w:r>
      <w:r w:rsidRPr="00902681">
        <w:rPr>
          <w:rFonts w:eastAsia="游明朝" w:cs="Arial"/>
          <w:b/>
          <w:bCs/>
          <w:sz w:val="21"/>
          <w:szCs w:val="21"/>
          <w:lang w:eastAsia="ja-JP"/>
        </w:rPr>
        <w:t>:</w:t>
      </w:r>
      <w:r w:rsidRPr="00902681">
        <w:rPr>
          <w:b/>
          <w:bCs/>
        </w:rPr>
        <w:t xml:space="preserve"> </w:t>
      </w:r>
      <w:r w:rsidRPr="00902681">
        <w:rPr>
          <w:rStyle w:val="ui-provider"/>
          <w:b/>
          <w:bCs/>
        </w:rPr>
        <w:t xml:space="preserve">RAN2 agree to focus on the subsequent LTM mechanism for </w:t>
      </w:r>
      <w:proofErr w:type="spellStart"/>
      <w:r w:rsidRPr="00902681">
        <w:rPr>
          <w:rStyle w:val="ui-provider"/>
          <w:b/>
          <w:bCs/>
        </w:rPr>
        <w:t>Xn</w:t>
      </w:r>
      <w:proofErr w:type="spellEnd"/>
      <w:r w:rsidRPr="00902681">
        <w:rPr>
          <w:rStyle w:val="ui-provider"/>
          <w:b/>
          <w:bCs/>
        </w:rPr>
        <w:t xml:space="preserve"> handover case first.</w:t>
      </w:r>
    </w:p>
    <w:p w14:paraId="73611494" w14:textId="77777777" w:rsidR="001A18E7" w:rsidRDefault="001A18E7" w:rsidP="001A18E7">
      <w:pPr>
        <w:pStyle w:val="a9"/>
        <w:jc w:val="left"/>
        <w:rPr>
          <w:rStyle w:val="ui-provider"/>
          <w:b/>
          <w:bCs/>
        </w:rPr>
      </w:pPr>
      <w:r w:rsidRPr="00902681">
        <w:rPr>
          <w:rStyle w:val="ui-provider"/>
          <w:rFonts w:eastAsia="游明朝" w:hint="eastAsia"/>
          <w:b/>
          <w:bCs/>
          <w:sz w:val="21"/>
          <w:szCs w:val="21"/>
          <w:lang w:eastAsia="ja-JP"/>
        </w:rPr>
        <w:t>P</w:t>
      </w:r>
      <w:r w:rsidRPr="00902681">
        <w:rPr>
          <w:rStyle w:val="ui-provider"/>
          <w:rFonts w:eastAsia="游明朝"/>
          <w:b/>
          <w:bCs/>
          <w:sz w:val="21"/>
          <w:szCs w:val="21"/>
          <w:lang w:eastAsia="ja-JP"/>
        </w:rPr>
        <w:t xml:space="preserve">roposal3: </w:t>
      </w:r>
      <w:r w:rsidRPr="00446424">
        <w:rPr>
          <w:rStyle w:val="ui-provider"/>
          <w:b/>
          <w:bCs/>
        </w:rPr>
        <w:t xml:space="preserve">RAN2 agree to discuss the subsequent LTM mechanism for N2 handover case later (after </w:t>
      </w:r>
      <w:proofErr w:type="spellStart"/>
      <w:r w:rsidRPr="00446424">
        <w:rPr>
          <w:rStyle w:val="ui-provider"/>
          <w:b/>
          <w:bCs/>
        </w:rPr>
        <w:t>Xn</w:t>
      </w:r>
      <w:proofErr w:type="spellEnd"/>
      <w:r w:rsidRPr="00446424">
        <w:rPr>
          <w:rStyle w:val="ui-provider"/>
          <w:b/>
          <w:bCs/>
        </w:rPr>
        <w:t xml:space="preserve"> handover case)</w:t>
      </w:r>
    </w:p>
    <w:p w14:paraId="42809E34" w14:textId="1C9A6962" w:rsidR="001A18E7" w:rsidRDefault="001A18E7" w:rsidP="001A18E7">
      <w:pPr>
        <w:pStyle w:val="a9"/>
        <w:rPr>
          <w:rFonts w:eastAsia="游明朝" w:cs="Arial"/>
          <w:b/>
          <w:bCs/>
          <w:sz w:val="21"/>
          <w:szCs w:val="21"/>
          <w:lang w:eastAsia="ja-JP"/>
        </w:rPr>
      </w:pPr>
      <w:r w:rsidRPr="00B91FBA">
        <w:rPr>
          <w:rFonts w:eastAsia="游明朝" w:cs="Arial" w:hint="eastAsia"/>
          <w:b/>
          <w:bCs/>
          <w:sz w:val="21"/>
          <w:szCs w:val="21"/>
          <w:lang w:eastAsia="ja-JP"/>
        </w:rPr>
        <w:t>P</w:t>
      </w:r>
      <w:r w:rsidRPr="00B91FBA">
        <w:rPr>
          <w:rFonts w:eastAsia="游明朝" w:cs="Arial"/>
          <w:b/>
          <w:bCs/>
          <w:sz w:val="21"/>
          <w:szCs w:val="21"/>
          <w:lang w:eastAsia="ja-JP"/>
        </w:rPr>
        <w:t>roposal</w:t>
      </w:r>
      <w:r>
        <w:rPr>
          <w:rFonts w:eastAsia="游明朝" w:cs="Arial"/>
          <w:b/>
          <w:bCs/>
          <w:sz w:val="21"/>
          <w:szCs w:val="21"/>
          <w:lang w:eastAsia="ja-JP"/>
        </w:rPr>
        <w:t>4</w:t>
      </w:r>
      <w:r w:rsidRPr="00B91FBA">
        <w:rPr>
          <w:rFonts w:eastAsia="游明朝" w:cs="Arial"/>
          <w:b/>
          <w:bCs/>
          <w:sz w:val="21"/>
          <w:szCs w:val="21"/>
          <w:lang w:eastAsia="ja-JP"/>
        </w:rPr>
        <w:t xml:space="preserve">: </w:t>
      </w:r>
      <w:r>
        <w:rPr>
          <w:rFonts w:eastAsia="游明朝" w:cs="Arial"/>
          <w:b/>
          <w:bCs/>
          <w:sz w:val="21"/>
          <w:szCs w:val="21"/>
          <w:lang w:eastAsia="ja-JP"/>
        </w:rPr>
        <w:t>RAN2 d</w:t>
      </w:r>
      <w:r w:rsidRPr="0095682F">
        <w:rPr>
          <w:rFonts w:eastAsia="游明朝" w:cs="Arial"/>
          <w:b/>
          <w:bCs/>
          <w:sz w:val="21"/>
          <w:szCs w:val="21"/>
          <w:lang w:eastAsia="ja-JP"/>
        </w:rPr>
        <w:t xml:space="preserve">iscuss updating the security key </w:t>
      </w:r>
      <w:r w:rsidR="004C5185">
        <w:rPr>
          <w:rFonts w:eastAsia="游明朝" w:cs="Arial"/>
          <w:b/>
          <w:bCs/>
          <w:sz w:val="21"/>
          <w:szCs w:val="21"/>
          <w:lang w:eastAsia="ja-JP"/>
        </w:rPr>
        <w:t>fo</w:t>
      </w:r>
      <w:r w:rsidR="009E5F45">
        <w:rPr>
          <w:rFonts w:eastAsia="游明朝" w:cs="Arial"/>
          <w:b/>
          <w:bCs/>
          <w:sz w:val="21"/>
          <w:szCs w:val="21"/>
          <w:lang w:eastAsia="ja-JP"/>
        </w:rPr>
        <w:t>r</w:t>
      </w:r>
      <w:r w:rsidRPr="0095682F">
        <w:rPr>
          <w:rFonts w:eastAsia="游明朝" w:cs="Arial"/>
          <w:b/>
          <w:bCs/>
          <w:sz w:val="21"/>
          <w:szCs w:val="21"/>
          <w:lang w:eastAsia="ja-JP"/>
        </w:rPr>
        <w:t xml:space="preserve"> inter-CU LTM scenarios.</w:t>
      </w:r>
    </w:p>
    <w:p w14:paraId="5C635B5F" w14:textId="77777777" w:rsidR="001A18E7" w:rsidRPr="001A18E7" w:rsidRDefault="001A18E7" w:rsidP="001A18E7">
      <w:pPr>
        <w:pStyle w:val="a9"/>
        <w:jc w:val="left"/>
        <w:rPr>
          <w:rFonts w:eastAsia="游明朝" w:cs="Arial"/>
          <w:b/>
          <w:bCs/>
          <w:sz w:val="22"/>
          <w:szCs w:val="22"/>
          <w:lang w:eastAsia="ja-JP"/>
        </w:rPr>
      </w:pPr>
    </w:p>
    <w:p w14:paraId="03C67EC1" w14:textId="2956B7E4" w:rsidR="008678EA" w:rsidRPr="008678EA" w:rsidRDefault="008678EA" w:rsidP="005A2BC5">
      <w:pPr>
        <w:pStyle w:val="1"/>
        <w:ind w:left="0" w:firstLine="0"/>
        <w:rPr>
          <w:rFonts w:cs="Arial"/>
          <w:sz w:val="32"/>
          <w:szCs w:val="18"/>
        </w:rPr>
      </w:pPr>
      <w:r w:rsidRPr="008678EA">
        <w:rPr>
          <w:rFonts w:cs="Arial"/>
          <w:sz w:val="32"/>
          <w:szCs w:val="18"/>
        </w:rPr>
        <w:t>3</w:t>
      </w:r>
      <w:r w:rsidRPr="008678EA">
        <w:rPr>
          <w:rFonts w:cs="Arial"/>
          <w:sz w:val="32"/>
          <w:szCs w:val="18"/>
        </w:rPr>
        <w:tab/>
      </w:r>
      <w:r w:rsidR="00153109">
        <w:rPr>
          <w:rFonts w:ascii="游明朝" w:eastAsia="游明朝" w:hAnsi="游明朝" w:cs="Arial" w:hint="eastAsia"/>
          <w:sz w:val="32"/>
          <w:szCs w:val="18"/>
        </w:rPr>
        <w:t xml:space="preserve">　</w:t>
      </w:r>
      <w:r w:rsidR="009F4AEE" w:rsidRPr="009F4AEE">
        <w:rPr>
          <w:rFonts w:cs="Arial"/>
          <w:sz w:val="32"/>
          <w:szCs w:val="18"/>
        </w:rPr>
        <w:t>Reference</w:t>
      </w:r>
    </w:p>
    <w:p w14:paraId="07549235" w14:textId="74D72C29" w:rsidR="007C7C05" w:rsidRDefault="007C7C05" w:rsidP="00A13633">
      <w:pPr>
        <w:pStyle w:val="a9"/>
        <w:jc w:val="left"/>
        <w:rPr>
          <w:bCs/>
          <w:sz w:val="24"/>
          <w:lang w:val="en-US"/>
        </w:rPr>
      </w:pPr>
      <w:r>
        <w:rPr>
          <w:rFonts w:eastAsia="游明朝" w:cs="Arial" w:hint="eastAsia"/>
          <w:lang w:eastAsia="ja-JP"/>
        </w:rPr>
        <w:t>[</w:t>
      </w:r>
      <w:r>
        <w:rPr>
          <w:rFonts w:eastAsia="游明朝" w:cs="Arial"/>
          <w:lang w:eastAsia="ja-JP"/>
        </w:rPr>
        <w:t>1]</w:t>
      </w:r>
      <w:r>
        <w:rPr>
          <w:rFonts w:eastAsia="游明朝" w:cs="Arial" w:hint="eastAsia"/>
          <w:lang w:eastAsia="ja-JP"/>
        </w:rPr>
        <w:t xml:space="preserve">　</w:t>
      </w:r>
      <w:r w:rsidR="00AF3471">
        <w:rPr>
          <w:rFonts w:eastAsia="游明朝" w:cs="Arial" w:hint="eastAsia"/>
          <w:lang w:eastAsia="ja-JP"/>
        </w:rPr>
        <w:t>R</w:t>
      </w:r>
      <w:r w:rsidR="00AF3471">
        <w:rPr>
          <w:rFonts w:eastAsia="游明朝" w:cs="Arial"/>
          <w:lang w:eastAsia="ja-JP"/>
        </w:rPr>
        <w:t>P</w:t>
      </w:r>
      <w:r w:rsidR="000A613F">
        <w:rPr>
          <w:rFonts w:eastAsia="游明朝" w:cs="Arial"/>
          <w:lang w:eastAsia="ja-JP"/>
        </w:rPr>
        <w:t>-</w:t>
      </w:r>
      <w:r w:rsidR="00AF3471">
        <w:rPr>
          <w:rFonts w:eastAsia="游明朝" w:cs="Arial"/>
          <w:lang w:eastAsia="ja-JP"/>
        </w:rPr>
        <w:t>23</w:t>
      </w:r>
      <w:r w:rsidR="007960C3">
        <w:rPr>
          <w:rFonts w:eastAsia="游明朝" w:cs="Arial"/>
          <w:lang w:eastAsia="ja-JP"/>
        </w:rPr>
        <w:t xml:space="preserve">4036 </w:t>
      </w:r>
      <w:r w:rsidR="007510E1" w:rsidRPr="007510E1">
        <w:rPr>
          <w:rFonts w:eastAsia="游明朝" w:cs="Arial"/>
          <w:lang w:eastAsia="ja-JP"/>
        </w:rPr>
        <w:t>Moderator's summary on new WI NR mobility enhancements Phase 4</w:t>
      </w:r>
      <w:r w:rsidR="004F4A2B">
        <w:rPr>
          <w:rFonts w:eastAsia="游明朝" w:cs="Arial"/>
          <w:lang w:eastAsia="ja-JP"/>
        </w:rPr>
        <w:t xml:space="preserve"> </w:t>
      </w:r>
      <w:r w:rsidR="004F4A2B">
        <w:rPr>
          <w:bCs/>
          <w:sz w:val="24"/>
          <w:lang w:val="en-US"/>
        </w:rPr>
        <w:t>Intel (moderator)</w:t>
      </w:r>
    </w:p>
    <w:p w14:paraId="61DE300C" w14:textId="77777777" w:rsidR="00637E39" w:rsidRPr="004F4A2B" w:rsidRDefault="004F4A2B" w:rsidP="00637E39">
      <w:pPr>
        <w:pStyle w:val="a9"/>
        <w:jc w:val="left"/>
        <w:rPr>
          <w:rFonts w:eastAsia="游明朝" w:cs="Arial"/>
          <w:sz w:val="16"/>
          <w:szCs w:val="16"/>
          <w:lang w:eastAsia="ja-JP"/>
        </w:rPr>
      </w:pPr>
      <w:r w:rsidRPr="004F4A2B">
        <w:rPr>
          <w:rFonts w:eastAsia="游明朝" w:hint="eastAsia"/>
          <w:bCs/>
          <w:sz w:val="21"/>
          <w:szCs w:val="16"/>
          <w:lang w:val="en-US" w:eastAsia="ja-JP"/>
        </w:rPr>
        <w:t>[</w:t>
      </w:r>
      <w:r w:rsidRPr="004F4A2B">
        <w:rPr>
          <w:rFonts w:eastAsia="游明朝"/>
          <w:bCs/>
          <w:sz w:val="21"/>
          <w:szCs w:val="16"/>
          <w:lang w:val="en-US" w:eastAsia="ja-JP"/>
        </w:rPr>
        <w:t>2]</w:t>
      </w:r>
      <w:r w:rsidR="00B54416">
        <w:rPr>
          <w:rFonts w:eastAsia="游明朝" w:hint="eastAsia"/>
          <w:bCs/>
          <w:sz w:val="21"/>
          <w:szCs w:val="16"/>
          <w:lang w:val="en-US" w:eastAsia="ja-JP"/>
        </w:rPr>
        <w:t xml:space="preserve">　</w:t>
      </w:r>
      <w:r w:rsidR="00F1526A">
        <w:rPr>
          <w:rFonts w:eastAsia="游明朝" w:hint="eastAsia"/>
          <w:bCs/>
          <w:sz w:val="21"/>
          <w:szCs w:val="16"/>
          <w:lang w:val="en-US" w:eastAsia="ja-JP"/>
        </w:rPr>
        <w:t>3</w:t>
      </w:r>
      <w:r w:rsidR="00F1526A">
        <w:rPr>
          <w:rFonts w:eastAsia="游明朝"/>
          <w:bCs/>
          <w:sz w:val="21"/>
          <w:szCs w:val="16"/>
          <w:lang w:val="en-US" w:eastAsia="ja-JP"/>
        </w:rPr>
        <w:t xml:space="preserve">GPP 33.501 </w:t>
      </w:r>
      <w:r w:rsidR="00102ADA">
        <w:t>5G; Security architecture and procedures for 5G System</w:t>
      </w:r>
      <w:r w:rsidR="00637E39">
        <w:t xml:space="preserve"> </w:t>
      </w:r>
      <w:r w:rsidR="00637E39" w:rsidRPr="00F2639C">
        <w:rPr>
          <w:rFonts w:eastAsia="游明朝" w:cs="Arial"/>
          <w:lang w:eastAsia="ja-JP"/>
        </w:rPr>
        <w:t>v18.5.0</w:t>
      </w:r>
    </w:p>
    <w:p w14:paraId="15CE81E8" w14:textId="23E61CF2" w:rsidR="004F4A2B" w:rsidRPr="00637E39" w:rsidRDefault="004F4A2B" w:rsidP="00A13633">
      <w:pPr>
        <w:pStyle w:val="a9"/>
        <w:jc w:val="left"/>
        <w:rPr>
          <w:rFonts w:eastAsia="游明朝" w:cs="Arial"/>
          <w:sz w:val="16"/>
          <w:szCs w:val="16"/>
          <w:lang w:eastAsia="ja-JP"/>
        </w:rPr>
      </w:pPr>
    </w:p>
    <w:p w14:paraId="5F4B3D7A" w14:textId="4EA0C736" w:rsidR="00C51F9E" w:rsidRPr="00C51F9E" w:rsidRDefault="00C51F9E" w:rsidP="00A13633">
      <w:pPr>
        <w:pStyle w:val="a9"/>
        <w:jc w:val="left"/>
        <w:rPr>
          <w:rFonts w:cs="Arial"/>
        </w:rPr>
      </w:pPr>
    </w:p>
    <w:sectPr w:rsidR="00C51F9E" w:rsidRPr="00C51F9E"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AE2FA" w14:textId="77777777" w:rsidR="00257908" w:rsidRDefault="00257908">
      <w:r>
        <w:separator/>
      </w:r>
    </w:p>
  </w:endnote>
  <w:endnote w:type="continuationSeparator" w:id="0">
    <w:p w14:paraId="7191E88B" w14:textId="77777777" w:rsidR="00257908" w:rsidRDefault="00257908">
      <w:r>
        <w:continuationSeparator/>
      </w:r>
    </w:p>
  </w:endnote>
  <w:endnote w:type="continuationNotice" w:id="1">
    <w:p w14:paraId="78C66514" w14:textId="77777777" w:rsidR="00257908" w:rsidRDefault="00257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95749" w14:textId="77777777" w:rsidR="00257908" w:rsidRDefault="00257908">
      <w:r>
        <w:separator/>
      </w:r>
    </w:p>
  </w:footnote>
  <w:footnote w:type="continuationSeparator" w:id="0">
    <w:p w14:paraId="681120B7" w14:textId="77777777" w:rsidR="00257908" w:rsidRDefault="00257908">
      <w:r>
        <w:continuationSeparator/>
      </w:r>
    </w:p>
  </w:footnote>
  <w:footnote w:type="continuationNotice" w:id="1">
    <w:p w14:paraId="2DA0C46B" w14:textId="77777777" w:rsidR="00257908" w:rsidRDefault="002579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4"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5"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2"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31"/>
  </w:num>
  <w:num w:numId="2" w16cid:durableId="741023846">
    <w:abstractNumId w:val="28"/>
  </w:num>
  <w:num w:numId="3" w16cid:durableId="1688555015">
    <w:abstractNumId w:val="2"/>
  </w:num>
  <w:num w:numId="4" w16cid:durableId="1227911782">
    <w:abstractNumId w:val="32"/>
  </w:num>
  <w:num w:numId="5" w16cid:durableId="468666615">
    <w:abstractNumId w:val="33"/>
  </w:num>
  <w:num w:numId="6" w16cid:durableId="1768846743">
    <w:abstractNumId w:val="34"/>
  </w:num>
  <w:num w:numId="7" w16cid:durableId="584800225">
    <w:abstractNumId w:val="18"/>
  </w:num>
  <w:num w:numId="8" w16cid:durableId="1854104041">
    <w:abstractNumId w:val="19"/>
  </w:num>
  <w:num w:numId="9" w16cid:durableId="1511481140">
    <w:abstractNumId w:val="12"/>
  </w:num>
  <w:num w:numId="10" w16cid:durableId="1008941538">
    <w:abstractNumId w:val="43"/>
  </w:num>
  <w:num w:numId="11" w16cid:durableId="1455712139">
    <w:abstractNumId w:val="25"/>
  </w:num>
  <w:num w:numId="12" w16cid:durableId="606274876">
    <w:abstractNumId w:val="40"/>
  </w:num>
  <w:num w:numId="13" w16cid:durableId="500199028">
    <w:abstractNumId w:val="41"/>
  </w:num>
  <w:num w:numId="14" w16cid:durableId="387076203">
    <w:abstractNumId w:val="20"/>
  </w:num>
  <w:num w:numId="15" w16cid:durableId="100610269">
    <w:abstractNumId w:val="1"/>
  </w:num>
  <w:num w:numId="16" w16cid:durableId="37516567">
    <w:abstractNumId w:val="0"/>
  </w:num>
  <w:num w:numId="17" w16cid:durableId="360669704">
    <w:abstractNumId w:val="5"/>
  </w:num>
  <w:num w:numId="18" w16cid:durableId="135076719">
    <w:abstractNumId w:val="30"/>
  </w:num>
  <w:num w:numId="19" w16cid:durableId="2016180719">
    <w:abstractNumId w:val="21"/>
  </w:num>
  <w:num w:numId="20" w16cid:durableId="73015345">
    <w:abstractNumId w:val="38"/>
  </w:num>
  <w:num w:numId="21" w16cid:durableId="139657948">
    <w:abstractNumId w:val="6"/>
  </w:num>
  <w:num w:numId="22" w16cid:durableId="1282299005">
    <w:abstractNumId w:val="42"/>
  </w:num>
  <w:num w:numId="23" w16cid:durableId="16467201">
    <w:abstractNumId w:val="36"/>
  </w:num>
  <w:num w:numId="24" w16cid:durableId="1713111702">
    <w:abstractNumId w:val="22"/>
  </w:num>
  <w:num w:numId="25" w16cid:durableId="422342851">
    <w:abstractNumId w:val="8"/>
  </w:num>
  <w:num w:numId="26" w16cid:durableId="1504584986">
    <w:abstractNumId w:val="39"/>
  </w:num>
  <w:num w:numId="27" w16cid:durableId="1814523635">
    <w:abstractNumId w:val="15"/>
  </w:num>
  <w:num w:numId="28" w16cid:durableId="1056778654">
    <w:abstractNumId w:val="16"/>
  </w:num>
  <w:num w:numId="29" w16cid:durableId="1994597334">
    <w:abstractNumId w:val="14"/>
  </w:num>
  <w:num w:numId="30" w16cid:durableId="2021735295">
    <w:abstractNumId w:val="24"/>
  </w:num>
  <w:num w:numId="31" w16cid:durableId="917637102">
    <w:abstractNumId w:val="23"/>
  </w:num>
  <w:num w:numId="32" w16cid:durableId="622463029">
    <w:abstractNumId w:val="17"/>
  </w:num>
  <w:num w:numId="33" w16cid:durableId="1314678425">
    <w:abstractNumId w:val="4"/>
  </w:num>
  <w:num w:numId="34" w16cid:durableId="496189155">
    <w:abstractNumId w:val="11"/>
  </w:num>
  <w:num w:numId="35" w16cid:durableId="539703291">
    <w:abstractNumId w:val="7"/>
  </w:num>
  <w:num w:numId="36" w16cid:durableId="36589158">
    <w:abstractNumId w:val="9"/>
  </w:num>
  <w:num w:numId="37" w16cid:durableId="551306185">
    <w:abstractNumId w:val="13"/>
  </w:num>
  <w:num w:numId="38" w16cid:durableId="1431660365">
    <w:abstractNumId w:val="27"/>
  </w:num>
  <w:num w:numId="39" w16cid:durableId="15450261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09323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8128322">
    <w:abstractNumId w:val="35"/>
  </w:num>
  <w:num w:numId="42" w16cid:durableId="1834711598">
    <w:abstractNumId w:val="26"/>
  </w:num>
  <w:num w:numId="43" w16cid:durableId="775060291">
    <w:abstractNumId w:val="29"/>
  </w:num>
  <w:num w:numId="44" w16cid:durableId="1283734461">
    <w:abstractNumId w:val="37"/>
  </w:num>
  <w:num w:numId="45" w16cid:durableId="901021656">
    <w:abstractNumId w:val="3"/>
  </w:num>
  <w:num w:numId="46" w16cid:durableId="124329699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47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318F"/>
    <w:rsid w:val="0003323E"/>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EF0"/>
    <w:rsid w:val="00042F22"/>
    <w:rsid w:val="000438F7"/>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B7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1D1"/>
    <w:rsid w:val="00067201"/>
    <w:rsid w:val="00067C8A"/>
    <w:rsid w:val="00067D03"/>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34F"/>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090C"/>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B16"/>
    <w:rsid w:val="000C3B75"/>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A4E"/>
    <w:rsid w:val="00101C1A"/>
    <w:rsid w:val="00101CDD"/>
    <w:rsid w:val="001022EB"/>
    <w:rsid w:val="00102834"/>
    <w:rsid w:val="00102ADA"/>
    <w:rsid w:val="00103057"/>
    <w:rsid w:val="001031A3"/>
    <w:rsid w:val="00103F25"/>
    <w:rsid w:val="00103F5C"/>
    <w:rsid w:val="0010400F"/>
    <w:rsid w:val="00104402"/>
    <w:rsid w:val="001048F9"/>
    <w:rsid w:val="001049E3"/>
    <w:rsid w:val="00104CCC"/>
    <w:rsid w:val="001052F1"/>
    <w:rsid w:val="00105771"/>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F21"/>
    <w:rsid w:val="00153031"/>
    <w:rsid w:val="00153109"/>
    <w:rsid w:val="0015321F"/>
    <w:rsid w:val="001532D8"/>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17F"/>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8E7"/>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29EB"/>
    <w:rsid w:val="001B2E34"/>
    <w:rsid w:val="001B341A"/>
    <w:rsid w:val="001B3F8D"/>
    <w:rsid w:val="001B42A6"/>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47E"/>
    <w:rsid w:val="002028B2"/>
    <w:rsid w:val="00202A60"/>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CA9"/>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4C"/>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36D"/>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2B"/>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A9D"/>
    <w:rsid w:val="00392B21"/>
    <w:rsid w:val="00392FDC"/>
    <w:rsid w:val="00393352"/>
    <w:rsid w:val="003939FF"/>
    <w:rsid w:val="00394425"/>
    <w:rsid w:val="00394702"/>
    <w:rsid w:val="00394A69"/>
    <w:rsid w:val="00394D8B"/>
    <w:rsid w:val="0039527E"/>
    <w:rsid w:val="00395308"/>
    <w:rsid w:val="00395412"/>
    <w:rsid w:val="00395606"/>
    <w:rsid w:val="00395CE3"/>
    <w:rsid w:val="003960D2"/>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90"/>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8D7"/>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39"/>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623"/>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F49"/>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185"/>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3D"/>
    <w:rsid w:val="004E38B0"/>
    <w:rsid w:val="004E3A6E"/>
    <w:rsid w:val="004E3BF1"/>
    <w:rsid w:val="004E414F"/>
    <w:rsid w:val="004E417E"/>
    <w:rsid w:val="004E424D"/>
    <w:rsid w:val="004E462E"/>
    <w:rsid w:val="004E4831"/>
    <w:rsid w:val="004E497F"/>
    <w:rsid w:val="004E4E9B"/>
    <w:rsid w:val="004E4FB1"/>
    <w:rsid w:val="004E56DC"/>
    <w:rsid w:val="004E597D"/>
    <w:rsid w:val="004E5E72"/>
    <w:rsid w:val="004E6046"/>
    <w:rsid w:val="004E6728"/>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B1C"/>
    <w:rsid w:val="0052033B"/>
    <w:rsid w:val="0052035E"/>
    <w:rsid w:val="005205D1"/>
    <w:rsid w:val="00520734"/>
    <w:rsid w:val="005207E0"/>
    <w:rsid w:val="00520928"/>
    <w:rsid w:val="00520A37"/>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BC5"/>
    <w:rsid w:val="005A2D13"/>
    <w:rsid w:val="005A3AE8"/>
    <w:rsid w:val="005A4050"/>
    <w:rsid w:val="005A41AC"/>
    <w:rsid w:val="005A4457"/>
    <w:rsid w:val="005A4C40"/>
    <w:rsid w:val="005A52F5"/>
    <w:rsid w:val="005A548D"/>
    <w:rsid w:val="005A590E"/>
    <w:rsid w:val="005A5A96"/>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46A"/>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26"/>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302"/>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734"/>
    <w:rsid w:val="00600B5A"/>
    <w:rsid w:val="00600EBB"/>
    <w:rsid w:val="00601098"/>
    <w:rsid w:val="006010A6"/>
    <w:rsid w:val="0060283C"/>
    <w:rsid w:val="0060383B"/>
    <w:rsid w:val="00603D1B"/>
    <w:rsid w:val="00603E25"/>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98A"/>
    <w:rsid w:val="00634A41"/>
    <w:rsid w:val="00634A95"/>
    <w:rsid w:val="00635081"/>
    <w:rsid w:val="00635198"/>
    <w:rsid w:val="006358BA"/>
    <w:rsid w:val="00635CC7"/>
    <w:rsid w:val="00636398"/>
    <w:rsid w:val="00636864"/>
    <w:rsid w:val="006368D3"/>
    <w:rsid w:val="00636EA4"/>
    <w:rsid w:val="00636F30"/>
    <w:rsid w:val="00636F32"/>
    <w:rsid w:val="00636FD1"/>
    <w:rsid w:val="006373E9"/>
    <w:rsid w:val="006377EC"/>
    <w:rsid w:val="00637E39"/>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460"/>
    <w:rsid w:val="006655EE"/>
    <w:rsid w:val="006658AC"/>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2B01"/>
    <w:rsid w:val="00683338"/>
    <w:rsid w:val="00683447"/>
    <w:rsid w:val="0068372B"/>
    <w:rsid w:val="00683D09"/>
    <w:rsid w:val="00683ECE"/>
    <w:rsid w:val="006841AA"/>
    <w:rsid w:val="0068499D"/>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11F"/>
    <w:rsid w:val="006E122F"/>
    <w:rsid w:val="006E12C5"/>
    <w:rsid w:val="006E14BF"/>
    <w:rsid w:val="006E1844"/>
    <w:rsid w:val="006E1C82"/>
    <w:rsid w:val="006E1CCC"/>
    <w:rsid w:val="006E1DC4"/>
    <w:rsid w:val="006E284C"/>
    <w:rsid w:val="006E28B7"/>
    <w:rsid w:val="006E2A9B"/>
    <w:rsid w:val="006E2AFD"/>
    <w:rsid w:val="006E2C63"/>
    <w:rsid w:val="006E320A"/>
    <w:rsid w:val="006E32BC"/>
    <w:rsid w:val="006E3310"/>
    <w:rsid w:val="006E35B8"/>
    <w:rsid w:val="006E37B3"/>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4F35"/>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29A"/>
    <w:rsid w:val="00711564"/>
    <w:rsid w:val="00711DE1"/>
    <w:rsid w:val="00711FB1"/>
    <w:rsid w:val="00712076"/>
    <w:rsid w:val="0071215B"/>
    <w:rsid w:val="00712287"/>
    <w:rsid w:val="007126B6"/>
    <w:rsid w:val="00712772"/>
    <w:rsid w:val="00712F6B"/>
    <w:rsid w:val="00713243"/>
    <w:rsid w:val="00713340"/>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79"/>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0CA"/>
    <w:rsid w:val="007E2484"/>
    <w:rsid w:val="007E2D0A"/>
    <w:rsid w:val="007E2D40"/>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E8C"/>
    <w:rsid w:val="008022A7"/>
    <w:rsid w:val="00802AAE"/>
    <w:rsid w:val="00802C87"/>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5BC3"/>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6E9"/>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375"/>
    <w:rsid w:val="0093788F"/>
    <w:rsid w:val="00937CA3"/>
    <w:rsid w:val="009401B0"/>
    <w:rsid w:val="009408D6"/>
    <w:rsid w:val="00940DC9"/>
    <w:rsid w:val="00940F20"/>
    <w:rsid w:val="0094134C"/>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921"/>
    <w:rsid w:val="009625DE"/>
    <w:rsid w:val="0096296C"/>
    <w:rsid w:val="00962B93"/>
    <w:rsid w:val="00962F5F"/>
    <w:rsid w:val="0096327D"/>
    <w:rsid w:val="00963324"/>
    <w:rsid w:val="0096397D"/>
    <w:rsid w:val="00963F1F"/>
    <w:rsid w:val="00964128"/>
    <w:rsid w:val="0096430A"/>
    <w:rsid w:val="00964777"/>
    <w:rsid w:val="00964998"/>
    <w:rsid w:val="00965094"/>
    <w:rsid w:val="0096554B"/>
    <w:rsid w:val="00965705"/>
    <w:rsid w:val="0096584A"/>
    <w:rsid w:val="009658A2"/>
    <w:rsid w:val="00965E14"/>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514"/>
    <w:rsid w:val="009868AC"/>
    <w:rsid w:val="009869F0"/>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23C"/>
    <w:rsid w:val="009D340E"/>
    <w:rsid w:val="009D3489"/>
    <w:rsid w:val="009D3967"/>
    <w:rsid w:val="009D3EB3"/>
    <w:rsid w:val="009D40CE"/>
    <w:rsid w:val="009D4293"/>
    <w:rsid w:val="009D48CC"/>
    <w:rsid w:val="009D4A92"/>
    <w:rsid w:val="009D4FF0"/>
    <w:rsid w:val="009D5851"/>
    <w:rsid w:val="009D703C"/>
    <w:rsid w:val="009D718F"/>
    <w:rsid w:val="009D7B7E"/>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5F45"/>
    <w:rsid w:val="009E6015"/>
    <w:rsid w:val="009E66E2"/>
    <w:rsid w:val="009E67B6"/>
    <w:rsid w:val="009E6CE8"/>
    <w:rsid w:val="009E7430"/>
    <w:rsid w:val="009E795F"/>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0F28"/>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7F6"/>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84"/>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A7C77"/>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2C8F"/>
    <w:rsid w:val="00B131A0"/>
    <w:rsid w:val="00B132B5"/>
    <w:rsid w:val="00B136A2"/>
    <w:rsid w:val="00B13C9C"/>
    <w:rsid w:val="00B14DAF"/>
    <w:rsid w:val="00B14DF3"/>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48"/>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B4B"/>
    <w:rsid w:val="00B90D97"/>
    <w:rsid w:val="00B90F73"/>
    <w:rsid w:val="00B91769"/>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484"/>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2FFB"/>
    <w:rsid w:val="00BE30D0"/>
    <w:rsid w:val="00BE333F"/>
    <w:rsid w:val="00BE3479"/>
    <w:rsid w:val="00BE349A"/>
    <w:rsid w:val="00BE38E9"/>
    <w:rsid w:val="00BE3C70"/>
    <w:rsid w:val="00BE4024"/>
    <w:rsid w:val="00BE4194"/>
    <w:rsid w:val="00BE41B1"/>
    <w:rsid w:val="00BE48AE"/>
    <w:rsid w:val="00BE4939"/>
    <w:rsid w:val="00BE4A18"/>
    <w:rsid w:val="00BE5332"/>
    <w:rsid w:val="00BE54C8"/>
    <w:rsid w:val="00BE5B45"/>
    <w:rsid w:val="00BE6164"/>
    <w:rsid w:val="00BE6326"/>
    <w:rsid w:val="00BE6474"/>
    <w:rsid w:val="00BE64BD"/>
    <w:rsid w:val="00BE6555"/>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694"/>
    <w:rsid w:val="00BF6718"/>
    <w:rsid w:val="00BF6B83"/>
    <w:rsid w:val="00BF6CF9"/>
    <w:rsid w:val="00BF71B6"/>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0A"/>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1F2"/>
    <w:rsid w:val="00C563A8"/>
    <w:rsid w:val="00C568B7"/>
    <w:rsid w:val="00C568D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76"/>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5C"/>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DA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C11"/>
    <w:rsid w:val="00D70D7D"/>
    <w:rsid w:val="00D7171F"/>
    <w:rsid w:val="00D718A2"/>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D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61F"/>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0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3E5"/>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1A32"/>
    <w:rsid w:val="00E51B77"/>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536"/>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97CB0"/>
    <w:rsid w:val="00EA07CE"/>
    <w:rsid w:val="00EA09A1"/>
    <w:rsid w:val="00EA0A3C"/>
    <w:rsid w:val="00EA0A72"/>
    <w:rsid w:val="00EA0E63"/>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414"/>
    <w:rsid w:val="00EE5599"/>
    <w:rsid w:val="00EE55AC"/>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78C"/>
    <w:rsid w:val="00F27AD9"/>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0F8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47CF3"/>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2DD"/>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F7"/>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C7"/>
    <w:rsid w:val="00FB4FFD"/>
    <w:rsid w:val="00FB503B"/>
    <w:rsid w:val="00FB51C6"/>
    <w:rsid w:val="00FB5343"/>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8A"/>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ui-provider">
    <w:name w:val="ui-provider"/>
    <w:basedOn w:val="a2"/>
    <w:rsid w:val="0080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1210</Words>
  <Characters>6119</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7315</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2024-04-03T09:16:00Z</dcterms:created>
  <dcterms:modified xsi:type="dcterms:W3CDTF">2024-04-03T12:11:00Z</dcterms:modified>
  <cp:category/>
  <cp:contentStatus/>
</cp:coreProperties>
</file>