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5ACC7" w14:textId="60A68F10" w:rsidR="00CC1674" w:rsidRDefault="00000000">
      <w:pPr>
        <w:pStyle w:val="CRCoverPage"/>
        <w:tabs>
          <w:tab w:val="right" w:pos="9639"/>
        </w:tabs>
        <w:spacing w:after="0"/>
        <w:rPr>
          <w:b/>
          <w:i/>
          <w:sz w:val="28"/>
        </w:rPr>
      </w:pPr>
      <w:r>
        <w:rPr>
          <w:b/>
          <w:sz w:val="24"/>
        </w:rPr>
        <w:t>3GPP TSG-RAN WG</w:t>
      </w:r>
      <w:r w:rsidR="009C0989">
        <w:rPr>
          <w:b/>
          <w:sz w:val="24"/>
        </w:rPr>
        <w:t>2</w:t>
      </w:r>
      <w:r>
        <w:rPr>
          <w:b/>
          <w:sz w:val="24"/>
        </w:rPr>
        <w:t xml:space="preserve"> Meeting #12</w:t>
      </w:r>
      <w:r w:rsidR="009C0989">
        <w:rPr>
          <w:b/>
          <w:sz w:val="24"/>
        </w:rPr>
        <w:t>5</w:t>
      </w:r>
      <w:r>
        <w:rPr>
          <w:b/>
          <w:i/>
          <w:sz w:val="28"/>
        </w:rPr>
        <w:tab/>
      </w:r>
      <w:r>
        <w:rPr>
          <w:rFonts w:hint="eastAsia"/>
          <w:b/>
          <w:iCs/>
          <w:sz w:val="28"/>
        </w:rPr>
        <w:t>R</w:t>
      </w:r>
      <w:r w:rsidR="009C0989">
        <w:rPr>
          <w:b/>
          <w:iCs/>
          <w:sz w:val="28"/>
        </w:rPr>
        <w:t>2-2401998</w:t>
      </w:r>
    </w:p>
    <w:p w14:paraId="24823BB1" w14:textId="21692866" w:rsidR="00CC1674" w:rsidRDefault="00000000" w:rsidP="009C0989">
      <w:pPr>
        <w:pStyle w:val="CRCoverPage"/>
        <w:tabs>
          <w:tab w:val="right" w:pos="9639"/>
        </w:tabs>
        <w:outlineLvl w:val="0"/>
        <w:rPr>
          <w:rFonts w:cs="Arial"/>
          <w:b/>
          <w:sz w:val="24"/>
          <w:szCs w:val="24"/>
        </w:rPr>
      </w:pPr>
      <w:bookmarkStart w:id="0" w:name="_Hlk57190503"/>
      <w:r>
        <w:rPr>
          <w:rFonts w:cs="Arial"/>
          <w:b/>
          <w:sz w:val="24"/>
          <w:szCs w:val="24"/>
        </w:rPr>
        <w:t>Athens, Greece, 26th Feb – 1st Mar 2024</w:t>
      </w:r>
      <w:bookmarkEnd w:id="0"/>
      <w:r w:rsidR="009C0989">
        <w:rPr>
          <w:rFonts w:cs="Arial"/>
          <w:b/>
          <w:sz w:val="24"/>
          <w:szCs w:val="24"/>
        </w:rPr>
        <w:tab/>
      </w:r>
      <w:r w:rsidR="009C0989" w:rsidRPr="009C0989">
        <w:rPr>
          <w:rFonts w:cs="Arial"/>
          <w:b/>
          <w:i/>
          <w:iCs/>
          <w:sz w:val="24"/>
          <w:szCs w:val="24"/>
        </w:rPr>
        <w:t xml:space="preserve">was </w:t>
      </w:r>
      <w:r w:rsidR="009C0989" w:rsidRPr="009C0989">
        <w:rPr>
          <w:rFonts w:hint="eastAsia"/>
          <w:b/>
          <w:i/>
          <w:iCs/>
          <w:sz w:val="24"/>
          <w:szCs w:val="24"/>
        </w:rPr>
        <w:t>R3-240888</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C1674" w14:paraId="20CF1F09" w14:textId="77777777">
        <w:tc>
          <w:tcPr>
            <w:tcW w:w="9641" w:type="dxa"/>
            <w:gridSpan w:val="9"/>
            <w:tcBorders>
              <w:top w:val="single" w:sz="4" w:space="0" w:color="auto"/>
              <w:left w:val="single" w:sz="4" w:space="0" w:color="auto"/>
              <w:right w:val="single" w:sz="4" w:space="0" w:color="auto"/>
            </w:tcBorders>
          </w:tcPr>
          <w:p w14:paraId="3338B045" w14:textId="77777777" w:rsidR="00CC1674" w:rsidRDefault="00000000">
            <w:pPr>
              <w:pStyle w:val="CRCoverPage"/>
              <w:spacing w:after="0"/>
              <w:jc w:val="right"/>
              <w:rPr>
                <w:i/>
              </w:rPr>
            </w:pPr>
            <w:r>
              <w:rPr>
                <w:i/>
                <w:sz w:val="14"/>
              </w:rPr>
              <w:t>CR-Form-v12.2</w:t>
            </w:r>
          </w:p>
        </w:tc>
      </w:tr>
      <w:tr w:rsidR="00CC1674" w14:paraId="53F853C3" w14:textId="77777777">
        <w:tc>
          <w:tcPr>
            <w:tcW w:w="9641" w:type="dxa"/>
            <w:gridSpan w:val="9"/>
            <w:tcBorders>
              <w:left w:val="single" w:sz="4" w:space="0" w:color="auto"/>
              <w:right w:val="single" w:sz="4" w:space="0" w:color="auto"/>
            </w:tcBorders>
          </w:tcPr>
          <w:p w14:paraId="44E65930" w14:textId="77777777" w:rsidR="00CC1674" w:rsidRDefault="00000000">
            <w:pPr>
              <w:pStyle w:val="CRCoverPage"/>
              <w:spacing w:after="0"/>
              <w:jc w:val="center"/>
            </w:pPr>
            <w:r>
              <w:rPr>
                <w:b/>
                <w:sz w:val="32"/>
              </w:rPr>
              <w:t>CHANGE REQUEST</w:t>
            </w:r>
          </w:p>
        </w:tc>
      </w:tr>
      <w:tr w:rsidR="00CC1674" w14:paraId="6AF67BE0" w14:textId="77777777">
        <w:tc>
          <w:tcPr>
            <w:tcW w:w="9641" w:type="dxa"/>
            <w:gridSpan w:val="9"/>
            <w:tcBorders>
              <w:left w:val="single" w:sz="4" w:space="0" w:color="auto"/>
              <w:right w:val="single" w:sz="4" w:space="0" w:color="auto"/>
            </w:tcBorders>
          </w:tcPr>
          <w:p w14:paraId="78B24B0F" w14:textId="77777777" w:rsidR="00CC1674" w:rsidRDefault="00CC1674">
            <w:pPr>
              <w:pStyle w:val="CRCoverPage"/>
              <w:spacing w:after="0"/>
              <w:rPr>
                <w:sz w:val="8"/>
                <w:szCs w:val="8"/>
              </w:rPr>
            </w:pPr>
          </w:p>
        </w:tc>
      </w:tr>
      <w:tr w:rsidR="00CC1674" w14:paraId="0312B423" w14:textId="77777777">
        <w:tc>
          <w:tcPr>
            <w:tcW w:w="142" w:type="dxa"/>
            <w:tcBorders>
              <w:left w:val="single" w:sz="4" w:space="0" w:color="auto"/>
            </w:tcBorders>
          </w:tcPr>
          <w:p w14:paraId="0CFB4347" w14:textId="77777777" w:rsidR="00CC1674" w:rsidRDefault="00CC1674">
            <w:pPr>
              <w:pStyle w:val="CRCoverPage"/>
              <w:spacing w:after="0"/>
              <w:jc w:val="right"/>
            </w:pPr>
          </w:p>
        </w:tc>
        <w:tc>
          <w:tcPr>
            <w:tcW w:w="1559" w:type="dxa"/>
            <w:shd w:val="pct30" w:color="FFFF00" w:fill="auto"/>
          </w:tcPr>
          <w:p w14:paraId="1E50BADC" w14:textId="77777777" w:rsidR="00CC1674" w:rsidRDefault="00000000">
            <w:pPr>
              <w:pStyle w:val="CRCoverPage"/>
              <w:spacing w:after="0"/>
              <w:jc w:val="right"/>
              <w:rPr>
                <w:b/>
                <w:sz w:val="28"/>
              </w:rPr>
            </w:pPr>
            <w:fldSimple w:instr=" DOCPROPERTY  Spec#  \* MERGEFORMAT ">
              <w:r>
                <w:rPr>
                  <w:b/>
                  <w:sz w:val="28"/>
                </w:rPr>
                <w:t>38.300</w:t>
              </w:r>
            </w:fldSimple>
          </w:p>
        </w:tc>
        <w:tc>
          <w:tcPr>
            <w:tcW w:w="709" w:type="dxa"/>
          </w:tcPr>
          <w:p w14:paraId="1A1D4904" w14:textId="77777777" w:rsidR="00CC1674" w:rsidRDefault="00000000">
            <w:pPr>
              <w:pStyle w:val="CRCoverPage"/>
              <w:spacing w:after="0"/>
              <w:jc w:val="center"/>
            </w:pPr>
            <w:r>
              <w:rPr>
                <w:b/>
                <w:sz w:val="28"/>
              </w:rPr>
              <w:t>CR</w:t>
            </w:r>
          </w:p>
        </w:tc>
        <w:tc>
          <w:tcPr>
            <w:tcW w:w="1276" w:type="dxa"/>
            <w:shd w:val="pct30" w:color="FFFF00" w:fill="auto"/>
          </w:tcPr>
          <w:p w14:paraId="7086CFAE" w14:textId="6BD0B64A" w:rsidR="00CC1674" w:rsidRDefault="009C0989">
            <w:pPr>
              <w:pStyle w:val="CRCoverPage"/>
              <w:spacing w:after="0"/>
              <w:jc w:val="center"/>
              <w:rPr>
                <w:b/>
                <w:sz w:val="28"/>
              </w:rPr>
            </w:pPr>
            <w:r>
              <w:rPr>
                <w:b/>
                <w:sz w:val="28"/>
                <w:lang w:val="en-US" w:eastAsia="zh-CN"/>
              </w:rPr>
              <w:t>0818</w:t>
            </w:r>
          </w:p>
        </w:tc>
        <w:tc>
          <w:tcPr>
            <w:tcW w:w="709" w:type="dxa"/>
          </w:tcPr>
          <w:p w14:paraId="7EDA2D02" w14:textId="77777777" w:rsidR="00CC1674" w:rsidRDefault="00000000">
            <w:pPr>
              <w:pStyle w:val="CRCoverPage"/>
              <w:tabs>
                <w:tab w:val="right" w:pos="625"/>
              </w:tabs>
              <w:spacing w:after="0"/>
              <w:jc w:val="center"/>
            </w:pPr>
            <w:r>
              <w:rPr>
                <w:b/>
                <w:bCs/>
                <w:sz w:val="28"/>
              </w:rPr>
              <w:t>rev</w:t>
            </w:r>
          </w:p>
        </w:tc>
        <w:tc>
          <w:tcPr>
            <w:tcW w:w="992" w:type="dxa"/>
            <w:shd w:val="pct30" w:color="FFFF00" w:fill="auto"/>
          </w:tcPr>
          <w:p w14:paraId="12FDAE06" w14:textId="33E99C4D" w:rsidR="00CC1674" w:rsidRDefault="009C0989">
            <w:pPr>
              <w:pStyle w:val="CRCoverPage"/>
              <w:spacing w:after="0"/>
              <w:jc w:val="center"/>
              <w:rPr>
                <w:b/>
                <w:lang w:eastAsia="zh-CN"/>
              </w:rPr>
            </w:pPr>
            <w:r>
              <w:rPr>
                <w:b/>
                <w:sz w:val="28"/>
                <w:lang w:val="en-US" w:eastAsia="zh-CN"/>
              </w:rPr>
              <w:t>-</w:t>
            </w:r>
          </w:p>
        </w:tc>
        <w:tc>
          <w:tcPr>
            <w:tcW w:w="2410" w:type="dxa"/>
          </w:tcPr>
          <w:p w14:paraId="2909DF3E" w14:textId="77777777" w:rsidR="00CC1674"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AC616CD" w14:textId="77777777" w:rsidR="00CC1674" w:rsidRDefault="00000000">
            <w:pPr>
              <w:pStyle w:val="CRCoverPage"/>
              <w:spacing w:after="0"/>
              <w:jc w:val="center"/>
              <w:rPr>
                <w:sz w:val="28"/>
              </w:rPr>
            </w:pPr>
            <w:fldSimple w:instr=" DOCPROPERTY  Revision  \* MERGEFORMAT ">
              <w:r>
                <w:rPr>
                  <w:b/>
                  <w:sz w:val="28"/>
                </w:rPr>
                <w:t>18.0.0</w:t>
              </w:r>
            </w:fldSimple>
          </w:p>
        </w:tc>
        <w:tc>
          <w:tcPr>
            <w:tcW w:w="143" w:type="dxa"/>
            <w:tcBorders>
              <w:right w:val="single" w:sz="4" w:space="0" w:color="auto"/>
            </w:tcBorders>
          </w:tcPr>
          <w:p w14:paraId="1C65A90A" w14:textId="77777777" w:rsidR="00CC1674" w:rsidRDefault="00CC1674">
            <w:pPr>
              <w:pStyle w:val="CRCoverPage"/>
              <w:spacing w:after="0"/>
            </w:pPr>
          </w:p>
        </w:tc>
      </w:tr>
      <w:tr w:rsidR="00CC1674" w14:paraId="1D7D59F9" w14:textId="77777777">
        <w:tc>
          <w:tcPr>
            <w:tcW w:w="9641" w:type="dxa"/>
            <w:gridSpan w:val="9"/>
            <w:tcBorders>
              <w:left w:val="single" w:sz="4" w:space="0" w:color="auto"/>
              <w:right w:val="single" w:sz="4" w:space="0" w:color="auto"/>
            </w:tcBorders>
          </w:tcPr>
          <w:p w14:paraId="7F954B79" w14:textId="77777777" w:rsidR="00CC1674" w:rsidRDefault="00CC1674">
            <w:pPr>
              <w:pStyle w:val="CRCoverPage"/>
              <w:spacing w:after="0"/>
            </w:pPr>
          </w:p>
        </w:tc>
      </w:tr>
      <w:tr w:rsidR="00CC1674" w14:paraId="01A2DDDD" w14:textId="77777777">
        <w:tc>
          <w:tcPr>
            <w:tcW w:w="9641" w:type="dxa"/>
            <w:gridSpan w:val="9"/>
            <w:tcBorders>
              <w:top w:val="single" w:sz="4" w:space="0" w:color="auto"/>
            </w:tcBorders>
          </w:tcPr>
          <w:p w14:paraId="6CF156FB" w14:textId="77777777" w:rsidR="00CC1674"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CC1674" w14:paraId="2F9B8B00" w14:textId="77777777">
        <w:tc>
          <w:tcPr>
            <w:tcW w:w="9641" w:type="dxa"/>
            <w:gridSpan w:val="9"/>
          </w:tcPr>
          <w:p w14:paraId="6026125E" w14:textId="77777777" w:rsidR="00CC1674" w:rsidRDefault="00CC1674">
            <w:pPr>
              <w:pStyle w:val="CRCoverPage"/>
              <w:spacing w:after="0"/>
              <w:rPr>
                <w:sz w:val="8"/>
                <w:szCs w:val="8"/>
              </w:rPr>
            </w:pPr>
          </w:p>
        </w:tc>
      </w:tr>
    </w:tbl>
    <w:p w14:paraId="7D303EB0" w14:textId="77777777" w:rsidR="00CC1674" w:rsidRDefault="00CC167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C1674" w14:paraId="31D05EAD" w14:textId="77777777">
        <w:tc>
          <w:tcPr>
            <w:tcW w:w="2835" w:type="dxa"/>
          </w:tcPr>
          <w:p w14:paraId="3EE1CEEA" w14:textId="77777777" w:rsidR="00CC1674" w:rsidRDefault="00000000">
            <w:pPr>
              <w:pStyle w:val="CRCoverPage"/>
              <w:tabs>
                <w:tab w:val="right" w:pos="2751"/>
              </w:tabs>
              <w:spacing w:after="0"/>
              <w:rPr>
                <w:b/>
                <w:i/>
              </w:rPr>
            </w:pPr>
            <w:r>
              <w:rPr>
                <w:b/>
                <w:i/>
              </w:rPr>
              <w:t>Proposed change affects:</w:t>
            </w:r>
          </w:p>
        </w:tc>
        <w:tc>
          <w:tcPr>
            <w:tcW w:w="1418" w:type="dxa"/>
          </w:tcPr>
          <w:p w14:paraId="77CBACEA" w14:textId="77777777" w:rsidR="00CC1674"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B578E7" w14:textId="77777777" w:rsidR="00CC1674" w:rsidRDefault="00CC1674">
            <w:pPr>
              <w:pStyle w:val="CRCoverPage"/>
              <w:spacing w:after="0"/>
              <w:jc w:val="center"/>
              <w:rPr>
                <w:b/>
                <w:caps/>
              </w:rPr>
            </w:pPr>
          </w:p>
        </w:tc>
        <w:tc>
          <w:tcPr>
            <w:tcW w:w="709" w:type="dxa"/>
            <w:tcBorders>
              <w:left w:val="single" w:sz="4" w:space="0" w:color="auto"/>
            </w:tcBorders>
          </w:tcPr>
          <w:p w14:paraId="5BEC2556" w14:textId="77777777" w:rsidR="00CC1674"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6131E8" w14:textId="77777777" w:rsidR="00CC1674" w:rsidRDefault="00CC1674">
            <w:pPr>
              <w:pStyle w:val="CRCoverPage"/>
              <w:spacing w:after="0"/>
              <w:jc w:val="center"/>
              <w:rPr>
                <w:b/>
                <w:caps/>
              </w:rPr>
            </w:pPr>
          </w:p>
        </w:tc>
        <w:tc>
          <w:tcPr>
            <w:tcW w:w="2126" w:type="dxa"/>
          </w:tcPr>
          <w:p w14:paraId="64C446B4" w14:textId="77777777" w:rsidR="00CC1674"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D954C9" w14:textId="77777777" w:rsidR="00CC1674" w:rsidRDefault="00000000">
            <w:pPr>
              <w:pStyle w:val="CRCoverPage"/>
              <w:spacing w:after="0"/>
              <w:jc w:val="center"/>
              <w:rPr>
                <w:b/>
                <w:caps/>
              </w:rPr>
            </w:pPr>
            <w:r>
              <w:rPr>
                <w:b/>
                <w:caps/>
              </w:rPr>
              <w:t>X</w:t>
            </w:r>
          </w:p>
        </w:tc>
        <w:tc>
          <w:tcPr>
            <w:tcW w:w="1418" w:type="dxa"/>
            <w:tcBorders>
              <w:left w:val="nil"/>
            </w:tcBorders>
          </w:tcPr>
          <w:p w14:paraId="2496845A" w14:textId="77777777" w:rsidR="00CC1674"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6048A9" w14:textId="77777777" w:rsidR="00CC1674" w:rsidRDefault="00000000">
            <w:pPr>
              <w:pStyle w:val="CRCoverPage"/>
              <w:spacing w:after="0"/>
              <w:jc w:val="center"/>
              <w:rPr>
                <w:b/>
                <w:bCs/>
                <w:caps/>
              </w:rPr>
            </w:pPr>
            <w:r>
              <w:rPr>
                <w:b/>
                <w:caps/>
              </w:rPr>
              <w:t>X</w:t>
            </w:r>
          </w:p>
        </w:tc>
      </w:tr>
    </w:tbl>
    <w:p w14:paraId="21CCE02D" w14:textId="77777777" w:rsidR="00CC1674" w:rsidRDefault="00CC167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C1674" w14:paraId="41D93F52" w14:textId="77777777">
        <w:tc>
          <w:tcPr>
            <w:tcW w:w="9640" w:type="dxa"/>
            <w:gridSpan w:val="11"/>
          </w:tcPr>
          <w:p w14:paraId="4BC0E335" w14:textId="77777777" w:rsidR="00CC1674" w:rsidRDefault="00CC1674">
            <w:pPr>
              <w:pStyle w:val="CRCoverPage"/>
              <w:spacing w:after="0"/>
              <w:rPr>
                <w:sz w:val="8"/>
                <w:szCs w:val="8"/>
              </w:rPr>
            </w:pPr>
          </w:p>
        </w:tc>
      </w:tr>
      <w:tr w:rsidR="00CC1674" w14:paraId="7ACEAE90" w14:textId="77777777">
        <w:tc>
          <w:tcPr>
            <w:tcW w:w="1843" w:type="dxa"/>
            <w:tcBorders>
              <w:top w:val="single" w:sz="4" w:space="0" w:color="auto"/>
              <w:left w:val="single" w:sz="4" w:space="0" w:color="auto"/>
            </w:tcBorders>
          </w:tcPr>
          <w:p w14:paraId="465F092D" w14:textId="77777777" w:rsidR="00CC1674"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6EFDBC3" w14:textId="77777777" w:rsidR="00CC1674" w:rsidRDefault="00000000">
            <w:pPr>
              <w:pStyle w:val="CRCoverPage"/>
              <w:spacing w:after="0"/>
              <w:ind w:left="100"/>
            </w:pPr>
            <w:r>
              <w:rPr>
                <w:rFonts w:hint="eastAsia"/>
              </w:rPr>
              <w:t>Introduction of separate uplink and downlink PDU set QoS parameters</w:t>
            </w:r>
          </w:p>
        </w:tc>
      </w:tr>
      <w:tr w:rsidR="00CC1674" w14:paraId="4C3BF69E" w14:textId="77777777">
        <w:tc>
          <w:tcPr>
            <w:tcW w:w="1843" w:type="dxa"/>
            <w:tcBorders>
              <w:left w:val="single" w:sz="4" w:space="0" w:color="auto"/>
            </w:tcBorders>
          </w:tcPr>
          <w:p w14:paraId="660BCBA3" w14:textId="77777777" w:rsidR="00CC1674" w:rsidRDefault="00CC1674">
            <w:pPr>
              <w:pStyle w:val="CRCoverPage"/>
              <w:spacing w:after="0"/>
              <w:rPr>
                <w:b/>
                <w:i/>
                <w:sz w:val="8"/>
                <w:szCs w:val="8"/>
              </w:rPr>
            </w:pPr>
          </w:p>
        </w:tc>
        <w:tc>
          <w:tcPr>
            <w:tcW w:w="7797" w:type="dxa"/>
            <w:gridSpan w:val="10"/>
            <w:tcBorders>
              <w:right w:val="single" w:sz="4" w:space="0" w:color="auto"/>
            </w:tcBorders>
          </w:tcPr>
          <w:p w14:paraId="6D9019D5" w14:textId="77777777" w:rsidR="00CC1674" w:rsidRDefault="00CC1674">
            <w:pPr>
              <w:pStyle w:val="CRCoverPage"/>
              <w:spacing w:after="0"/>
              <w:rPr>
                <w:sz w:val="8"/>
                <w:szCs w:val="8"/>
              </w:rPr>
            </w:pPr>
          </w:p>
        </w:tc>
      </w:tr>
      <w:tr w:rsidR="00CC1674" w14:paraId="5083CF53" w14:textId="77777777">
        <w:tc>
          <w:tcPr>
            <w:tcW w:w="1843" w:type="dxa"/>
            <w:tcBorders>
              <w:left w:val="single" w:sz="4" w:space="0" w:color="auto"/>
            </w:tcBorders>
          </w:tcPr>
          <w:p w14:paraId="3370D727" w14:textId="77777777" w:rsidR="00CC1674"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FABF26" w14:textId="4BB7E81F" w:rsidR="00CC1674" w:rsidRDefault="009C0989">
            <w:pPr>
              <w:pStyle w:val="CRCoverPage"/>
              <w:spacing w:after="0"/>
              <w:ind w:left="100"/>
              <w:rPr>
                <w:lang w:val="en-US" w:eastAsia="zh-CN"/>
              </w:rPr>
            </w:pPr>
            <w:r>
              <w:rPr>
                <w:lang w:val="en-US" w:eastAsia="zh-CN"/>
              </w:rPr>
              <w:t>R3 (</w:t>
            </w:r>
            <w:r w:rsidR="00000000">
              <w:rPr>
                <w:rFonts w:hint="eastAsia"/>
                <w:lang w:val="en-US" w:eastAsia="zh-CN"/>
              </w:rPr>
              <w:t>ZTE, Nokia, Nokia Shanghai Bell, Ericsson, Qualcomm Inc., Samsung, Xiaomi, China Telecom, CMCC, Huawei, CATT, LG Electronics</w:t>
            </w:r>
            <w:r>
              <w:rPr>
                <w:lang w:val="en-US" w:eastAsia="zh-CN"/>
              </w:rPr>
              <w:t>)</w:t>
            </w:r>
          </w:p>
        </w:tc>
      </w:tr>
      <w:tr w:rsidR="00CC1674" w14:paraId="0695D825" w14:textId="77777777">
        <w:tc>
          <w:tcPr>
            <w:tcW w:w="1843" w:type="dxa"/>
            <w:tcBorders>
              <w:left w:val="single" w:sz="4" w:space="0" w:color="auto"/>
            </w:tcBorders>
          </w:tcPr>
          <w:p w14:paraId="6BB577AB" w14:textId="77777777" w:rsidR="00CC1674"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BBCD721" w14:textId="64114231" w:rsidR="00CC1674" w:rsidRDefault="009C0989">
            <w:pPr>
              <w:pStyle w:val="CRCoverPage"/>
              <w:spacing w:after="0"/>
              <w:ind w:left="100"/>
            </w:pPr>
            <w:r>
              <w:t>R2</w:t>
            </w:r>
          </w:p>
        </w:tc>
      </w:tr>
      <w:tr w:rsidR="00CC1674" w14:paraId="3DBEF600" w14:textId="77777777">
        <w:tc>
          <w:tcPr>
            <w:tcW w:w="1843" w:type="dxa"/>
            <w:tcBorders>
              <w:left w:val="single" w:sz="4" w:space="0" w:color="auto"/>
            </w:tcBorders>
          </w:tcPr>
          <w:p w14:paraId="3D91BE09" w14:textId="77777777" w:rsidR="00CC1674" w:rsidRDefault="00CC1674">
            <w:pPr>
              <w:pStyle w:val="CRCoverPage"/>
              <w:spacing w:after="0"/>
              <w:rPr>
                <w:b/>
                <w:i/>
                <w:sz w:val="8"/>
                <w:szCs w:val="8"/>
              </w:rPr>
            </w:pPr>
          </w:p>
        </w:tc>
        <w:tc>
          <w:tcPr>
            <w:tcW w:w="7797" w:type="dxa"/>
            <w:gridSpan w:val="10"/>
            <w:tcBorders>
              <w:right w:val="single" w:sz="4" w:space="0" w:color="auto"/>
            </w:tcBorders>
          </w:tcPr>
          <w:p w14:paraId="1B343AC2" w14:textId="77777777" w:rsidR="00CC1674" w:rsidRDefault="00CC1674">
            <w:pPr>
              <w:pStyle w:val="CRCoverPage"/>
              <w:spacing w:after="0"/>
              <w:rPr>
                <w:sz w:val="8"/>
                <w:szCs w:val="8"/>
              </w:rPr>
            </w:pPr>
          </w:p>
        </w:tc>
      </w:tr>
      <w:tr w:rsidR="00CC1674" w14:paraId="30315D03" w14:textId="77777777">
        <w:tc>
          <w:tcPr>
            <w:tcW w:w="1843" w:type="dxa"/>
            <w:tcBorders>
              <w:left w:val="single" w:sz="4" w:space="0" w:color="auto"/>
            </w:tcBorders>
          </w:tcPr>
          <w:p w14:paraId="61F02973" w14:textId="77777777" w:rsidR="00CC1674" w:rsidRDefault="00000000">
            <w:pPr>
              <w:pStyle w:val="CRCoverPage"/>
              <w:tabs>
                <w:tab w:val="right" w:pos="1759"/>
              </w:tabs>
              <w:spacing w:after="0"/>
              <w:rPr>
                <w:b/>
                <w:i/>
              </w:rPr>
            </w:pPr>
            <w:r>
              <w:rPr>
                <w:b/>
                <w:i/>
              </w:rPr>
              <w:t>Work item code:</w:t>
            </w:r>
          </w:p>
        </w:tc>
        <w:tc>
          <w:tcPr>
            <w:tcW w:w="3686" w:type="dxa"/>
            <w:gridSpan w:val="5"/>
            <w:shd w:val="pct30" w:color="FFFF00" w:fill="auto"/>
          </w:tcPr>
          <w:p w14:paraId="55731D9B" w14:textId="77777777" w:rsidR="00CC1674" w:rsidRDefault="00000000">
            <w:pPr>
              <w:pStyle w:val="CRCoverPage"/>
              <w:spacing w:after="0"/>
              <w:ind w:left="100"/>
            </w:pPr>
            <w:proofErr w:type="spellStart"/>
            <w:r>
              <w:rPr>
                <w:rFonts w:eastAsia="MS Mincho"/>
                <w:color w:val="000000"/>
              </w:rPr>
              <w:t>NR_XR_enh</w:t>
            </w:r>
            <w:proofErr w:type="spellEnd"/>
            <w:r>
              <w:rPr>
                <w:rFonts w:eastAsia="MS Mincho"/>
                <w:color w:val="000000"/>
              </w:rPr>
              <w:t>-Core</w:t>
            </w:r>
          </w:p>
        </w:tc>
        <w:tc>
          <w:tcPr>
            <w:tcW w:w="567" w:type="dxa"/>
            <w:tcBorders>
              <w:left w:val="nil"/>
            </w:tcBorders>
          </w:tcPr>
          <w:p w14:paraId="3C43B4AD" w14:textId="77777777" w:rsidR="00CC1674" w:rsidRDefault="00CC1674">
            <w:pPr>
              <w:pStyle w:val="CRCoverPage"/>
              <w:spacing w:after="0"/>
              <w:ind w:right="100"/>
            </w:pPr>
          </w:p>
        </w:tc>
        <w:tc>
          <w:tcPr>
            <w:tcW w:w="1417" w:type="dxa"/>
            <w:gridSpan w:val="3"/>
            <w:tcBorders>
              <w:left w:val="nil"/>
            </w:tcBorders>
          </w:tcPr>
          <w:p w14:paraId="0C7723DF" w14:textId="77777777" w:rsidR="00CC1674" w:rsidRDefault="00000000">
            <w:pPr>
              <w:pStyle w:val="CRCoverPage"/>
              <w:spacing w:after="0"/>
              <w:jc w:val="right"/>
            </w:pPr>
            <w:r>
              <w:rPr>
                <w:b/>
                <w:i/>
              </w:rPr>
              <w:t>Date:</w:t>
            </w:r>
          </w:p>
        </w:tc>
        <w:tc>
          <w:tcPr>
            <w:tcW w:w="2127" w:type="dxa"/>
            <w:tcBorders>
              <w:right w:val="single" w:sz="4" w:space="0" w:color="auto"/>
            </w:tcBorders>
            <w:shd w:val="pct30" w:color="FFFF00" w:fill="auto"/>
          </w:tcPr>
          <w:p w14:paraId="51A7DF61" w14:textId="77777777" w:rsidR="00CC1674" w:rsidRDefault="00000000">
            <w:pPr>
              <w:pStyle w:val="CRCoverPage"/>
              <w:spacing w:after="0"/>
              <w:ind w:left="100"/>
              <w:rPr>
                <w:lang w:val="en-US" w:eastAsia="zh-CN"/>
              </w:rPr>
            </w:pPr>
            <w:r>
              <w:t>2024-0</w:t>
            </w:r>
            <w:r>
              <w:rPr>
                <w:rFonts w:hint="eastAsia"/>
                <w:lang w:val="en-US" w:eastAsia="zh-CN"/>
              </w:rPr>
              <w:t>3</w:t>
            </w:r>
            <w:r>
              <w:t>-</w:t>
            </w:r>
            <w:r>
              <w:rPr>
                <w:rFonts w:hint="eastAsia"/>
                <w:lang w:val="en-US" w:eastAsia="zh-CN"/>
              </w:rPr>
              <w:t>01</w:t>
            </w:r>
          </w:p>
        </w:tc>
      </w:tr>
      <w:tr w:rsidR="00CC1674" w14:paraId="4F2B6D82" w14:textId="77777777">
        <w:tc>
          <w:tcPr>
            <w:tcW w:w="1843" w:type="dxa"/>
            <w:tcBorders>
              <w:left w:val="single" w:sz="4" w:space="0" w:color="auto"/>
            </w:tcBorders>
          </w:tcPr>
          <w:p w14:paraId="70CA0E95" w14:textId="77777777" w:rsidR="00CC1674" w:rsidRDefault="00CC1674">
            <w:pPr>
              <w:pStyle w:val="CRCoverPage"/>
              <w:spacing w:after="0"/>
              <w:rPr>
                <w:b/>
                <w:i/>
                <w:sz w:val="8"/>
                <w:szCs w:val="8"/>
              </w:rPr>
            </w:pPr>
          </w:p>
        </w:tc>
        <w:tc>
          <w:tcPr>
            <w:tcW w:w="1986" w:type="dxa"/>
            <w:gridSpan w:val="4"/>
          </w:tcPr>
          <w:p w14:paraId="129E69CF" w14:textId="77777777" w:rsidR="00CC1674" w:rsidRDefault="00CC1674">
            <w:pPr>
              <w:pStyle w:val="CRCoverPage"/>
              <w:spacing w:after="0"/>
              <w:rPr>
                <w:sz w:val="8"/>
                <w:szCs w:val="8"/>
              </w:rPr>
            </w:pPr>
          </w:p>
        </w:tc>
        <w:tc>
          <w:tcPr>
            <w:tcW w:w="2267" w:type="dxa"/>
            <w:gridSpan w:val="2"/>
          </w:tcPr>
          <w:p w14:paraId="624DF174" w14:textId="77777777" w:rsidR="00CC1674" w:rsidRDefault="00CC1674">
            <w:pPr>
              <w:pStyle w:val="CRCoverPage"/>
              <w:spacing w:after="0"/>
              <w:rPr>
                <w:sz w:val="8"/>
                <w:szCs w:val="8"/>
              </w:rPr>
            </w:pPr>
          </w:p>
        </w:tc>
        <w:tc>
          <w:tcPr>
            <w:tcW w:w="1417" w:type="dxa"/>
            <w:gridSpan w:val="3"/>
          </w:tcPr>
          <w:p w14:paraId="6334E560" w14:textId="77777777" w:rsidR="00CC1674" w:rsidRDefault="00CC1674">
            <w:pPr>
              <w:pStyle w:val="CRCoverPage"/>
              <w:spacing w:after="0"/>
              <w:rPr>
                <w:sz w:val="8"/>
                <w:szCs w:val="8"/>
              </w:rPr>
            </w:pPr>
          </w:p>
        </w:tc>
        <w:tc>
          <w:tcPr>
            <w:tcW w:w="2127" w:type="dxa"/>
            <w:tcBorders>
              <w:right w:val="single" w:sz="4" w:space="0" w:color="auto"/>
            </w:tcBorders>
          </w:tcPr>
          <w:p w14:paraId="7F5085D6" w14:textId="77777777" w:rsidR="00CC1674" w:rsidRDefault="00CC1674">
            <w:pPr>
              <w:pStyle w:val="CRCoverPage"/>
              <w:spacing w:after="0"/>
              <w:rPr>
                <w:sz w:val="8"/>
                <w:szCs w:val="8"/>
              </w:rPr>
            </w:pPr>
          </w:p>
        </w:tc>
      </w:tr>
      <w:tr w:rsidR="00CC1674" w14:paraId="319C27A8" w14:textId="77777777">
        <w:trPr>
          <w:cantSplit/>
        </w:trPr>
        <w:tc>
          <w:tcPr>
            <w:tcW w:w="1843" w:type="dxa"/>
            <w:tcBorders>
              <w:left w:val="single" w:sz="4" w:space="0" w:color="auto"/>
            </w:tcBorders>
          </w:tcPr>
          <w:p w14:paraId="5014FD5A" w14:textId="77777777" w:rsidR="00CC1674" w:rsidRDefault="00000000">
            <w:pPr>
              <w:pStyle w:val="CRCoverPage"/>
              <w:tabs>
                <w:tab w:val="right" w:pos="1759"/>
              </w:tabs>
              <w:spacing w:after="0"/>
              <w:rPr>
                <w:b/>
                <w:i/>
              </w:rPr>
            </w:pPr>
            <w:r>
              <w:rPr>
                <w:b/>
                <w:i/>
              </w:rPr>
              <w:t>Category:</w:t>
            </w:r>
          </w:p>
        </w:tc>
        <w:tc>
          <w:tcPr>
            <w:tcW w:w="851" w:type="dxa"/>
            <w:shd w:val="pct30" w:color="FFFF00" w:fill="auto"/>
          </w:tcPr>
          <w:p w14:paraId="50483977" w14:textId="77777777" w:rsidR="00CC1674" w:rsidRDefault="00000000">
            <w:pPr>
              <w:pStyle w:val="CRCoverPage"/>
              <w:spacing w:after="0"/>
              <w:ind w:left="100" w:right="-609"/>
              <w:rPr>
                <w:b/>
                <w:bCs/>
              </w:rPr>
            </w:pPr>
            <w:r>
              <w:rPr>
                <w:b/>
                <w:bCs/>
              </w:rPr>
              <w:t>F</w:t>
            </w:r>
          </w:p>
        </w:tc>
        <w:tc>
          <w:tcPr>
            <w:tcW w:w="3402" w:type="dxa"/>
            <w:gridSpan w:val="5"/>
            <w:tcBorders>
              <w:left w:val="nil"/>
            </w:tcBorders>
          </w:tcPr>
          <w:p w14:paraId="7DD166EA" w14:textId="77777777" w:rsidR="00CC1674" w:rsidRDefault="00CC1674">
            <w:pPr>
              <w:pStyle w:val="CRCoverPage"/>
              <w:spacing w:after="0"/>
            </w:pPr>
          </w:p>
        </w:tc>
        <w:tc>
          <w:tcPr>
            <w:tcW w:w="1417" w:type="dxa"/>
            <w:gridSpan w:val="3"/>
            <w:tcBorders>
              <w:left w:val="nil"/>
            </w:tcBorders>
          </w:tcPr>
          <w:p w14:paraId="6566134B" w14:textId="77777777" w:rsidR="00CC1674"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7FF20DB" w14:textId="77777777" w:rsidR="00CC1674" w:rsidRDefault="00000000">
            <w:pPr>
              <w:pStyle w:val="CRCoverPage"/>
              <w:spacing w:after="0"/>
              <w:ind w:left="100"/>
            </w:pPr>
            <w:fldSimple w:instr=" DOCPROPERTY  Release  \* MERGEFORMAT ">
              <w:r>
                <w:t>Rel-18</w:t>
              </w:r>
            </w:fldSimple>
          </w:p>
        </w:tc>
      </w:tr>
      <w:tr w:rsidR="00CC1674" w14:paraId="5138DFEF" w14:textId="77777777">
        <w:tc>
          <w:tcPr>
            <w:tcW w:w="1843" w:type="dxa"/>
            <w:tcBorders>
              <w:left w:val="single" w:sz="4" w:space="0" w:color="auto"/>
              <w:bottom w:val="single" w:sz="4" w:space="0" w:color="auto"/>
            </w:tcBorders>
          </w:tcPr>
          <w:p w14:paraId="4EAA376A" w14:textId="77777777" w:rsidR="00CC1674" w:rsidRDefault="00CC1674">
            <w:pPr>
              <w:pStyle w:val="CRCoverPage"/>
              <w:spacing w:after="0"/>
              <w:rPr>
                <w:b/>
                <w:i/>
              </w:rPr>
            </w:pPr>
          </w:p>
        </w:tc>
        <w:tc>
          <w:tcPr>
            <w:tcW w:w="4677" w:type="dxa"/>
            <w:gridSpan w:val="8"/>
            <w:tcBorders>
              <w:bottom w:val="single" w:sz="4" w:space="0" w:color="auto"/>
            </w:tcBorders>
          </w:tcPr>
          <w:p w14:paraId="731CC01C" w14:textId="77777777" w:rsidR="00CC1674"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r>
              <w:rPr>
                <w:i/>
                <w:sz w:val="18"/>
              </w:rPr>
              <w:br/>
            </w:r>
            <w:r>
              <w:rPr>
                <w:b/>
                <w:bCs/>
                <w:i/>
                <w:sz w:val="18"/>
              </w:rPr>
              <w:t>S</w:t>
            </w:r>
            <w:r>
              <w:rPr>
                <w:i/>
                <w:sz w:val="18"/>
              </w:rPr>
              <w:t xml:space="preserve">  (adding to the sourcing companies’ CR statistics)</w:t>
            </w:r>
          </w:p>
          <w:p w14:paraId="3102F3E0" w14:textId="77777777" w:rsidR="00CC1674"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9529C09" w14:textId="77777777" w:rsidR="00CC1674"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C1674" w14:paraId="32F2E961" w14:textId="77777777">
        <w:tc>
          <w:tcPr>
            <w:tcW w:w="1843" w:type="dxa"/>
          </w:tcPr>
          <w:p w14:paraId="0DF3A56D" w14:textId="77777777" w:rsidR="00CC1674" w:rsidRDefault="00CC1674">
            <w:pPr>
              <w:pStyle w:val="CRCoverPage"/>
              <w:spacing w:after="0"/>
              <w:rPr>
                <w:b/>
                <w:i/>
                <w:sz w:val="8"/>
                <w:szCs w:val="8"/>
              </w:rPr>
            </w:pPr>
          </w:p>
        </w:tc>
        <w:tc>
          <w:tcPr>
            <w:tcW w:w="7797" w:type="dxa"/>
            <w:gridSpan w:val="10"/>
          </w:tcPr>
          <w:p w14:paraId="571DF2A8" w14:textId="77777777" w:rsidR="00CC1674" w:rsidRDefault="00CC1674">
            <w:pPr>
              <w:pStyle w:val="CRCoverPage"/>
              <w:spacing w:after="0"/>
              <w:rPr>
                <w:sz w:val="8"/>
                <w:szCs w:val="8"/>
              </w:rPr>
            </w:pPr>
          </w:p>
        </w:tc>
      </w:tr>
      <w:tr w:rsidR="00CC1674" w14:paraId="7FC894CE" w14:textId="77777777">
        <w:tc>
          <w:tcPr>
            <w:tcW w:w="2694" w:type="dxa"/>
            <w:gridSpan w:val="2"/>
            <w:tcBorders>
              <w:top w:val="single" w:sz="4" w:space="0" w:color="auto"/>
              <w:left w:val="single" w:sz="4" w:space="0" w:color="auto"/>
            </w:tcBorders>
          </w:tcPr>
          <w:p w14:paraId="2BEFF99E" w14:textId="77777777" w:rsidR="00CC1674"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047F1E6" w14:textId="77777777" w:rsidR="00CC1674" w:rsidRDefault="00000000">
            <w:pPr>
              <w:pStyle w:val="CRCoverPage"/>
              <w:spacing w:afterLines="50"/>
              <w:ind w:left="100"/>
              <w:jc w:val="both"/>
              <w:rPr>
                <w:lang w:eastAsia="zh-CN"/>
              </w:rPr>
            </w:pPr>
            <w:r>
              <w:rPr>
                <w:color w:val="000000"/>
              </w:rPr>
              <w:t xml:space="preserve">SA2 has agreed to support separate PDU Set QoS parameters for UL and DL. </w:t>
            </w:r>
          </w:p>
          <w:p w14:paraId="5317D3AE" w14:textId="77777777" w:rsidR="00CC1674" w:rsidRDefault="00000000">
            <w:pPr>
              <w:pStyle w:val="CRCoverPage"/>
              <w:spacing w:afterLines="50"/>
              <w:ind w:left="100"/>
              <w:jc w:val="both"/>
              <w:rPr>
                <w:lang w:eastAsia="zh-CN"/>
              </w:rPr>
            </w:pPr>
            <w:r>
              <w:rPr>
                <w:lang w:eastAsia="zh-CN"/>
              </w:rPr>
              <w:t xml:space="preserve">In clause 16.15.2, there is some description for PDU Set QoS parameters, which said that a QoS flow is associated with only one PSDB/PSER and it applies to both DL and UL. This is not aligned with the SA2’s conclusion and should be updated. </w:t>
            </w:r>
          </w:p>
          <w:p w14:paraId="54208CDB" w14:textId="77777777" w:rsidR="00CC1674" w:rsidRDefault="00000000">
            <w:pPr>
              <w:pStyle w:val="CRCoverPage"/>
              <w:spacing w:after="0"/>
              <w:ind w:left="100"/>
            </w:pPr>
            <w:r>
              <w:rPr>
                <w:lang w:eastAsia="zh-CN"/>
              </w:rPr>
              <w:t>Considering the PDU set QoS parameters are defined by SA2, if there is any change in TS 23.501, the description in 38.300 should be updated accordingly. To avoid frequent update of our RAN specifications, we can simply keep the reference to TS 23.501 for all PDU set QoS parameters, and remove other texts which are similar to the description in TS 23.501.</w:t>
            </w:r>
          </w:p>
        </w:tc>
      </w:tr>
      <w:tr w:rsidR="00CC1674" w14:paraId="2E5084C2" w14:textId="77777777">
        <w:tc>
          <w:tcPr>
            <w:tcW w:w="2694" w:type="dxa"/>
            <w:gridSpan w:val="2"/>
            <w:tcBorders>
              <w:left w:val="single" w:sz="4" w:space="0" w:color="auto"/>
            </w:tcBorders>
          </w:tcPr>
          <w:p w14:paraId="4D01AE94" w14:textId="77777777" w:rsidR="00CC1674" w:rsidRDefault="00CC1674">
            <w:pPr>
              <w:pStyle w:val="CRCoverPage"/>
              <w:spacing w:after="0"/>
              <w:rPr>
                <w:b/>
                <w:i/>
                <w:sz w:val="8"/>
                <w:szCs w:val="8"/>
              </w:rPr>
            </w:pPr>
          </w:p>
        </w:tc>
        <w:tc>
          <w:tcPr>
            <w:tcW w:w="6946" w:type="dxa"/>
            <w:gridSpan w:val="9"/>
            <w:tcBorders>
              <w:right w:val="single" w:sz="4" w:space="0" w:color="auto"/>
            </w:tcBorders>
          </w:tcPr>
          <w:p w14:paraId="54933476" w14:textId="77777777" w:rsidR="00CC1674" w:rsidRDefault="00CC1674">
            <w:pPr>
              <w:pStyle w:val="CRCoverPage"/>
              <w:spacing w:after="0"/>
              <w:rPr>
                <w:sz w:val="8"/>
                <w:szCs w:val="8"/>
              </w:rPr>
            </w:pPr>
          </w:p>
        </w:tc>
      </w:tr>
      <w:tr w:rsidR="00CC1674" w14:paraId="4A8C5439" w14:textId="77777777">
        <w:tc>
          <w:tcPr>
            <w:tcW w:w="2694" w:type="dxa"/>
            <w:gridSpan w:val="2"/>
            <w:tcBorders>
              <w:left w:val="single" w:sz="4" w:space="0" w:color="auto"/>
            </w:tcBorders>
          </w:tcPr>
          <w:p w14:paraId="6201E3E9" w14:textId="77777777" w:rsidR="00CC1674"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D914EE3" w14:textId="77777777" w:rsidR="00CC1674" w:rsidRDefault="00000000">
            <w:pPr>
              <w:pStyle w:val="CRCoverPage"/>
              <w:spacing w:after="0"/>
              <w:ind w:left="100"/>
            </w:pPr>
            <w:r>
              <w:t xml:space="preserve">Add </w:t>
            </w:r>
            <w:r>
              <w:rPr>
                <w:rFonts w:hint="eastAsia"/>
                <w:lang w:val="en-US" w:eastAsia="zh-CN"/>
              </w:rPr>
              <w:t>description to support</w:t>
            </w:r>
            <w:r>
              <w:t xml:space="preserve"> separate DL and UL PDU Set QoS Parameters.</w:t>
            </w:r>
          </w:p>
        </w:tc>
      </w:tr>
      <w:tr w:rsidR="00CC1674" w14:paraId="03551166" w14:textId="77777777">
        <w:tc>
          <w:tcPr>
            <w:tcW w:w="2694" w:type="dxa"/>
            <w:gridSpan w:val="2"/>
            <w:tcBorders>
              <w:left w:val="single" w:sz="4" w:space="0" w:color="auto"/>
            </w:tcBorders>
          </w:tcPr>
          <w:p w14:paraId="0487EEFE" w14:textId="77777777" w:rsidR="00CC1674" w:rsidRDefault="00CC1674">
            <w:pPr>
              <w:pStyle w:val="CRCoverPage"/>
              <w:spacing w:after="0"/>
              <w:rPr>
                <w:b/>
                <w:i/>
                <w:sz w:val="8"/>
                <w:szCs w:val="8"/>
              </w:rPr>
            </w:pPr>
          </w:p>
        </w:tc>
        <w:tc>
          <w:tcPr>
            <w:tcW w:w="6946" w:type="dxa"/>
            <w:gridSpan w:val="9"/>
            <w:tcBorders>
              <w:right w:val="single" w:sz="4" w:space="0" w:color="auto"/>
            </w:tcBorders>
          </w:tcPr>
          <w:p w14:paraId="6DE84968" w14:textId="77777777" w:rsidR="00CC1674" w:rsidRDefault="00CC1674">
            <w:pPr>
              <w:pStyle w:val="CRCoverPage"/>
              <w:spacing w:after="0"/>
              <w:rPr>
                <w:sz w:val="8"/>
                <w:szCs w:val="8"/>
              </w:rPr>
            </w:pPr>
          </w:p>
        </w:tc>
      </w:tr>
      <w:tr w:rsidR="00CC1674" w14:paraId="39BE098A" w14:textId="77777777">
        <w:tc>
          <w:tcPr>
            <w:tcW w:w="2694" w:type="dxa"/>
            <w:gridSpan w:val="2"/>
            <w:tcBorders>
              <w:left w:val="single" w:sz="4" w:space="0" w:color="auto"/>
              <w:bottom w:val="single" w:sz="4" w:space="0" w:color="auto"/>
            </w:tcBorders>
          </w:tcPr>
          <w:p w14:paraId="718917D8" w14:textId="77777777" w:rsidR="00CC1674"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4B69A" w14:textId="77777777" w:rsidR="00CC1674" w:rsidRDefault="00000000">
            <w:pPr>
              <w:pStyle w:val="CRCoverPage"/>
              <w:spacing w:after="0"/>
              <w:ind w:left="100"/>
              <w:rPr>
                <w:lang w:val="en-US" w:eastAsia="zh-CN"/>
              </w:rPr>
            </w:pPr>
            <w:r>
              <w:t>Cannot support separate DL and UL PDU Set QoS Parameters</w:t>
            </w:r>
            <w:r>
              <w:rPr>
                <w:rFonts w:hint="eastAsia"/>
                <w:lang w:val="en-US" w:eastAsia="zh-CN"/>
              </w:rPr>
              <w:t>.</w:t>
            </w:r>
          </w:p>
        </w:tc>
      </w:tr>
      <w:tr w:rsidR="00CC1674" w14:paraId="2FD21872" w14:textId="77777777">
        <w:tc>
          <w:tcPr>
            <w:tcW w:w="2694" w:type="dxa"/>
            <w:gridSpan w:val="2"/>
          </w:tcPr>
          <w:p w14:paraId="4A80B392" w14:textId="77777777" w:rsidR="00CC1674" w:rsidRDefault="00CC1674">
            <w:pPr>
              <w:pStyle w:val="CRCoverPage"/>
              <w:spacing w:after="0"/>
              <w:rPr>
                <w:b/>
                <w:i/>
                <w:sz w:val="8"/>
                <w:szCs w:val="8"/>
              </w:rPr>
            </w:pPr>
          </w:p>
        </w:tc>
        <w:tc>
          <w:tcPr>
            <w:tcW w:w="6946" w:type="dxa"/>
            <w:gridSpan w:val="9"/>
          </w:tcPr>
          <w:p w14:paraId="4675C9F8" w14:textId="77777777" w:rsidR="00CC1674" w:rsidRDefault="00CC1674">
            <w:pPr>
              <w:pStyle w:val="CRCoverPage"/>
              <w:spacing w:after="0"/>
              <w:rPr>
                <w:sz w:val="8"/>
                <w:szCs w:val="8"/>
              </w:rPr>
            </w:pPr>
          </w:p>
        </w:tc>
      </w:tr>
      <w:tr w:rsidR="00CC1674" w14:paraId="17F3FA3E" w14:textId="77777777">
        <w:tc>
          <w:tcPr>
            <w:tcW w:w="2694" w:type="dxa"/>
            <w:gridSpan w:val="2"/>
            <w:tcBorders>
              <w:top w:val="single" w:sz="4" w:space="0" w:color="auto"/>
              <w:left w:val="single" w:sz="4" w:space="0" w:color="auto"/>
            </w:tcBorders>
          </w:tcPr>
          <w:p w14:paraId="2A008FBA" w14:textId="77777777" w:rsidR="00CC1674"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296A2E4" w14:textId="77777777" w:rsidR="00CC1674" w:rsidRDefault="00000000">
            <w:pPr>
              <w:pStyle w:val="CRCoverPage"/>
              <w:spacing w:after="0"/>
              <w:ind w:left="100"/>
              <w:rPr>
                <w:lang w:val="en-US" w:eastAsia="zh-CN"/>
              </w:rPr>
            </w:pPr>
            <w:r>
              <w:rPr>
                <w:rFonts w:hint="eastAsia"/>
                <w:lang w:val="en-US" w:eastAsia="zh-CN"/>
              </w:rPr>
              <w:t>16.15.2</w:t>
            </w:r>
          </w:p>
        </w:tc>
      </w:tr>
      <w:tr w:rsidR="00CC1674" w14:paraId="0AD0E174" w14:textId="77777777">
        <w:tc>
          <w:tcPr>
            <w:tcW w:w="2694" w:type="dxa"/>
            <w:gridSpan w:val="2"/>
            <w:tcBorders>
              <w:left w:val="single" w:sz="4" w:space="0" w:color="auto"/>
            </w:tcBorders>
          </w:tcPr>
          <w:p w14:paraId="05D3E848" w14:textId="77777777" w:rsidR="00CC1674" w:rsidRDefault="00CC1674">
            <w:pPr>
              <w:pStyle w:val="CRCoverPage"/>
              <w:spacing w:after="0"/>
              <w:rPr>
                <w:b/>
                <w:i/>
                <w:sz w:val="8"/>
                <w:szCs w:val="8"/>
              </w:rPr>
            </w:pPr>
          </w:p>
        </w:tc>
        <w:tc>
          <w:tcPr>
            <w:tcW w:w="6946" w:type="dxa"/>
            <w:gridSpan w:val="9"/>
            <w:tcBorders>
              <w:right w:val="single" w:sz="4" w:space="0" w:color="auto"/>
            </w:tcBorders>
          </w:tcPr>
          <w:p w14:paraId="2D82B7C6" w14:textId="77777777" w:rsidR="00CC1674" w:rsidRDefault="00CC1674">
            <w:pPr>
              <w:pStyle w:val="CRCoverPage"/>
              <w:spacing w:after="0"/>
              <w:rPr>
                <w:sz w:val="8"/>
                <w:szCs w:val="8"/>
              </w:rPr>
            </w:pPr>
          </w:p>
        </w:tc>
      </w:tr>
      <w:tr w:rsidR="00CC1674" w14:paraId="51E03EB4" w14:textId="77777777">
        <w:tc>
          <w:tcPr>
            <w:tcW w:w="2694" w:type="dxa"/>
            <w:gridSpan w:val="2"/>
            <w:tcBorders>
              <w:left w:val="single" w:sz="4" w:space="0" w:color="auto"/>
            </w:tcBorders>
          </w:tcPr>
          <w:p w14:paraId="0A65CD4D" w14:textId="77777777" w:rsidR="00CC1674" w:rsidRDefault="00CC167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E81B240" w14:textId="77777777" w:rsidR="00CC1674"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A032B1" w14:textId="77777777" w:rsidR="00CC1674" w:rsidRDefault="00000000">
            <w:pPr>
              <w:pStyle w:val="CRCoverPage"/>
              <w:spacing w:after="0"/>
              <w:jc w:val="center"/>
              <w:rPr>
                <w:b/>
                <w:caps/>
              </w:rPr>
            </w:pPr>
            <w:r>
              <w:rPr>
                <w:b/>
                <w:caps/>
              </w:rPr>
              <w:t>N</w:t>
            </w:r>
          </w:p>
        </w:tc>
        <w:tc>
          <w:tcPr>
            <w:tcW w:w="2977" w:type="dxa"/>
            <w:gridSpan w:val="4"/>
          </w:tcPr>
          <w:p w14:paraId="2CC58A71" w14:textId="77777777" w:rsidR="00CC1674" w:rsidRDefault="00CC1674">
            <w:pPr>
              <w:pStyle w:val="CRCoverPage"/>
              <w:tabs>
                <w:tab w:val="right" w:pos="2893"/>
              </w:tabs>
              <w:spacing w:after="0"/>
            </w:pPr>
          </w:p>
        </w:tc>
        <w:tc>
          <w:tcPr>
            <w:tcW w:w="3401" w:type="dxa"/>
            <w:gridSpan w:val="3"/>
            <w:tcBorders>
              <w:right w:val="single" w:sz="4" w:space="0" w:color="auto"/>
            </w:tcBorders>
            <w:shd w:val="clear" w:color="FFFF00" w:fill="auto"/>
          </w:tcPr>
          <w:p w14:paraId="315CD83C" w14:textId="77777777" w:rsidR="00CC1674" w:rsidRDefault="00CC1674">
            <w:pPr>
              <w:pStyle w:val="CRCoverPage"/>
              <w:spacing w:after="0"/>
              <w:ind w:left="99"/>
            </w:pPr>
          </w:p>
        </w:tc>
      </w:tr>
      <w:tr w:rsidR="00CC1674" w14:paraId="26D00C15" w14:textId="77777777">
        <w:tc>
          <w:tcPr>
            <w:tcW w:w="2694" w:type="dxa"/>
            <w:gridSpan w:val="2"/>
            <w:tcBorders>
              <w:left w:val="single" w:sz="4" w:space="0" w:color="auto"/>
            </w:tcBorders>
          </w:tcPr>
          <w:p w14:paraId="22D24F1E" w14:textId="77777777" w:rsidR="00CC1674"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931EF90" w14:textId="77777777" w:rsidR="00CC1674" w:rsidRDefault="0000000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C053F6" w14:textId="77777777" w:rsidR="00CC1674" w:rsidRDefault="00CC1674">
            <w:pPr>
              <w:pStyle w:val="CRCoverPage"/>
              <w:spacing w:after="0"/>
              <w:jc w:val="center"/>
              <w:rPr>
                <w:b/>
                <w:caps/>
              </w:rPr>
            </w:pPr>
          </w:p>
        </w:tc>
        <w:tc>
          <w:tcPr>
            <w:tcW w:w="2977" w:type="dxa"/>
            <w:gridSpan w:val="4"/>
          </w:tcPr>
          <w:p w14:paraId="6C61C687" w14:textId="77777777" w:rsidR="00CC1674"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E0A11CA" w14:textId="77777777" w:rsidR="00CC1674" w:rsidRDefault="00000000">
            <w:pPr>
              <w:pStyle w:val="CRCoverPage"/>
              <w:spacing w:after="0"/>
              <w:ind w:left="99"/>
              <w:rPr>
                <w:lang w:val="en-US" w:eastAsia="zh-CN"/>
              </w:rPr>
            </w:pPr>
            <w:r>
              <w:t xml:space="preserve">TS 38.413 CR </w:t>
            </w:r>
            <w:r>
              <w:rPr>
                <w:rFonts w:hint="eastAsia"/>
                <w:lang w:val="en-US" w:eastAsia="zh-CN"/>
              </w:rPr>
              <w:t>1085</w:t>
            </w:r>
          </w:p>
          <w:p w14:paraId="63597030" w14:textId="77777777" w:rsidR="00CC1674" w:rsidRDefault="00000000">
            <w:pPr>
              <w:pStyle w:val="CRCoverPage"/>
              <w:spacing w:after="0"/>
              <w:ind w:left="99"/>
            </w:pPr>
            <w:r>
              <w:t>TS 38.423 CR 1149</w:t>
            </w:r>
          </w:p>
          <w:p w14:paraId="7931BA60" w14:textId="77777777" w:rsidR="00CC1674" w:rsidRDefault="00000000">
            <w:pPr>
              <w:pStyle w:val="CRCoverPage"/>
              <w:spacing w:after="0"/>
              <w:ind w:left="99"/>
              <w:rPr>
                <w:lang w:val="en-US" w:eastAsia="zh-CN"/>
              </w:rPr>
            </w:pPr>
            <w:r>
              <w:rPr>
                <w:rFonts w:hint="eastAsia"/>
                <w:lang w:val="en-US" w:eastAsia="zh-CN"/>
              </w:rPr>
              <w:t xml:space="preserve">TS 38.473 CR </w:t>
            </w:r>
            <w:r>
              <w:t>1278</w:t>
            </w:r>
          </w:p>
          <w:p w14:paraId="03C7E605" w14:textId="77777777" w:rsidR="00CC1674" w:rsidRDefault="00000000">
            <w:pPr>
              <w:pStyle w:val="CRCoverPage"/>
              <w:spacing w:after="0"/>
              <w:ind w:left="99"/>
              <w:rPr>
                <w:lang w:val="en-US" w:eastAsia="zh-CN"/>
              </w:rPr>
            </w:pPr>
            <w:r>
              <w:t>TS 37.483 CR 0104</w:t>
            </w:r>
          </w:p>
        </w:tc>
      </w:tr>
      <w:tr w:rsidR="00CC1674" w14:paraId="22D32ED0" w14:textId="77777777">
        <w:tc>
          <w:tcPr>
            <w:tcW w:w="2694" w:type="dxa"/>
            <w:gridSpan w:val="2"/>
            <w:tcBorders>
              <w:left w:val="single" w:sz="4" w:space="0" w:color="auto"/>
            </w:tcBorders>
          </w:tcPr>
          <w:p w14:paraId="166C594C" w14:textId="77777777" w:rsidR="00CC1674"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AA8004" w14:textId="77777777" w:rsidR="00CC1674" w:rsidRDefault="00CC16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FDF744" w14:textId="77777777" w:rsidR="00CC1674" w:rsidRDefault="00000000">
            <w:pPr>
              <w:pStyle w:val="CRCoverPage"/>
              <w:spacing w:after="0"/>
              <w:jc w:val="center"/>
              <w:rPr>
                <w:b/>
                <w:caps/>
              </w:rPr>
            </w:pPr>
            <w:r>
              <w:rPr>
                <w:b/>
                <w:caps/>
              </w:rPr>
              <w:t>X</w:t>
            </w:r>
          </w:p>
        </w:tc>
        <w:tc>
          <w:tcPr>
            <w:tcW w:w="2977" w:type="dxa"/>
            <w:gridSpan w:val="4"/>
          </w:tcPr>
          <w:p w14:paraId="1203AF11" w14:textId="77777777" w:rsidR="00CC1674"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325FDDF8" w14:textId="77777777" w:rsidR="00CC1674" w:rsidRDefault="00CC1674">
            <w:pPr>
              <w:pStyle w:val="CRCoverPage"/>
              <w:spacing w:after="0"/>
              <w:ind w:left="99"/>
            </w:pPr>
          </w:p>
        </w:tc>
      </w:tr>
      <w:tr w:rsidR="00CC1674" w14:paraId="668CFD7E" w14:textId="77777777">
        <w:tc>
          <w:tcPr>
            <w:tcW w:w="2694" w:type="dxa"/>
            <w:gridSpan w:val="2"/>
            <w:tcBorders>
              <w:left w:val="single" w:sz="4" w:space="0" w:color="auto"/>
            </w:tcBorders>
          </w:tcPr>
          <w:p w14:paraId="1AB7B27D" w14:textId="77777777" w:rsidR="00CC1674"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4471F7C" w14:textId="77777777" w:rsidR="00CC1674" w:rsidRDefault="00CC16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F82C3" w14:textId="77777777" w:rsidR="00CC1674" w:rsidRDefault="00000000">
            <w:pPr>
              <w:pStyle w:val="CRCoverPage"/>
              <w:spacing w:after="0"/>
              <w:jc w:val="center"/>
              <w:rPr>
                <w:b/>
                <w:caps/>
              </w:rPr>
            </w:pPr>
            <w:r>
              <w:rPr>
                <w:b/>
                <w:caps/>
              </w:rPr>
              <w:t>X</w:t>
            </w:r>
          </w:p>
        </w:tc>
        <w:tc>
          <w:tcPr>
            <w:tcW w:w="2977" w:type="dxa"/>
            <w:gridSpan w:val="4"/>
          </w:tcPr>
          <w:p w14:paraId="2798147C" w14:textId="77777777" w:rsidR="00CC1674"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056A1E1" w14:textId="77777777" w:rsidR="00CC1674" w:rsidRDefault="00CC1674">
            <w:pPr>
              <w:pStyle w:val="CRCoverPage"/>
              <w:spacing w:after="0"/>
              <w:ind w:left="99"/>
            </w:pPr>
          </w:p>
        </w:tc>
      </w:tr>
      <w:tr w:rsidR="00CC1674" w14:paraId="0E56B643" w14:textId="77777777">
        <w:tc>
          <w:tcPr>
            <w:tcW w:w="2694" w:type="dxa"/>
            <w:gridSpan w:val="2"/>
            <w:tcBorders>
              <w:left w:val="single" w:sz="4" w:space="0" w:color="auto"/>
            </w:tcBorders>
          </w:tcPr>
          <w:p w14:paraId="49E5B2EC" w14:textId="77777777" w:rsidR="00CC1674" w:rsidRDefault="00CC1674">
            <w:pPr>
              <w:pStyle w:val="CRCoverPage"/>
              <w:spacing w:after="0"/>
              <w:rPr>
                <w:b/>
                <w:i/>
              </w:rPr>
            </w:pPr>
          </w:p>
        </w:tc>
        <w:tc>
          <w:tcPr>
            <w:tcW w:w="6946" w:type="dxa"/>
            <w:gridSpan w:val="9"/>
            <w:tcBorders>
              <w:right w:val="single" w:sz="4" w:space="0" w:color="auto"/>
            </w:tcBorders>
          </w:tcPr>
          <w:p w14:paraId="0C0DF402" w14:textId="77777777" w:rsidR="00CC1674" w:rsidRDefault="00CC1674">
            <w:pPr>
              <w:pStyle w:val="CRCoverPage"/>
              <w:spacing w:after="0"/>
            </w:pPr>
          </w:p>
        </w:tc>
      </w:tr>
      <w:tr w:rsidR="00CC1674" w14:paraId="2FDA917C" w14:textId="77777777">
        <w:tc>
          <w:tcPr>
            <w:tcW w:w="2694" w:type="dxa"/>
            <w:gridSpan w:val="2"/>
            <w:tcBorders>
              <w:left w:val="single" w:sz="4" w:space="0" w:color="auto"/>
              <w:bottom w:val="single" w:sz="4" w:space="0" w:color="auto"/>
            </w:tcBorders>
          </w:tcPr>
          <w:p w14:paraId="2F9AF165" w14:textId="77777777" w:rsidR="00CC1674" w:rsidRDefault="00000000">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662B8D5A" w14:textId="77777777" w:rsidR="00CC1674" w:rsidRDefault="00CC1674">
            <w:pPr>
              <w:pStyle w:val="CRCoverPage"/>
              <w:spacing w:after="0"/>
              <w:ind w:left="100"/>
            </w:pPr>
          </w:p>
        </w:tc>
      </w:tr>
      <w:tr w:rsidR="00CC1674" w14:paraId="154036A0" w14:textId="77777777">
        <w:tc>
          <w:tcPr>
            <w:tcW w:w="2694" w:type="dxa"/>
            <w:gridSpan w:val="2"/>
            <w:tcBorders>
              <w:top w:val="single" w:sz="4" w:space="0" w:color="auto"/>
              <w:bottom w:val="single" w:sz="4" w:space="0" w:color="auto"/>
            </w:tcBorders>
          </w:tcPr>
          <w:p w14:paraId="6F0C0914" w14:textId="77777777" w:rsidR="00CC1674" w:rsidRDefault="00CC167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BC52599" w14:textId="77777777" w:rsidR="00CC1674" w:rsidRDefault="00CC1674">
            <w:pPr>
              <w:pStyle w:val="CRCoverPage"/>
              <w:spacing w:after="0"/>
              <w:ind w:left="100"/>
              <w:rPr>
                <w:sz w:val="8"/>
                <w:szCs w:val="8"/>
              </w:rPr>
            </w:pPr>
          </w:p>
        </w:tc>
      </w:tr>
      <w:tr w:rsidR="00CC1674" w14:paraId="2E5F30D8" w14:textId="77777777">
        <w:tc>
          <w:tcPr>
            <w:tcW w:w="2694" w:type="dxa"/>
            <w:gridSpan w:val="2"/>
            <w:tcBorders>
              <w:top w:val="single" w:sz="4" w:space="0" w:color="auto"/>
              <w:left w:val="single" w:sz="4" w:space="0" w:color="auto"/>
              <w:bottom w:val="single" w:sz="4" w:space="0" w:color="auto"/>
            </w:tcBorders>
          </w:tcPr>
          <w:p w14:paraId="5B7C5C02" w14:textId="77777777" w:rsidR="00CC1674"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E2A84B" w14:textId="075CD308" w:rsidR="00CC1674" w:rsidRDefault="009C0989">
            <w:pPr>
              <w:rPr>
                <w:rFonts w:eastAsia="DengXian"/>
                <w:lang w:val="en-US" w:eastAsia="zh-CN"/>
              </w:rPr>
            </w:pPr>
            <w:r w:rsidRPr="009C0989">
              <w:rPr>
                <w:rFonts w:ascii="Arial" w:hAnsi="Arial"/>
                <w:lang w:val="en-US" w:eastAsia="zh-CN"/>
              </w:rPr>
              <w:t>This CR was endorsed by RAN3 in R3-24088</w:t>
            </w:r>
            <w:r>
              <w:rPr>
                <w:rFonts w:ascii="Arial" w:hAnsi="Arial"/>
                <w:lang w:val="en-US" w:eastAsia="zh-CN"/>
              </w:rPr>
              <w:t>8</w:t>
            </w:r>
            <w:r w:rsidRPr="009C0989">
              <w:rPr>
                <w:rFonts w:ascii="Arial" w:hAnsi="Arial"/>
                <w:lang w:val="en-US" w:eastAsia="zh-CN"/>
              </w:rPr>
              <w:t>.</w:t>
            </w:r>
          </w:p>
        </w:tc>
      </w:tr>
    </w:tbl>
    <w:p w14:paraId="14E1A204" w14:textId="77777777" w:rsidR="00CC1674" w:rsidRDefault="00CC1674">
      <w:pPr>
        <w:pStyle w:val="CRCoverPage"/>
        <w:spacing w:after="0"/>
        <w:rPr>
          <w:sz w:val="8"/>
          <w:szCs w:val="8"/>
        </w:rPr>
      </w:pPr>
    </w:p>
    <w:p w14:paraId="2F113B3C" w14:textId="77777777" w:rsidR="00CC1674" w:rsidRDefault="00000000">
      <w:pPr>
        <w:spacing w:after="0"/>
        <w:rPr>
          <w:rFonts w:eastAsia="DengXian"/>
          <w:b/>
          <w:i/>
          <w:color w:val="FF0000"/>
          <w:sz w:val="21"/>
          <w:highlight w:val="yellow"/>
          <w:lang w:eastAsia="zh-CN"/>
        </w:rPr>
      </w:pPr>
      <w:r>
        <w:rPr>
          <w:rFonts w:eastAsia="DengXian"/>
          <w:b/>
          <w:i/>
          <w:color w:val="FF0000"/>
          <w:sz w:val="21"/>
          <w:highlight w:val="yellow"/>
          <w:lang w:eastAsia="zh-CN"/>
        </w:rPr>
        <w:br w:type="page"/>
      </w:r>
    </w:p>
    <w:p w14:paraId="431A4716" w14:textId="77777777" w:rsidR="00CC1674" w:rsidRDefault="00000000">
      <w:pPr>
        <w:jc w:val="center"/>
        <w:rPr>
          <w:rFonts w:eastAsia="DengXian"/>
          <w:b/>
          <w:i/>
          <w:color w:val="FF0000"/>
          <w:sz w:val="21"/>
          <w:lang w:eastAsia="zh-CN"/>
        </w:rPr>
      </w:pPr>
      <w:r>
        <w:rPr>
          <w:rFonts w:eastAsia="DengXian" w:hint="eastAsia"/>
          <w:b/>
          <w:i/>
          <w:color w:val="FF0000"/>
          <w:sz w:val="21"/>
          <w:highlight w:val="yellow"/>
          <w:lang w:eastAsia="zh-CN"/>
        </w:rPr>
        <w:lastRenderedPageBreak/>
        <w:t>-</w:t>
      </w:r>
      <w:r>
        <w:rPr>
          <w:rFonts w:eastAsia="DengXian"/>
          <w:b/>
          <w:i/>
          <w:color w:val="FF0000"/>
          <w:sz w:val="21"/>
          <w:highlight w:val="yellow"/>
          <w:lang w:eastAsia="zh-CN"/>
        </w:rPr>
        <w:t>----------------Start of the Changes-------------------</w:t>
      </w:r>
    </w:p>
    <w:p w14:paraId="6225EC1C" w14:textId="77777777" w:rsidR="00CC1674" w:rsidRDefault="0000000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2" w:name="_Toc155991759"/>
      <w:r>
        <w:rPr>
          <w:rFonts w:ascii="Arial" w:eastAsia="Times New Roman" w:hAnsi="Arial"/>
          <w:sz w:val="32"/>
          <w:lang w:eastAsia="zh-CN"/>
        </w:rPr>
        <w:t>16.15</w:t>
      </w:r>
      <w:r>
        <w:rPr>
          <w:rFonts w:ascii="Arial" w:eastAsia="Times New Roman" w:hAnsi="Arial"/>
          <w:sz w:val="32"/>
          <w:lang w:eastAsia="zh-CN"/>
        </w:rPr>
        <w:tab/>
        <w:t>eXtended Reality Services</w:t>
      </w:r>
      <w:bookmarkEnd w:id="2"/>
    </w:p>
    <w:p w14:paraId="63DFD532" w14:textId="77777777" w:rsidR="00CC1674" w:rsidRDefault="0000000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 w:name="_Toc155991760"/>
      <w:r>
        <w:rPr>
          <w:rFonts w:ascii="Arial" w:eastAsia="Times New Roman" w:hAnsi="Arial"/>
          <w:sz w:val="28"/>
          <w:lang w:eastAsia="zh-CN"/>
        </w:rPr>
        <w:t>16.15.1</w:t>
      </w:r>
      <w:r>
        <w:rPr>
          <w:rFonts w:ascii="Arial" w:eastAsia="Times New Roman" w:hAnsi="Arial"/>
          <w:sz w:val="28"/>
          <w:lang w:eastAsia="zh-CN"/>
        </w:rPr>
        <w:tab/>
        <w:t>General</w:t>
      </w:r>
      <w:bookmarkEnd w:id="3"/>
    </w:p>
    <w:p w14:paraId="1D02D601" w14:textId="77777777" w:rsidR="00CC1674" w:rsidRDefault="00000000">
      <w:pPr>
        <w:overflowPunct w:val="0"/>
        <w:autoSpaceDE w:val="0"/>
        <w:autoSpaceDN w:val="0"/>
        <w:adjustRightInd w:val="0"/>
        <w:textAlignment w:val="baseline"/>
        <w:rPr>
          <w:rFonts w:eastAsia="Times New Roman"/>
          <w:lang w:eastAsia="ja-JP"/>
        </w:rPr>
      </w:pPr>
      <w:r>
        <w:rPr>
          <w:rFonts w:eastAsia="Times New Roman"/>
          <w:lang w:eastAsia="zh-CN"/>
        </w:rPr>
        <w:t xml:space="preserve">This clause describes the functionalities for the support of eXtended Reality (XR) services </w:t>
      </w:r>
      <w:r>
        <w:rPr>
          <w:rFonts w:eastAsia="Times New Roman"/>
          <w:lang w:eastAsia="ja-JP"/>
        </w:rPr>
        <w:t>that require high data rate and low latency communications</w:t>
      </w:r>
      <w:r>
        <w:rPr>
          <w:rFonts w:eastAsia="Times New Roman"/>
          <w:lang w:eastAsia="zh-CN"/>
        </w:rPr>
        <w:t>. An overview of XR services is available in TR 38.835 [57], while the service requirements</w:t>
      </w:r>
      <w:r>
        <w:rPr>
          <w:rFonts w:eastAsia="Times New Roman"/>
          <w:lang w:eastAsia="ja-JP"/>
        </w:rPr>
        <w:t xml:space="preserve"> are documented in TS 22.261 [19].</w:t>
      </w:r>
    </w:p>
    <w:p w14:paraId="10D89AFD" w14:textId="77777777" w:rsidR="00CC1674" w:rsidRDefault="0000000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4" w:name="_Toc155991761"/>
      <w:r>
        <w:rPr>
          <w:rFonts w:ascii="Arial" w:eastAsia="Times New Roman" w:hAnsi="Arial"/>
          <w:sz w:val="28"/>
          <w:lang w:eastAsia="ja-JP"/>
        </w:rPr>
        <w:t>16.15.2</w:t>
      </w:r>
      <w:r>
        <w:rPr>
          <w:rFonts w:ascii="Arial" w:eastAsia="Times New Roman" w:hAnsi="Arial"/>
          <w:sz w:val="28"/>
          <w:lang w:eastAsia="ja-JP"/>
        </w:rPr>
        <w:tab/>
        <w:t>Awareness</w:t>
      </w:r>
      <w:bookmarkEnd w:id="4"/>
    </w:p>
    <w:p w14:paraId="60BE9F58" w14:textId="77777777" w:rsidR="00CC1674" w:rsidRDefault="00000000">
      <w:pPr>
        <w:overflowPunct w:val="0"/>
        <w:autoSpaceDE w:val="0"/>
        <w:autoSpaceDN w:val="0"/>
        <w:adjustRightInd w:val="0"/>
        <w:textAlignment w:val="baseline"/>
        <w:rPr>
          <w:rFonts w:eastAsia="Times New Roman"/>
          <w:lang w:eastAsia="ja-JP"/>
        </w:rPr>
      </w:pPr>
      <w:r>
        <w:rPr>
          <w:rFonts w:eastAsia="Times New Roman"/>
          <w:lang w:eastAsia="ja-JP"/>
        </w:rPr>
        <w:t>XR-Awareness relies on QoS flows, PDU Sets, Data Bursts and traffic assistance information (see TS 23.501 [3]).</w:t>
      </w:r>
    </w:p>
    <w:p w14:paraId="0BF3DF18" w14:textId="77777777" w:rsidR="00CC1674" w:rsidRDefault="00000000">
      <w:pPr>
        <w:overflowPunct w:val="0"/>
        <w:autoSpaceDE w:val="0"/>
        <w:autoSpaceDN w:val="0"/>
        <w:adjustRightInd w:val="0"/>
        <w:textAlignment w:val="baseline"/>
        <w:rPr>
          <w:rFonts w:eastAsia="Times New Roman"/>
          <w:lang w:eastAsia="ja-JP"/>
        </w:rPr>
      </w:pPr>
      <w:r>
        <w:rPr>
          <w:rFonts w:eastAsia="Times New Roman"/>
          <w:lang w:eastAsia="ja-JP"/>
        </w:rPr>
        <w:t xml:space="preserve">The following </w:t>
      </w:r>
      <w:r>
        <w:rPr>
          <w:rFonts w:eastAsia="Times New Roman"/>
          <w:b/>
          <w:bCs/>
          <w:lang w:eastAsia="ja-JP"/>
        </w:rPr>
        <w:t>PDU Set QoS Parameters</w:t>
      </w:r>
      <w:r>
        <w:rPr>
          <w:rFonts w:eastAsia="Times New Roman"/>
          <w:lang w:eastAsia="ja-JP"/>
        </w:rPr>
        <w:t xml:space="preserve"> may be provided by the SMF to the gNB as part of the QoS profile of the QoS flow</w:t>
      </w:r>
      <w:ins w:id="5" w:author="ZTE" w:date="2024-01-25T15:31:00Z">
        <w:r>
          <w:rPr>
            <w:rFonts w:eastAsia="SimSun" w:hint="eastAsia"/>
            <w:lang w:val="en-US" w:eastAsia="zh-CN"/>
          </w:rPr>
          <w:t xml:space="preserve"> for DL and/or UL</w:t>
        </w:r>
      </w:ins>
      <w:r>
        <w:rPr>
          <w:rFonts w:eastAsia="Times New Roman"/>
          <w:lang w:eastAsia="ja-JP"/>
        </w:rPr>
        <w:t>, and to enable PDU Set based QoS handling at least one of them shall be provided:</w:t>
      </w:r>
    </w:p>
    <w:p w14:paraId="25C25351" w14:textId="77777777" w:rsidR="00CC1674"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PDU Set Delay Budget (PSDB): as defined in TS 23.501 [3]</w:t>
      </w:r>
      <w:del w:id="6" w:author="ZTE" w:date="2024-01-25T15:31:00Z">
        <w:r>
          <w:rPr>
            <w:rFonts w:eastAsia="Times New Roman"/>
            <w:lang w:eastAsia="ja-JP"/>
          </w:rPr>
          <w:delText xml:space="preserve">, upper bound for the duration between the reception time of the first PDU (at the UPF for DL, at the UE for UL) and the time when all PDUs of a PDU Set have been successfully received (at the UE in DL, at the UPF in UL). </w:delText>
        </w:r>
        <w:r>
          <w:rPr>
            <w:rFonts w:eastAsia="Times New Roman"/>
            <w:sz w:val="22"/>
            <w:szCs w:val="22"/>
            <w:lang w:eastAsia="ja-JP"/>
          </w:rPr>
          <w:delText xml:space="preserve">A </w:delText>
        </w:r>
        <w:r>
          <w:rPr>
            <w:rFonts w:eastAsia="Times New Roman"/>
            <w:lang w:eastAsia="zh-CN"/>
          </w:rPr>
          <w:delText xml:space="preserve">QoS Flow is associated with </w:delText>
        </w:r>
        <w:r>
          <w:rPr>
            <w:rFonts w:eastAsia="Times New Roman"/>
            <w:lang w:val="en-US" w:eastAsia="zh-CN"/>
          </w:rPr>
          <w:delText>only</w:delText>
        </w:r>
        <w:r>
          <w:rPr>
            <w:rFonts w:eastAsia="Times New Roman"/>
            <w:lang w:eastAsia="zh-CN"/>
          </w:rPr>
          <w:delText xml:space="preserve"> one PSDB,</w:delText>
        </w:r>
        <w:r>
          <w:rPr>
            <w:rFonts w:eastAsia="Times New Roman"/>
            <w:lang w:eastAsia="ja-JP"/>
          </w:rPr>
          <w:delText xml:space="preserve"> and when available, it applies to both DL and UL and supersedes the PDB of the QoS flow</w:delText>
        </w:r>
      </w:del>
      <w:r>
        <w:rPr>
          <w:rFonts w:eastAsia="Times New Roman"/>
          <w:lang w:eastAsia="ja-JP"/>
        </w:rPr>
        <w:t>.</w:t>
      </w:r>
    </w:p>
    <w:p w14:paraId="2B031BB9" w14:textId="77777777" w:rsidR="00CC1674"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PDU Set Error Rate (PSER): as defined in TS 23.501 [3]</w:t>
      </w:r>
      <w:del w:id="7" w:author="ZTE" w:date="2024-01-25T15:31:00Z">
        <w:r>
          <w:rPr>
            <w:rFonts w:eastAsia="Times New Roman"/>
            <w:lang w:eastAsia="ja-JP"/>
          </w:rPr>
          <w:delText xml:space="preserve">, </w:delText>
        </w:r>
        <w:r>
          <w:rPr>
            <w:rFonts w:eastAsia="Times New Roman"/>
            <w:lang w:eastAsia="zh-CN"/>
          </w:rPr>
          <w:delText>upper bound for a rate of non-congestion related PDU Set losses between RAN and the UE</w:delText>
        </w:r>
        <w:r>
          <w:rPr>
            <w:rFonts w:eastAsia="Times New Roman"/>
            <w:lang w:eastAsia="ja-JP"/>
          </w:rPr>
          <w:delText xml:space="preserve">. A QoS Flow is associated with </w:delText>
        </w:r>
        <w:r>
          <w:rPr>
            <w:rFonts w:eastAsia="Times New Roman"/>
            <w:lang w:val="en-US" w:eastAsia="ja-JP"/>
          </w:rPr>
          <w:delText>only</w:delText>
        </w:r>
        <w:r>
          <w:rPr>
            <w:rFonts w:eastAsia="Times New Roman"/>
            <w:lang w:eastAsia="ja-JP"/>
          </w:rPr>
          <w:delText xml:space="preserve"> one PSER</w:delText>
        </w:r>
        <w:r>
          <w:rPr>
            <w:rFonts w:eastAsia="Times New Roman"/>
            <w:lang w:eastAsia="zh-CN"/>
          </w:rPr>
          <w:delText xml:space="preserve">, and when available, </w:delText>
        </w:r>
        <w:r>
          <w:rPr>
            <w:rFonts w:eastAsia="Times New Roman"/>
            <w:lang w:eastAsia="ja-JP"/>
          </w:rPr>
          <w:delText>it applies to both DL and UL and supersedes the PER of the QoS flow</w:delText>
        </w:r>
      </w:del>
      <w:r>
        <w:rPr>
          <w:rFonts w:eastAsia="Times New Roman"/>
          <w:lang w:eastAsia="ja-JP"/>
        </w:rPr>
        <w:t>.</w:t>
      </w:r>
    </w:p>
    <w:p w14:paraId="314B651F" w14:textId="77777777" w:rsidR="00CC1674" w:rsidRDefault="00000000">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DengXian"/>
          <w:lang w:eastAsia="ja-JP"/>
        </w:rPr>
        <w:tab/>
        <w:t>In this release, a PDU set is considered as successfully delivered only when all PDUs of a PDU Set are delivered successfully.</w:t>
      </w:r>
    </w:p>
    <w:p w14:paraId="347312BB" w14:textId="77777777" w:rsidR="00CC1674" w:rsidRDefault="00000000">
      <w:pPr>
        <w:overflowPunct w:val="0"/>
        <w:autoSpaceDE w:val="0"/>
        <w:autoSpaceDN w:val="0"/>
        <w:adjustRightInd w:val="0"/>
        <w:ind w:left="568" w:hanging="284"/>
        <w:textAlignment w:val="baseline"/>
        <w:rPr>
          <w:rFonts w:eastAsia="SimSun"/>
          <w:lang w:val="en-US" w:eastAsia="zh-CN"/>
        </w:rPr>
      </w:pPr>
      <w:r>
        <w:rPr>
          <w:rFonts w:eastAsia="Times New Roman"/>
          <w:lang w:eastAsia="ja-JP"/>
        </w:rPr>
        <w:t>-</w:t>
      </w:r>
      <w:r>
        <w:rPr>
          <w:rFonts w:eastAsia="Times New Roman"/>
          <w:lang w:eastAsia="ja-JP"/>
        </w:rPr>
        <w:tab/>
        <w:t xml:space="preserve">PDU Set Integrated Handling Information (PSIHI): </w:t>
      </w:r>
      <w:del w:id="8" w:author="ZTE" w:date="2024-01-25T15:32:00Z">
        <w:r>
          <w:rPr>
            <w:rFonts w:eastAsia="Times New Roman"/>
            <w:lang w:eastAsia="ja-JP"/>
          </w:rPr>
          <w:delText xml:space="preserve">indicates whether all PDUs of the PDU Set are needed for the usage of PDU Set by application layer, </w:delText>
        </w:r>
      </w:del>
      <w:r>
        <w:rPr>
          <w:rFonts w:eastAsia="Times New Roman"/>
          <w:lang w:eastAsia="ja-JP"/>
        </w:rPr>
        <w:t>as defined in TS 23.501 [3].</w:t>
      </w:r>
    </w:p>
    <w:p w14:paraId="3DA259D0" w14:textId="77777777" w:rsidR="00CC1674" w:rsidRDefault="00000000">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 2:</w:t>
      </w:r>
      <w:r>
        <w:rPr>
          <w:rFonts w:eastAsia="Times New Roman"/>
          <w:lang w:eastAsia="zh-CN"/>
        </w:rPr>
        <w:tab/>
        <w:t>The PDU Set QoS parameters are common for all PDU Sets within a QoS flow.</w:t>
      </w:r>
    </w:p>
    <w:p w14:paraId="185C5E27" w14:textId="77777777" w:rsidR="00CC1674" w:rsidRDefault="00000000">
      <w:pPr>
        <w:overflowPunct w:val="0"/>
        <w:autoSpaceDE w:val="0"/>
        <w:autoSpaceDN w:val="0"/>
        <w:adjustRightInd w:val="0"/>
        <w:textAlignment w:val="baseline"/>
        <w:rPr>
          <w:rFonts w:eastAsia="Times New Roman"/>
          <w:lang w:eastAsia="ko-KR"/>
        </w:rPr>
      </w:pPr>
      <w:r>
        <w:rPr>
          <w:rFonts w:eastAsia="Times New Roman"/>
          <w:lang w:eastAsia="ko-KR"/>
        </w:rPr>
        <w:t>During the Xn-handover preparation procedure, the source gNB sends the stored PDU Set QoS Parameters as part of the QoS profile to the target NG-RAN node.</w:t>
      </w:r>
    </w:p>
    <w:p w14:paraId="2A94ACA0" w14:textId="77777777" w:rsidR="00CC1674" w:rsidRDefault="00000000">
      <w:pPr>
        <w:overflowPunct w:val="0"/>
        <w:autoSpaceDE w:val="0"/>
        <w:autoSpaceDN w:val="0"/>
        <w:adjustRightInd w:val="0"/>
        <w:textAlignment w:val="baseline"/>
        <w:rPr>
          <w:rFonts w:eastAsia="DengXian"/>
          <w:lang w:eastAsia="zh-CN"/>
        </w:rPr>
      </w:pPr>
      <w:r>
        <w:rPr>
          <w:rFonts w:eastAsia="Times New Roman"/>
          <w:lang w:eastAsia="ko-KR"/>
        </w:rPr>
        <w:t xml:space="preserve">In addition, the UPF can identify PDUs that belong to PDU Sets, and may indicate to the gNB the following </w:t>
      </w:r>
      <w:r>
        <w:rPr>
          <w:rFonts w:eastAsia="Times New Roman"/>
          <w:b/>
          <w:bCs/>
          <w:lang w:eastAsia="ko-KR"/>
        </w:rPr>
        <w:t xml:space="preserve">PDU Set Information </w:t>
      </w:r>
      <w:r>
        <w:rPr>
          <w:rFonts w:eastAsia="Times New Roman"/>
          <w:lang w:eastAsia="ko-KR"/>
        </w:rPr>
        <w:t>in the GTP-U header:</w:t>
      </w:r>
    </w:p>
    <w:p w14:paraId="24AF4148" w14:textId="77777777" w:rsidR="00CC1674" w:rsidRDefault="00000000">
      <w:pPr>
        <w:overflowPunct w:val="0"/>
        <w:autoSpaceDE w:val="0"/>
        <w:autoSpaceDN w:val="0"/>
        <w:adjustRightInd w:val="0"/>
        <w:ind w:left="568" w:hanging="284"/>
        <w:textAlignment w:val="baseline"/>
        <w:rPr>
          <w:rFonts w:eastAsia="DengXian"/>
          <w:lang w:eastAsia="zh-CN"/>
        </w:rPr>
      </w:pPr>
      <w:r>
        <w:rPr>
          <w:rFonts w:eastAsia="DengXian"/>
          <w:lang w:eastAsia="zh-CN"/>
        </w:rPr>
        <w:t>-</w:t>
      </w:r>
      <w:r>
        <w:rPr>
          <w:rFonts w:eastAsia="DengXian"/>
          <w:lang w:eastAsia="zh-CN"/>
        </w:rPr>
        <w:tab/>
        <w:t>PDU Set Sequence Number;</w:t>
      </w:r>
    </w:p>
    <w:p w14:paraId="726821BF" w14:textId="77777777" w:rsidR="00CC1674" w:rsidRDefault="00000000">
      <w:pPr>
        <w:overflowPunct w:val="0"/>
        <w:autoSpaceDE w:val="0"/>
        <w:autoSpaceDN w:val="0"/>
        <w:adjustRightInd w:val="0"/>
        <w:ind w:left="568" w:hanging="284"/>
        <w:textAlignment w:val="baseline"/>
        <w:rPr>
          <w:rFonts w:eastAsia="DengXian"/>
          <w:lang w:eastAsia="zh-CN"/>
        </w:rPr>
      </w:pPr>
      <w:r>
        <w:rPr>
          <w:rFonts w:eastAsia="DengXian"/>
          <w:lang w:eastAsia="zh-CN"/>
        </w:rPr>
        <w:t>-</w:t>
      </w:r>
      <w:r>
        <w:rPr>
          <w:rFonts w:eastAsia="DengXian"/>
          <w:lang w:eastAsia="zh-CN"/>
        </w:rPr>
        <w:tab/>
        <w:t>Indication of End PDU of the PDU Set;</w:t>
      </w:r>
    </w:p>
    <w:p w14:paraId="1FE39E3D" w14:textId="77777777" w:rsidR="00CC1674" w:rsidRDefault="00000000">
      <w:pPr>
        <w:overflowPunct w:val="0"/>
        <w:autoSpaceDE w:val="0"/>
        <w:autoSpaceDN w:val="0"/>
        <w:adjustRightInd w:val="0"/>
        <w:ind w:left="568" w:hanging="284"/>
        <w:textAlignment w:val="baseline"/>
        <w:rPr>
          <w:rFonts w:eastAsia="DengXian"/>
          <w:lang w:eastAsia="zh-CN"/>
        </w:rPr>
      </w:pPr>
      <w:r>
        <w:rPr>
          <w:rFonts w:eastAsia="DengXian"/>
          <w:lang w:eastAsia="zh-CN"/>
        </w:rPr>
        <w:t>-</w:t>
      </w:r>
      <w:r>
        <w:rPr>
          <w:rFonts w:eastAsia="DengXian"/>
          <w:lang w:eastAsia="zh-CN"/>
        </w:rPr>
        <w:tab/>
        <w:t>PDU Sequence Number within a PDU Set;</w:t>
      </w:r>
    </w:p>
    <w:p w14:paraId="7A3A5BC1" w14:textId="77777777" w:rsidR="00CC1674" w:rsidRDefault="00000000">
      <w:pPr>
        <w:overflowPunct w:val="0"/>
        <w:autoSpaceDE w:val="0"/>
        <w:autoSpaceDN w:val="0"/>
        <w:adjustRightInd w:val="0"/>
        <w:ind w:left="568" w:hanging="284"/>
        <w:textAlignment w:val="baseline"/>
        <w:rPr>
          <w:rFonts w:eastAsia="DengXian"/>
          <w:lang w:eastAsia="zh-CN"/>
        </w:rPr>
      </w:pPr>
      <w:r>
        <w:rPr>
          <w:rFonts w:eastAsia="DengXian"/>
          <w:lang w:eastAsia="zh-CN"/>
        </w:rPr>
        <w:t>-</w:t>
      </w:r>
      <w:r>
        <w:rPr>
          <w:rFonts w:eastAsia="DengXian"/>
          <w:lang w:eastAsia="zh-CN"/>
        </w:rPr>
        <w:tab/>
        <w:t>PDU Set Size in bytes;</w:t>
      </w:r>
    </w:p>
    <w:p w14:paraId="2BDEF3E6" w14:textId="77777777" w:rsidR="00CC1674" w:rsidRDefault="00000000">
      <w:pPr>
        <w:overflowPunct w:val="0"/>
        <w:autoSpaceDE w:val="0"/>
        <w:autoSpaceDN w:val="0"/>
        <w:adjustRightInd w:val="0"/>
        <w:ind w:left="568" w:hanging="284"/>
        <w:textAlignment w:val="baseline"/>
        <w:rPr>
          <w:rFonts w:eastAsia="DengXian"/>
          <w:lang w:eastAsia="zh-CN"/>
        </w:rPr>
      </w:pPr>
      <w:r>
        <w:rPr>
          <w:rFonts w:eastAsia="DengXian"/>
          <w:lang w:eastAsia="zh-CN"/>
        </w:rPr>
        <w:t>-</w:t>
      </w:r>
      <w:r>
        <w:rPr>
          <w:rFonts w:eastAsia="DengXian"/>
          <w:lang w:eastAsia="zh-CN"/>
        </w:rPr>
        <w:tab/>
        <w:t>PDU Set Importance (PSI), which identifies the relative importance of a PDU Set compared to other PDU Sets within the same QoS Flow.</w:t>
      </w:r>
    </w:p>
    <w:p w14:paraId="233F90E7" w14:textId="77777777" w:rsidR="00CC1674" w:rsidRDefault="00000000">
      <w:pPr>
        <w:overflowPunct w:val="0"/>
        <w:autoSpaceDE w:val="0"/>
        <w:autoSpaceDN w:val="0"/>
        <w:adjustRightInd w:val="0"/>
        <w:textAlignment w:val="baseline"/>
        <w:rPr>
          <w:rFonts w:eastAsia="Times New Roman"/>
          <w:lang w:eastAsia="zh-CN"/>
        </w:rPr>
      </w:pPr>
      <w:r>
        <w:rPr>
          <w:rFonts w:eastAsia="Times New Roman"/>
          <w:lang w:eastAsia="ja-JP"/>
        </w:rPr>
        <w:t>5GC may provide XR traffic assistance information to gNB through NG AP TSC Assistance Information (TSCAI) as specified in clause 5.37.8 of TS 23.501[3]</w:t>
      </w:r>
      <w:r>
        <w:rPr>
          <w:rFonts w:eastAsia="Times New Roman"/>
          <w:lang w:eastAsia="zh-CN"/>
        </w:rPr>
        <w:t xml:space="preserve"> (for both GBR and non-GBR QoS flows):</w:t>
      </w:r>
    </w:p>
    <w:p w14:paraId="58A6B94B" w14:textId="77777777" w:rsidR="00CC1674" w:rsidRDefault="00000000">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UL and/or DL Periodicity;</w:t>
      </w:r>
    </w:p>
    <w:p w14:paraId="0F1F681D" w14:textId="77777777" w:rsidR="00CC1674" w:rsidRDefault="00000000">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N6 Jitter Information (i.e. between UPF and Data Network) associated with the DL Periodicity.</w:t>
      </w:r>
    </w:p>
    <w:p w14:paraId="42E9C94C" w14:textId="77777777" w:rsidR="00CC1674" w:rsidRDefault="00000000">
      <w:pPr>
        <w:overflowPunct w:val="0"/>
        <w:autoSpaceDE w:val="0"/>
        <w:autoSpaceDN w:val="0"/>
        <w:adjustRightInd w:val="0"/>
        <w:textAlignment w:val="baseline"/>
        <w:rPr>
          <w:rFonts w:eastAsia="Times New Roman"/>
          <w:lang w:eastAsia="ja-JP"/>
        </w:rPr>
      </w:pPr>
      <w:r>
        <w:rPr>
          <w:rFonts w:eastAsia="Times New Roman"/>
          <w:lang w:eastAsia="ja-JP"/>
        </w:rPr>
        <w:t>This assistance information can be used by the gNB to configure DRX to enable better UE power saving.</w:t>
      </w:r>
    </w:p>
    <w:p w14:paraId="1DDC3B42" w14:textId="77777777" w:rsidR="00CC1674" w:rsidRDefault="00000000">
      <w:pPr>
        <w:overflowPunct w:val="0"/>
        <w:autoSpaceDE w:val="0"/>
        <w:autoSpaceDN w:val="0"/>
        <w:adjustRightInd w:val="0"/>
        <w:textAlignment w:val="baseline"/>
        <w:rPr>
          <w:rFonts w:eastAsia="Times New Roman"/>
          <w:lang w:eastAsia="zh-CN"/>
        </w:rPr>
      </w:pPr>
      <w:r>
        <w:rPr>
          <w:rFonts w:eastAsia="Times New Roman"/>
          <w:lang w:eastAsia="zh-CN"/>
        </w:rPr>
        <w:t>In addition, 5GC may provide the following information through NG-U as specified in clause 5.37.5.2 of TS 23.501[3]:</w:t>
      </w:r>
    </w:p>
    <w:p w14:paraId="24DA13DE" w14:textId="77777777" w:rsidR="00CC1674"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zh-CN"/>
        </w:rPr>
        <w:lastRenderedPageBreak/>
        <w:t>-</w:t>
      </w:r>
      <w:r>
        <w:rPr>
          <w:rFonts w:eastAsia="Times New Roman"/>
          <w:lang w:eastAsia="zh-CN"/>
        </w:rPr>
        <w:tab/>
        <w:t xml:space="preserve">Indication of End of </w:t>
      </w:r>
      <w:r>
        <w:rPr>
          <w:rFonts w:eastAsia="DengXian"/>
          <w:lang w:eastAsia="ja-JP"/>
        </w:rPr>
        <w:t>Data</w:t>
      </w:r>
      <w:r>
        <w:rPr>
          <w:rFonts w:eastAsia="Times New Roman"/>
          <w:lang w:eastAsia="zh-CN"/>
        </w:rPr>
        <w:t xml:space="preserve"> Burst </w:t>
      </w:r>
      <w:r>
        <w:rPr>
          <w:rFonts w:eastAsia="Times New Roman"/>
          <w:lang w:eastAsia="ja-JP"/>
        </w:rPr>
        <w:t>in the GTP-U header of the last PDU in downlink.</w:t>
      </w:r>
    </w:p>
    <w:p w14:paraId="5D38EAA9" w14:textId="77777777" w:rsidR="00CC1674" w:rsidRDefault="00000000">
      <w:pPr>
        <w:overflowPunct w:val="0"/>
        <w:autoSpaceDE w:val="0"/>
        <w:autoSpaceDN w:val="0"/>
        <w:adjustRightInd w:val="0"/>
        <w:textAlignment w:val="baseline"/>
        <w:rPr>
          <w:rFonts w:eastAsia="Times New Roman"/>
          <w:lang w:eastAsia="ja-JP"/>
        </w:rPr>
      </w:pPr>
      <w:r>
        <w:rPr>
          <w:rFonts w:eastAsia="Times New Roman"/>
          <w:lang w:eastAsia="ja-JP"/>
        </w:rPr>
        <w:t>This information can be used by the gNB to push the UE back to sleep when possible.</w:t>
      </w:r>
    </w:p>
    <w:p w14:paraId="6B8F4C61" w14:textId="77777777" w:rsidR="00CC1674" w:rsidRDefault="00000000">
      <w:pPr>
        <w:overflowPunct w:val="0"/>
        <w:autoSpaceDE w:val="0"/>
        <w:autoSpaceDN w:val="0"/>
        <w:adjustRightInd w:val="0"/>
        <w:textAlignment w:val="baseline"/>
        <w:rPr>
          <w:rFonts w:eastAsia="Times New Roman"/>
          <w:lang w:eastAsia="ja-JP"/>
        </w:rPr>
      </w:pPr>
      <w:r>
        <w:rPr>
          <w:rFonts w:eastAsia="Times New Roman"/>
          <w:lang w:eastAsia="ja-JP"/>
        </w:rPr>
        <w:t>In the uplink, the UE needs to be able to identify PDU Sets and Data Bursts dynamically, including PSI. How this is done is left up to UE implementation but when possible for a QoS flow, this is indicated to the gNB via UE Assistance Information.</w:t>
      </w:r>
    </w:p>
    <w:p w14:paraId="73721028" w14:textId="77777777" w:rsidR="00CC1674" w:rsidRDefault="00000000">
      <w:pPr>
        <w:overflowPunct w:val="0"/>
        <w:autoSpaceDE w:val="0"/>
        <w:autoSpaceDN w:val="0"/>
        <w:adjustRightInd w:val="0"/>
        <w:jc w:val="center"/>
        <w:textAlignment w:val="baseline"/>
      </w:pPr>
      <w:r>
        <w:rPr>
          <w:rFonts w:eastAsia="DengXian" w:hint="eastAsia"/>
          <w:b/>
          <w:i/>
          <w:color w:val="FF0000"/>
          <w:sz w:val="21"/>
          <w:highlight w:val="yellow"/>
          <w:lang w:eastAsia="zh-CN"/>
        </w:rPr>
        <w:t>-</w:t>
      </w:r>
      <w:r>
        <w:rPr>
          <w:rFonts w:eastAsia="DengXian"/>
          <w:b/>
          <w:i/>
          <w:color w:val="FF0000"/>
          <w:sz w:val="21"/>
          <w:highlight w:val="yellow"/>
          <w:lang w:eastAsia="zh-CN"/>
        </w:rPr>
        <w:t>----------------End of the Change-------------------</w:t>
      </w:r>
    </w:p>
    <w:sectPr w:rsidR="00CC1674">
      <w:headerReference w:type="default" r:id="rId1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E1DA7" w14:textId="77777777" w:rsidR="00706E9E" w:rsidRDefault="00706E9E">
      <w:pPr>
        <w:spacing w:after="0" w:line="240" w:lineRule="auto"/>
      </w:pPr>
      <w:r>
        <w:separator/>
      </w:r>
    </w:p>
  </w:endnote>
  <w:endnote w:type="continuationSeparator" w:id="0">
    <w:p w14:paraId="5C4D1BCC" w14:textId="77777777" w:rsidR="00706E9E" w:rsidRDefault="00706E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16A28" w14:textId="77777777" w:rsidR="00706E9E" w:rsidRDefault="00706E9E">
      <w:pPr>
        <w:spacing w:after="0" w:line="240" w:lineRule="auto"/>
      </w:pPr>
      <w:r>
        <w:separator/>
      </w:r>
    </w:p>
  </w:footnote>
  <w:footnote w:type="continuationSeparator" w:id="0">
    <w:p w14:paraId="307A7F01" w14:textId="77777777" w:rsidR="00706E9E" w:rsidRDefault="00706E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EF488" w14:textId="77777777" w:rsidR="00CC1674" w:rsidRDefault="00000000">
    <w:pP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F05"/>
    <w:rsid w:val="00081887"/>
    <w:rsid w:val="00086A38"/>
    <w:rsid w:val="000A6394"/>
    <w:rsid w:val="000B7FED"/>
    <w:rsid w:val="000C038A"/>
    <w:rsid w:val="000C6598"/>
    <w:rsid w:val="000D44B3"/>
    <w:rsid w:val="00106B03"/>
    <w:rsid w:val="00110651"/>
    <w:rsid w:val="001134D3"/>
    <w:rsid w:val="00145D43"/>
    <w:rsid w:val="001561C6"/>
    <w:rsid w:val="001839AE"/>
    <w:rsid w:val="001917E3"/>
    <w:rsid w:val="00192C46"/>
    <w:rsid w:val="001952F1"/>
    <w:rsid w:val="001A08B3"/>
    <w:rsid w:val="001A7B60"/>
    <w:rsid w:val="001B343F"/>
    <w:rsid w:val="001B4053"/>
    <w:rsid w:val="001B52F0"/>
    <w:rsid w:val="001B7A65"/>
    <w:rsid w:val="001E41F3"/>
    <w:rsid w:val="002132DC"/>
    <w:rsid w:val="002177E2"/>
    <w:rsid w:val="00255264"/>
    <w:rsid w:val="0026004D"/>
    <w:rsid w:val="002640DD"/>
    <w:rsid w:val="00275D12"/>
    <w:rsid w:val="00275FB7"/>
    <w:rsid w:val="00284FEB"/>
    <w:rsid w:val="002860C4"/>
    <w:rsid w:val="00287C8A"/>
    <w:rsid w:val="002B3D77"/>
    <w:rsid w:val="002B5741"/>
    <w:rsid w:val="002C3C6B"/>
    <w:rsid w:val="002E472E"/>
    <w:rsid w:val="002E5F5D"/>
    <w:rsid w:val="002E7CF4"/>
    <w:rsid w:val="00305409"/>
    <w:rsid w:val="003545D0"/>
    <w:rsid w:val="003609EF"/>
    <w:rsid w:val="0036231A"/>
    <w:rsid w:val="00364ADE"/>
    <w:rsid w:val="00374DD4"/>
    <w:rsid w:val="003C1AD8"/>
    <w:rsid w:val="003C1BD3"/>
    <w:rsid w:val="003C5A0C"/>
    <w:rsid w:val="003D428C"/>
    <w:rsid w:val="003E1A36"/>
    <w:rsid w:val="003E3FC9"/>
    <w:rsid w:val="0040102D"/>
    <w:rsid w:val="00410371"/>
    <w:rsid w:val="00420CD3"/>
    <w:rsid w:val="004219F1"/>
    <w:rsid w:val="004242F1"/>
    <w:rsid w:val="004300D3"/>
    <w:rsid w:val="0043301E"/>
    <w:rsid w:val="00455038"/>
    <w:rsid w:val="00456BA6"/>
    <w:rsid w:val="0046617F"/>
    <w:rsid w:val="004A4579"/>
    <w:rsid w:val="004B75B7"/>
    <w:rsid w:val="004B792C"/>
    <w:rsid w:val="004E5548"/>
    <w:rsid w:val="005141D9"/>
    <w:rsid w:val="0051580D"/>
    <w:rsid w:val="00516E2D"/>
    <w:rsid w:val="005454A2"/>
    <w:rsid w:val="00547111"/>
    <w:rsid w:val="00547E08"/>
    <w:rsid w:val="005741C8"/>
    <w:rsid w:val="00592D74"/>
    <w:rsid w:val="00597B9F"/>
    <w:rsid w:val="005C20D0"/>
    <w:rsid w:val="005D30AE"/>
    <w:rsid w:val="005E2C44"/>
    <w:rsid w:val="005F3897"/>
    <w:rsid w:val="00621188"/>
    <w:rsid w:val="00621DDC"/>
    <w:rsid w:val="006257ED"/>
    <w:rsid w:val="00632025"/>
    <w:rsid w:val="00642033"/>
    <w:rsid w:val="00653DE4"/>
    <w:rsid w:val="00665C47"/>
    <w:rsid w:val="00695808"/>
    <w:rsid w:val="006B3256"/>
    <w:rsid w:val="006B46FB"/>
    <w:rsid w:val="006E21FB"/>
    <w:rsid w:val="007031AA"/>
    <w:rsid w:val="00706E9E"/>
    <w:rsid w:val="007145B4"/>
    <w:rsid w:val="00730157"/>
    <w:rsid w:val="00747C30"/>
    <w:rsid w:val="007817A7"/>
    <w:rsid w:val="00792342"/>
    <w:rsid w:val="007977A8"/>
    <w:rsid w:val="007A412D"/>
    <w:rsid w:val="007B45E5"/>
    <w:rsid w:val="007B512A"/>
    <w:rsid w:val="007B73BB"/>
    <w:rsid w:val="007C2097"/>
    <w:rsid w:val="007D0A18"/>
    <w:rsid w:val="007D6A07"/>
    <w:rsid w:val="007F7259"/>
    <w:rsid w:val="008040A8"/>
    <w:rsid w:val="008279FA"/>
    <w:rsid w:val="008626E7"/>
    <w:rsid w:val="00870EE7"/>
    <w:rsid w:val="008863B9"/>
    <w:rsid w:val="008A45A6"/>
    <w:rsid w:val="008B3F58"/>
    <w:rsid w:val="008D0FEF"/>
    <w:rsid w:val="008D3CCC"/>
    <w:rsid w:val="008E64E7"/>
    <w:rsid w:val="008F3789"/>
    <w:rsid w:val="008F686C"/>
    <w:rsid w:val="00906AF9"/>
    <w:rsid w:val="009148DE"/>
    <w:rsid w:val="00941E30"/>
    <w:rsid w:val="0094483C"/>
    <w:rsid w:val="00955E68"/>
    <w:rsid w:val="0096551D"/>
    <w:rsid w:val="009777D9"/>
    <w:rsid w:val="00991B88"/>
    <w:rsid w:val="009A5753"/>
    <w:rsid w:val="009A579D"/>
    <w:rsid w:val="009B3896"/>
    <w:rsid w:val="009C0989"/>
    <w:rsid w:val="009D4B62"/>
    <w:rsid w:val="009E3297"/>
    <w:rsid w:val="009F734F"/>
    <w:rsid w:val="00A246B6"/>
    <w:rsid w:val="00A3663F"/>
    <w:rsid w:val="00A43DAF"/>
    <w:rsid w:val="00A47E70"/>
    <w:rsid w:val="00A50CF0"/>
    <w:rsid w:val="00A629C1"/>
    <w:rsid w:val="00A7671C"/>
    <w:rsid w:val="00AA2CBC"/>
    <w:rsid w:val="00AC5820"/>
    <w:rsid w:val="00AD1CD8"/>
    <w:rsid w:val="00B07785"/>
    <w:rsid w:val="00B12CA0"/>
    <w:rsid w:val="00B1431A"/>
    <w:rsid w:val="00B22B0F"/>
    <w:rsid w:val="00B258BB"/>
    <w:rsid w:val="00B3322A"/>
    <w:rsid w:val="00B67B97"/>
    <w:rsid w:val="00B8090D"/>
    <w:rsid w:val="00B81E4B"/>
    <w:rsid w:val="00B968C8"/>
    <w:rsid w:val="00BA23AD"/>
    <w:rsid w:val="00BA3EC5"/>
    <w:rsid w:val="00BA51D9"/>
    <w:rsid w:val="00BB5DFC"/>
    <w:rsid w:val="00BD279D"/>
    <w:rsid w:val="00BD6BB8"/>
    <w:rsid w:val="00BE1479"/>
    <w:rsid w:val="00BF7A9F"/>
    <w:rsid w:val="00C23258"/>
    <w:rsid w:val="00C2461D"/>
    <w:rsid w:val="00C528E4"/>
    <w:rsid w:val="00C57CAC"/>
    <w:rsid w:val="00C60FBF"/>
    <w:rsid w:val="00C65809"/>
    <w:rsid w:val="00C66BA2"/>
    <w:rsid w:val="00C73A22"/>
    <w:rsid w:val="00C870F6"/>
    <w:rsid w:val="00C95985"/>
    <w:rsid w:val="00CC1674"/>
    <w:rsid w:val="00CC1801"/>
    <w:rsid w:val="00CC1DB3"/>
    <w:rsid w:val="00CC5026"/>
    <w:rsid w:val="00CC68D0"/>
    <w:rsid w:val="00CE1667"/>
    <w:rsid w:val="00D03F9A"/>
    <w:rsid w:val="00D06D51"/>
    <w:rsid w:val="00D1727E"/>
    <w:rsid w:val="00D247E7"/>
    <w:rsid w:val="00D24991"/>
    <w:rsid w:val="00D43DD9"/>
    <w:rsid w:val="00D50255"/>
    <w:rsid w:val="00D640EF"/>
    <w:rsid w:val="00D66520"/>
    <w:rsid w:val="00D6747D"/>
    <w:rsid w:val="00D8198D"/>
    <w:rsid w:val="00D84AE9"/>
    <w:rsid w:val="00D86B82"/>
    <w:rsid w:val="00DC7BDC"/>
    <w:rsid w:val="00DE34CF"/>
    <w:rsid w:val="00E0221E"/>
    <w:rsid w:val="00E13F3D"/>
    <w:rsid w:val="00E21F14"/>
    <w:rsid w:val="00E31698"/>
    <w:rsid w:val="00E34898"/>
    <w:rsid w:val="00E53B3B"/>
    <w:rsid w:val="00E57064"/>
    <w:rsid w:val="00E67C6E"/>
    <w:rsid w:val="00E84E7F"/>
    <w:rsid w:val="00EB09B7"/>
    <w:rsid w:val="00EB20B3"/>
    <w:rsid w:val="00EE7D7C"/>
    <w:rsid w:val="00F05509"/>
    <w:rsid w:val="00F25D98"/>
    <w:rsid w:val="00F300FB"/>
    <w:rsid w:val="00F4092B"/>
    <w:rsid w:val="00F40BED"/>
    <w:rsid w:val="00F42F29"/>
    <w:rsid w:val="00F7370C"/>
    <w:rsid w:val="00F83E9C"/>
    <w:rsid w:val="00FB6386"/>
    <w:rsid w:val="00FC029F"/>
    <w:rsid w:val="04B32121"/>
    <w:rsid w:val="08910CFC"/>
    <w:rsid w:val="0A0130C2"/>
    <w:rsid w:val="0B2B41F8"/>
    <w:rsid w:val="0D2B60D6"/>
    <w:rsid w:val="142A3577"/>
    <w:rsid w:val="19F3378D"/>
    <w:rsid w:val="1A2E1666"/>
    <w:rsid w:val="1BD76763"/>
    <w:rsid w:val="21B06ED2"/>
    <w:rsid w:val="241854E1"/>
    <w:rsid w:val="2A51449B"/>
    <w:rsid w:val="2B3E50AE"/>
    <w:rsid w:val="3366635D"/>
    <w:rsid w:val="379A58D1"/>
    <w:rsid w:val="389541B4"/>
    <w:rsid w:val="3E227CF4"/>
    <w:rsid w:val="3EA05F73"/>
    <w:rsid w:val="42ED076F"/>
    <w:rsid w:val="482F6D12"/>
    <w:rsid w:val="491F2AAC"/>
    <w:rsid w:val="4EEF2F30"/>
    <w:rsid w:val="59337FDB"/>
    <w:rsid w:val="5DBA2DA0"/>
    <w:rsid w:val="662943D4"/>
    <w:rsid w:val="682177A5"/>
    <w:rsid w:val="682D32F3"/>
    <w:rsid w:val="6A264EAC"/>
    <w:rsid w:val="6C117D2C"/>
    <w:rsid w:val="6D5467FD"/>
    <w:rsid w:val="6E52395E"/>
    <w:rsid w:val="77742568"/>
    <w:rsid w:val="7BF8518D"/>
    <w:rsid w:val="7D143BA3"/>
    <w:rsid w:val="7FA042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394D9E"/>
  <w15:docId w15:val="{102972AF-CF6C-4641-87EE-E69F3319B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pPr>
      <w:keepNext/>
      <w:keepLines/>
      <w:spacing w:before="120"/>
      <w:ind w:left="1985" w:hanging="1985"/>
      <w:outlineLvl w:val="5"/>
    </w:pPr>
    <w:rPr>
      <w:rFonts w:ascii="Arial" w:hAnsi="Arial"/>
    </w:rPr>
  </w:style>
  <w:style w:type="paragraph" w:styleId="Heading7">
    <w:name w:val="heading 7"/>
    <w:basedOn w:val="Normal"/>
    <w:next w:val="Normal"/>
    <w:qFormat/>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widowControl w:val="0"/>
      <w:spacing w:after="0"/>
      <w:jc w:val="center"/>
    </w:pPr>
    <w:rPr>
      <w:rFonts w:ascii="Arial" w:hAnsi="Arial"/>
      <w:b/>
      <w:i/>
      <w:sz w:val="18"/>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eastAsia="en-GB"/>
    </w:rPr>
  </w:style>
  <w:style w:type="paragraph" w:styleId="FootnoteText">
    <w:name w:val="footnote text"/>
    <w:basedOn w:val="Normal"/>
    <w:semiHidden/>
    <w:qFormat/>
    <w:pPr>
      <w:keepLines/>
      <w:spacing w:after="0"/>
      <w:ind w:left="454" w:hanging="454"/>
    </w:pPr>
    <w:rPr>
      <w:sz w:val="16"/>
    </w:r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Normal"/>
    <w:link w:val="B1Char"/>
    <w:qFormat/>
    <w:pPr>
      <w:ind w:left="568" w:hanging="284"/>
    </w:p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FirstChange">
    <w:name w:val="First Change"/>
    <w:basedOn w:val="Normal"/>
    <w:qFormat/>
    <w:pPr>
      <w:jc w:val="center"/>
    </w:pPr>
    <w:rPr>
      <w:color w:val="FF0000"/>
    </w:rPr>
  </w:style>
  <w:style w:type="character" w:customStyle="1" w:styleId="PLChar">
    <w:name w:val="PL Char"/>
    <w:link w:val="PL"/>
    <w:qFormat/>
    <w:rPr>
      <w:rFonts w:ascii="Courier New" w:hAnsi="Courier New"/>
      <w:sz w:val="16"/>
      <w:lang w:val="en-GB" w:eastAsia="en-US"/>
    </w:rPr>
  </w:style>
  <w:style w:type="paragraph" w:customStyle="1" w:styleId="1">
    <w:name w:val="修订1"/>
    <w:hidden/>
    <w:uiPriority w:val="99"/>
    <w:semiHidden/>
    <w:qFormat/>
    <w:rPr>
      <w:rFonts w:ascii="Times New Roman" w:hAnsi="Times New Roman"/>
      <w:lang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rPr>
  </w:style>
  <w:style w:type="character" w:customStyle="1" w:styleId="B1Char">
    <w:name w:val="B1 Char"/>
    <w:link w:val="B1"/>
    <w:qFormat/>
    <w:locked/>
    <w:rPr>
      <w:rFonts w:ascii="Times New Roman" w:hAnsi="Times New Roman"/>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CharCharChar1CharCharCharCharCharCharCharCharCharChar1Char">
    <w:name w:val="Char Char Char1 Char Char Char Char Char Char Char Char Char Char1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sz w:val="22"/>
      <w:szCs w:val="22"/>
      <w:lang w:val="en-US"/>
    </w:rPr>
  </w:style>
  <w:style w:type="character" w:customStyle="1" w:styleId="HeaderChar">
    <w:name w:val="Header Char"/>
    <w:basedOn w:val="DefaultParagraphFont"/>
    <w:link w:val="Header"/>
    <w:qFormat/>
    <w:rPr>
      <w:rFonts w:ascii="Arial" w:eastAsia="Times New Roman" w:hAnsi="Arial"/>
      <w:b/>
      <w:sz w:val="18"/>
      <w:lang w:val="en-GB" w:eastAsia="en-GB"/>
    </w:rPr>
  </w:style>
  <w:style w:type="paragraph" w:customStyle="1" w:styleId="Revision1">
    <w:name w:val="Revision1"/>
    <w:hidden/>
    <w:uiPriority w:val="99"/>
    <w:semiHidden/>
    <w:qFormat/>
    <w:rPr>
      <w:rFonts w:ascii="Times New Roman" w:hAnsi="Times New Roman"/>
      <w:lang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B1Zchn">
    <w:name w:val="B1 Zchn"/>
    <w:qFormat/>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920</Words>
  <Characters>5248</Characters>
  <Application>Microsoft Office Word</Application>
  <DocSecurity>0</DocSecurity>
  <Lines>43</Lines>
  <Paragraphs>12</Paragraphs>
  <ScaleCrop>false</ScaleCrop>
  <Company>3GPP Support Team</Company>
  <LinksUpToDate>false</LinksUpToDate>
  <CharactersWithSpaces>6156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2</cp:revision>
  <cp:lastPrinted>2411-12-31T15:59:00Z</cp:lastPrinted>
  <dcterms:created xsi:type="dcterms:W3CDTF">2024-03-05T10:37:00Z</dcterms:created>
  <dcterms:modified xsi:type="dcterms:W3CDTF">2024-03-05T10:37:00Z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