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EF" w:rsidRDefault="00D5207B">
      <w:pPr>
        <w:pStyle w:val="af3"/>
        <w:tabs>
          <w:tab w:val="right" w:pos="9645"/>
        </w:tabs>
        <w:spacing w:before="0" w:beforeAutospacing="0" w:after="0" w:afterAutospacing="0" w:line="240" w:lineRule="auto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487B7A">
        <w:rPr>
          <w:rFonts w:eastAsia="宋体"/>
          <w:b/>
          <w:szCs w:val="22"/>
          <w:lang w:val="en-US" w:eastAsia="zh-CN" w:bidi="ar"/>
        </w:rPr>
        <w:t>-RAN WG2 Meeting #124</w:t>
      </w:r>
      <w:r w:rsidR="00487B7A">
        <w:rPr>
          <w:rFonts w:eastAsia="宋体"/>
          <w:b/>
          <w:szCs w:val="22"/>
          <w:lang w:val="en-US" w:eastAsia="zh-CN" w:bidi="ar"/>
        </w:rPr>
        <w:tab/>
      </w:r>
      <w:bookmarkStart w:id="0" w:name="_GoBack"/>
      <w:r w:rsidR="00487B7A">
        <w:rPr>
          <w:rFonts w:eastAsia="宋体"/>
          <w:b/>
          <w:szCs w:val="22"/>
          <w:lang w:val="en-US" w:eastAsia="zh-CN" w:bidi="ar"/>
        </w:rPr>
        <w:t>R2-2313337</w:t>
      </w:r>
      <w:bookmarkEnd w:id="0"/>
    </w:p>
    <w:p w:rsidR="00A21FEF" w:rsidRDefault="00D5207B">
      <w:pPr>
        <w:pStyle w:val="af3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Chicago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13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– </w:t>
      </w:r>
      <w:r>
        <w:rPr>
          <w:rFonts w:eastAsia="宋体" w:hint="eastAsia"/>
          <w:b/>
          <w:szCs w:val="22"/>
          <w:lang w:val="en-US" w:eastAsia="zh-CN" w:bidi="ar"/>
        </w:rPr>
        <w:t>1</w:t>
      </w:r>
      <w:r>
        <w:rPr>
          <w:rFonts w:eastAsia="宋体"/>
          <w:b/>
          <w:szCs w:val="22"/>
          <w:lang w:val="en-US" w:eastAsia="zh-CN" w:bidi="ar"/>
        </w:rPr>
        <w:t>7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Nov, 2023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p w:rsidR="00A21FEF" w:rsidRDefault="00A21FE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A21FEF" w:rsidRDefault="00D5207B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A21FEF" w:rsidRDefault="00D5207B">
      <w:pPr>
        <w:keepNext/>
        <w:keepLines/>
        <w:jc w:val="left"/>
        <w:rPr>
          <w:rFonts w:ascii="Arial" w:hAnsi="Arial"/>
          <w:b/>
          <w:i/>
          <w:sz w:val="18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</w:t>
      </w:r>
      <w:r w:rsidR="00487B7A" w:rsidRPr="00487B7A">
        <w:rPr>
          <w:rFonts w:ascii="Arial" w:hAnsi="Arial" w:cs="Arial"/>
          <w:b/>
          <w:bCs/>
          <w:snapToGrid w:val="0"/>
          <w:kern w:val="0"/>
          <w:sz w:val="24"/>
        </w:rPr>
        <w:t>Consideration on the “</w:t>
      </w:r>
      <w:r w:rsidR="00487B7A" w:rsidRPr="00487B7A">
        <w:rPr>
          <w:rFonts w:ascii="Arial" w:hAnsi="Arial" w:cs="Arial"/>
          <w:b/>
          <w:bCs/>
          <w:i/>
          <w:snapToGrid w:val="0"/>
          <w:kern w:val="0"/>
          <w:sz w:val="24"/>
        </w:rPr>
        <w:t>asyncIntraBandENDC</w:t>
      </w:r>
      <w:r w:rsidR="00487B7A" w:rsidRPr="00487B7A">
        <w:rPr>
          <w:rFonts w:ascii="Arial" w:hAnsi="Arial" w:cs="Arial"/>
          <w:b/>
          <w:bCs/>
          <w:snapToGrid w:val="0"/>
          <w:kern w:val="0"/>
          <w:sz w:val="24"/>
        </w:rPr>
        <w:t>”</w:t>
      </w:r>
    </w:p>
    <w:p w:rsidR="00A21FEF" w:rsidRDefault="00D5207B">
      <w:pPr>
        <w:jc w:val="left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5.1.3.2</w:t>
      </w:r>
    </w:p>
    <w:p w:rsidR="00A21FEF" w:rsidRDefault="00D5207B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A21FEF" w:rsidRDefault="00D5207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</w:t>
      </w:r>
    </w:p>
    <w:p w:rsidR="00A21FEF" w:rsidRPr="00487B7A" w:rsidRDefault="00D5207B">
      <w:pPr>
        <w:rPr>
          <w:szCs w:val="21"/>
        </w:rPr>
      </w:pPr>
      <w:r w:rsidRPr="00487B7A">
        <w:rPr>
          <w:rFonts w:hint="eastAsia"/>
          <w:szCs w:val="21"/>
        </w:rPr>
        <w:t xml:space="preserve">About the </w:t>
      </w:r>
      <w:r w:rsidRPr="00487B7A">
        <w:rPr>
          <w:i/>
          <w:szCs w:val="21"/>
        </w:rPr>
        <w:t>asyncIntraBandENDC</w:t>
      </w:r>
      <w:r w:rsidRPr="00487B7A">
        <w:rPr>
          <w:rFonts w:hint="eastAsia"/>
          <w:szCs w:val="21"/>
        </w:rPr>
        <w:t>, a LS was received from Ran4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A21FEF">
        <w:tc>
          <w:tcPr>
            <w:tcW w:w="9997" w:type="dxa"/>
          </w:tcPr>
          <w:p w:rsidR="00A21FEF" w:rsidRDefault="00D5207B">
            <w:pPr>
              <w:keepNext/>
              <w:keepLines/>
              <w:jc w:val="left"/>
              <w:rPr>
                <w:rFonts w:eastAsia="Times New Roman"/>
                <w:sz w:val="20"/>
              </w:rPr>
            </w:pPr>
            <w:r>
              <w:rPr>
                <w:rFonts w:eastAsia="Times New Roman" w:hint="eastAsia"/>
                <w:sz w:val="20"/>
              </w:rPr>
              <w:t xml:space="preserve">During the discussion on MRTD requirement applicability in RAN4#108bis meeting, it is identified that the current description for </w:t>
            </w:r>
            <w:r>
              <w:rPr>
                <w:rFonts w:eastAsia="Times New Roman" w:hint="eastAsia"/>
                <w:i/>
                <w:sz w:val="20"/>
              </w:rPr>
              <w:t>asyncIntraBandENDC</w:t>
            </w:r>
            <w:r>
              <w:rPr>
                <w:rFonts w:eastAsia="Times New Roman" w:hint="eastAsia"/>
                <w:sz w:val="20"/>
              </w:rPr>
              <w:t xml:space="preserve"> may need to be updated to well accommodate inter-band EN-DC with overlapping frequency in non-collocated scenario.</w:t>
            </w:r>
          </w:p>
          <w:p w:rsidR="00A21FEF" w:rsidRDefault="00D5207B">
            <w:pPr>
              <w:keepNext/>
              <w:keepLines/>
              <w:jc w:val="left"/>
              <w:rPr>
                <w:rFonts w:eastAsia="Times New Roman"/>
                <w:sz w:val="20"/>
              </w:rPr>
            </w:pPr>
            <w:r>
              <w:rPr>
                <w:rFonts w:eastAsia="Times New Roman" w:hint="eastAsia"/>
                <w:sz w:val="20"/>
              </w:rPr>
              <w:t>The signaling</w:t>
            </w:r>
            <w:r>
              <w:rPr>
                <w:rFonts w:eastAsia="Times New Roman" w:hint="eastAsia"/>
                <w:i/>
                <w:sz w:val="20"/>
              </w:rPr>
              <w:t xml:space="preserve"> </w:t>
            </w:r>
            <w:r>
              <w:rPr>
                <w:rFonts w:eastAsia="Times New Roman"/>
                <w:i/>
                <w:sz w:val="20"/>
              </w:rPr>
              <w:t>“</w:t>
            </w:r>
            <w:r>
              <w:rPr>
                <w:rFonts w:eastAsia="Times New Roman" w:hint="eastAsia"/>
                <w:i/>
                <w:sz w:val="20"/>
              </w:rPr>
              <w:t>asyncIntraBandENDC</w:t>
            </w:r>
            <w:r>
              <w:rPr>
                <w:rFonts w:eastAsia="Times New Roman"/>
                <w:i/>
                <w:sz w:val="20"/>
              </w:rPr>
              <w:t>”</w:t>
            </w:r>
            <w:r>
              <w:rPr>
                <w:rFonts w:eastAsia="Times New Roman" w:hint="eastAsia"/>
                <w:i/>
                <w:sz w:val="20"/>
              </w:rPr>
              <w:t xml:space="preserve"> </w:t>
            </w:r>
            <w:r>
              <w:rPr>
                <w:rFonts w:eastAsia="Times New Roman" w:hint="eastAsia"/>
                <w:sz w:val="20"/>
              </w:rPr>
              <w:t xml:space="preserve">was introduced for intra-band EN-DC, while it is further extended to cover </w:t>
            </w:r>
            <w:bookmarkStart w:id="3" w:name="OLE_LINK4"/>
            <w:r>
              <w:rPr>
                <w:rFonts w:eastAsia="Times New Roman" w:hint="eastAsia"/>
                <w:sz w:val="20"/>
              </w:rPr>
              <w:t>inter-band EN-DC with overlapping frequency</w:t>
            </w:r>
            <w:bookmarkEnd w:id="3"/>
            <w:r>
              <w:rPr>
                <w:rFonts w:eastAsia="Times New Roman" w:hint="eastAsia"/>
                <w:sz w:val="20"/>
              </w:rPr>
              <w:t xml:space="preserve">. While the signaling description only mentioned intra-band EN-DC in the first paragraph in the description part. For inter-band EN-DC with overlapping frequency, if asynchronous FDD-FDD intra-band (NG) EN-DC is not supported, the MRTD requirement for collocated scenario and non-collocated scenario are different. </w:t>
            </w:r>
          </w:p>
          <w:p w:rsidR="00A21FEF" w:rsidRDefault="00D5207B">
            <w:pPr>
              <w:keepNext/>
              <w:keepLines/>
              <w:numPr>
                <w:ilvl w:val="0"/>
                <w:numId w:val="5"/>
              </w:numPr>
              <w:jc w:val="left"/>
              <w:rPr>
                <w:rFonts w:eastAsia="Times New Roman"/>
                <w:sz w:val="20"/>
              </w:rPr>
            </w:pPr>
            <w:r>
              <w:rPr>
                <w:rFonts w:eastAsia="Times New Roman" w:hint="eastAsia"/>
                <w:sz w:val="20"/>
              </w:rPr>
              <w:t>For collocated scenario, the synchronous requirement for intra-band collocated scenario in 7.6.3 apply.</w:t>
            </w:r>
          </w:p>
          <w:p w:rsidR="00A21FEF" w:rsidRDefault="00D5207B">
            <w:pPr>
              <w:keepNext/>
              <w:keepLines/>
              <w:numPr>
                <w:ilvl w:val="0"/>
                <w:numId w:val="5"/>
              </w:numPr>
              <w:jc w:val="left"/>
              <w:rPr>
                <w:rFonts w:eastAsia="Times New Roman"/>
                <w:sz w:val="20"/>
              </w:rPr>
            </w:pPr>
            <w:r>
              <w:rPr>
                <w:rFonts w:eastAsia="Times New Roman" w:hint="eastAsia"/>
                <w:sz w:val="20"/>
              </w:rPr>
              <w:t>For non-collocated scenario, the synchronous requirement for inter-band EN-DC in 7.6.2.1 apply.</w:t>
            </w:r>
          </w:p>
          <w:p w:rsidR="00A21FEF" w:rsidRDefault="00D5207B">
            <w:pPr>
              <w:keepNext/>
              <w:keepLines/>
              <w:jc w:val="left"/>
              <w:rPr>
                <w:sz w:val="20"/>
              </w:rPr>
            </w:pPr>
            <w:r>
              <w:rPr>
                <w:rFonts w:eastAsia="Times New Roman" w:hint="eastAsia"/>
                <w:sz w:val="20"/>
              </w:rPr>
              <w:t>Further, the signaling</w:t>
            </w:r>
            <w:r>
              <w:rPr>
                <w:rFonts w:eastAsia="Times New Roman" w:hint="eastAsia"/>
                <w:i/>
                <w:sz w:val="20"/>
              </w:rPr>
              <w:t xml:space="preserve"> </w:t>
            </w:r>
            <w:r>
              <w:rPr>
                <w:rFonts w:eastAsia="Times New Roman"/>
                <w:i/>
                <w:sz w:val="20"/>
              </w:rPr>
              <w:t>“</w:t>
            </w:r>
            <w:r>
              <w:rPr>
                <w:rFonts w:eastAsia="Times New Roman" w:hint="eastAsia"/>
                <w:i/>
                <w:sz w:val="20"/>
              </w:rPr>
              <w:t>asyncIntraBandENDC</w:t>
            </w:r>
            <w:r>
              <w:rPr>
                <w:rFonts w:eastAsia="Times New Roman"/>
                <w:i/>
                <w:sz w:val="20"/>
              </w:rPr>
              <w:t>”</w:t>
            </w:r>
            <w:r>
              <w:rPr>
                <w:rFonts w:eastAsia="Times New Roman" w:hint="eastAsia"/>
                <w:i/>
                <w:sz w:val="20"/>
              </w:rPr>
              <w:t xml:space="preserve"> </w:t>
            </w:r>
            <w:r>
              <w:rPr>
                <w:rFonts w:eastAsia="Times New Roman" w:hint="eastAsia"/>
                <w:sz w:val="20"/>
              </w:rPr>
              <w:t>now only cover EN-DC UE reporting. RAN4 would like to ask RAN2 to update this signaling description to cover NE-DC reporting.</w:t>
            </w:r>
          </w:p>
        </w:tc>
      </w:tr>
    </w:tbl>
    <w:p w:rsidR="00A21FEF" w:rsidRPr="00487B7A" w:rsidRDefault="00D5207B">
      <w:pPr>
        <w:rPr>
          <w:szCs w:val="21"/>
        </w:rPr>
      </w:pPr>
      <w:r w:rsidRPr="00487B7A">
        <w:rPr>
          <w:rFonts w:hint="eastAsia"/>
          <w:szCs w:val="21"/>
        </w:rPr>
        <w:t xml:space="preserve">In this paper, we share our views on </w:t>
      </w:r>
      <w:r w:rsidRPr="00487B7A">
        <w:rPr>
          <w:szCs w:val="21"/>
        </w:rPr>
        <w:t>its impact to RAN2.</w:t>
      </w:r>
    </w:p>
    <w:p w:rsidR="00A21FEF" w:rsidRDefault="00D5207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A21FEF" w:rsidRDefault="00D5207B">
      <w:r>
        <w:rPr>
          <w:rFonts w:hint="eastAsia"/>
        </w:rPr>
        <w:t xml:space="preserve">In this chapter, </w:t>
      </w:r>
      <w:r>
        <w:t>we first discuss the inter-band EN-DC with overlapping frequency case, then we discuss the NE-DC case.</w:t>
      </w:r>
    </w:p>
    <w:p w:rsidR="00A21FEF" w:rsidRDefault="00D5207B">
      <w:pPr>
        <w:pStyle w:val="2"/>
        <w:ind w:left="0" w:firstLine="0"/>
        <w:rPr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 xml:space="preserve">2.1 </w:t>
      </w:r>
      <w:r>
        <w:rPr>
          <w:b w:val="0"/>
          <w:bCs w:val="0"/>
          <w:sz w:val="28"/>
          <w:szCs w:val="28"/>
        </w:rPr>
        <w:t>I</w:t>
      </w:r>
      <w:r>
        <w:rPr>
          <w:rFonts w:hint="eastAsia"/>
          <w:b w:val="0"/>
          <w:bCs w:val="0"/>
          <w:sz w:val="28"/>
          <w:szCs w:val="28"/>
          <w:lang w:val="en-US"/>
        </w:rPr>
        <w:t>nter-band EN-DC with overlapping frequency</w:t>
      </w:r>
    </w:p>
    <w:p w:rsidR="00A21FEF" w:rsidRDefault="00D5207B">
      <w:r>
        <w:t xml:space="preserve">For the </w:t>
      </w:r>
      <w:r>
        <w:rPr>
          <w:rFonts w:hint="eastAsia"/>
        </w:rPr>
        <w:t>inter-band EN-DC with overlapping frequency</w:t>
      </w:r>
      <w:r>
        <w:t>, there are two different cases</w:t>
      </w:r>
      <w:r>
        <w:rPr>
          <w:rFonts w:hint="eastAsia"/>
        </w:rPr>
        <w:t xml:space="preserve"> (according to 38101-3 5.5B.4)</w:t>
      </w:r>
      <w:r>
        <w:t>:</w:t>
      </w:r>
    </w:p>
    <w:p w:rsidR="00A21FEF" w:rsidRDefault="00D5207B">
      <w:pPr>
        <w:numPr>
          <w:ilvl w:val="0"/>
          <w:numId w:val="6"/>
        </w:numPr>
      </w:pPr>
      <w:r>
        <w:t>Case 1: Inter-band (NG)EN-DC combination, where the frequency range of the E-UTRA band is a subset of the frequency range of the NR band, e</w:t>
      </w:r>
      <w:r>
        <w:rPr>
          <w:rFonts w:hint="eastAsia"/>
        </w:rPr>
        <w:t>.g. DC_42A_n77A.</w:t>
      </w:r>
    </w:p>
    <w:p w:rsidR="00A21FEF" w:rsidRDefault="00D5207B">
      <w:pPr>
        <w:numPr>
          <w:ilvl w:val="0"/>
          <w:numId w:val="6"/>
        </w:numPr>
      </w:pPr>
      <w:r>
        <w:rPr>
          <w:rFonts w:hint="eastAsia"/>
        </w:rPr>
        <w:lastRenderedPageBreak/>
        <w:t xml:space="preserve">Case 2: </w:t>
      </w:r>
      <w:r>
        <w:t>Inter-band (NG)EN-DC combination,</w:t>
      </w:r>
      <w:r>
        <w:rPr>
          <w:rFonts w:hint="eastAsia"/>
        </w:rPr>
        <w:t xml:space="preserve"> where the </w:t>
      </w:r>
      <w:r>
        <w:t>frequency range of the E-UTRA band is</w:t>
      </w:r>
      <w:r>
        <w:rPr>
          <w:rFonts w:hint="eastAsia"/>
        </w:rPr>
        <w:t xml:space="preserve"> partially overlapped with </w:t>
      </w:r>
      <w:r>
        <w:t>the frequency range of the NR band, e</w:t>
      </w:r>
      <w:r>
        <w:rPr>
          <w:rFonts w:hint="eastAsia"/>
        </w:rPr>
        <w:t>.g. DC_20A_n28A.</w:t>
      </w:r>
    </w:p>
    <w:p w:rsidR="00A21FEF" w:rsidRDefault="007761D8">
      <w:r>
        <w:t>The case 1 has been included in the current field description as below:</w:t>
      </w:r>
    </w:p>
    <w:tbl>
      <w:tblPr>
        <w:tblW w:w="10030" w:type="dxa"/>
        <w:tblInd w:w="120" w:type="dxa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030"/>
      </w:tblGrid>
      <w:tr w:rsidR="00A21FEF">
        <w:trPr>
          <w:cantSplit/>
          <w:tblHeader/>
        </w:trPr>
        <w:tc>
          <w:tcPr>
            <w:tcW w:w="99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  <w:tl2br w:val="nil"/>
              <w:tr2bl w:val="nil"/>
            </w:tcBorders>
          </w:tcPr>
          <w:p w:rsidR="00A21FEF" w:rsidRDefault="00D5207B">
            <w:pPr>
              <w:keepNext/>
              <w:keepLines/>
              <w:jc w:val="lef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asyncIntraBandENDC</w:t>
            </w:r>
          </w:p>
          <w:p w:rsidR="00A21FEF" w:rsidRDefault="00D5207B">
            <w:pPr>
              <w:keepNext/>
              <w:keepLines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whether the UE supports asynchronous FDD-FDD intra-band (NG)EN-DC with MRTD and MTTD as specified in clause 7.5 and 7.6 of TS 38.133 [5]. If asynchronous FDD-FDD intra-band (NG)EN-DC is not supported, the UE supports only synchronous FDD-FDD intra-band (NG)EN-DC.</w:t>
            </w:r>
          </w:p>
          <w:p w:rsidR="00A21FEF" w:rsidRDefault="00D5207B">
            <w:pPr>
              <w:keepNext/>
              <w:keepLines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This capability applies to:</w:t>
            </w:r>
          </w:p>
          <w:p w:rsidR="00A21FEF" w:rsidRDefault="00D5207B">
            <w:pPr>
              <w:ind w:left="570" w:hanging="285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Intra-band (NG)EN-DC combination without additional inter-band NR and LTE CA component;</w:t>
            </w:r>
          </w:p>
          <w:p w:rsidR="00A21FEF" w:rsidRDefault="00D5207B">
            <w:pPr>
              <w:ind w:left="570" w:hanging="285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Intra-band (NG)EN-DC combination supporting both UL and DL intra-band (NG)EN-DC parts with additional inter-band NR/LTE CA component;</w:t>
            </w:r>
          </w:p>
          <w:p w:rsidR="00A21FEF" w:rsidRDefault="00D5207B">
            <w:pPr>
              <w:ind w:left="570" w:hanging="285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Intra-band (NG)EN-DC combination without supporting UL in both the bands of the intra-band (NG)EN-DC UL part;</w:t>
            </w:r>
          </w:p>
          <w:p w:rsidR="00A21FEF" w:rsidRDefault="00D5207B">
            <w:pPr>
              <w:ind w:left="570" w:hanging="285"/>
              <w:jc w:val="left"/>
              <w:rPr>
                <w:rFonts w:ascii="Arial" w:hAnsi="Arial"/>
                <w:color w:val="0000FF"/>
                <w:sz w:val="18"/>
              </w:rPr>
            </w:pPr>
            <w:r>
              <w:rPr>
                <w:rFonts w:ascii="Arial" w:hAnsi="Arial"/>
                <w:color w:val="0000FF"/>
                <w:sz w:val="18"/>
              </w:rPr>
              <w:t>-</w:t>
            </w:r>
            <w:r>
              <w:rPr>
                <w:rFonts w:ascii="Arial" w:hAnsi="Arial"/>
                <w:color w:val="0000FF"/>
                <w:sz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:rsidR="00A21FEF" w:rsidRDefault="00D5207B">
            <w:pPr>
              <w:keepNext/>
              <w:keepLines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this capability is included in an "Intra-band (NG)EN-DC combination supporting both UL and DL intra-band (NG)EN-DC parts with additional inter-band NR/LTE CA component" or in an "Intra-band (NG)EN-DC combination without supporting UL in both the bands of the intra-band (NG)EN-DC UL part", this capability applies to the intra-band (NG)EN-DC BC part.</w:t>
            </w:r>
          </w:p>
        </w:tc>
      </w:tr>
    </w:tbl>
    <w:p w:rsidR="007761D8" w:rsidRDefault="007761D8" w:rsidP="007761D8">
      <w:r>
        <w:t>Then the remaining issue is whether the case 2 shall also be included. For the case 2, until now the only case is the overlapping between the LTE band 20 and NR Band 28. However, there is also a note in the RAN4 spec (e.g. Table 5.5B.4.1-1: Inter-band EN-DC configurations within FR1 (two bands)):</w:t>
      </w:r>
    </w:p>
    <w:tbl>
      <w:tblPr>
        <w:tblpPr w:leftFromText="180" w:rightFromText="180" w:vertAnchor="text" w:horzAnchor="page" w:tblpX="880" w:tblpY="298"/>
        <w:tblW w:w="96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65"/>
        <w:gridCol w:w="6166"/>
      </w:tblGrid>
      <w:tr w:rsidR="009C4991" w:rsidTr="009C4991">
        <w:trPr>
          <w:trHeight w:val="180"/>
        </w:trPr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991" w:rsidRDefault="009C4991" w:rsidP="009C499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vertAlign w:val="superscript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DC_20A_n28A</w:t>
            </w:r>
            <w:r>
              <w:rPr>
                <w:rFonts w:ascii="Arial" w:hAnsi="Arial" w:cs="Arial"/>
                <w:kern w:val="0"/>
                <w:sz w:val="18"/>
                <w:szCs w:val="18"/>
                <w:vertAlign w:val="superscript"/>
                <w:lang w:val="x-none"/>
              </w:rPr>
              <w:t>8,11,13</w:t>
            </w:r>
          </w:p>
        </w:tc>
        <w:tc>
          <w:tcPr>
            <w:tcW w:w="6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4991" w:rsidRDefault="009C4991" w:rsidP="009C499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DC_20A_n28A</w:t>
            </w:r>
          </w:p>
        </w:tc>
      </w:tr>
    </w:tbl>
    <w:p w:rsidR="009C4991" w:rsidRDefault="009C4991" w:rsidP="007761D8"/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7761D8" w:rsidTr="007761D8">
        <w:tc>
          <w:tcPr>
            <w:tcW w:w="9771" w:type="dxa"/>
          </w:tcPr>
          <w:p w:rsidR="007761D8" w:rsidRPr="007761D8" w:rsidRDefault="007761D8" w:rsidP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855" w:hanging="855"/>
              <w:jc w:val="left"/>
              <w:rPr>
                <w:sz w:val="18"/>
                <w:szCs w:val="18"/>
              </w:rPr>
            </w:pPr>
            <w:r w:rsidRPr="007761D8">
              <w:rPr>
                <w:sz w:val="18"/>
                <w:szCs w:val="18"/>
              </w:rPr>
              <w:t>NOTE 8:</w:t>
            </w:r>
            <w:r w:rsidRPr="007761D8">
              <w:rPr>
                <w:sz w:val="18"/>
                <w:szCs w:val="18"/>
              </w:rPr>
              <w:tab/>
              <w:t xml:space="preserve">The frequency range in band n28 / 28 is restricted for </w:t>
            </w:r>
            <w:r w:rsidRPr="007761D8">
              <w:rPr>
                <w:color w:val="FF0000"/>
                <w:sz w:val="18"/>
                <w:szCs w:val="18"/>
              </w:rPr>
              <w:t>this band combination to 703 - 733 MHz for the UL and 758-788 MHz for the DL</w:t>
            </w:r>
            <w:r w:rsidRPr="007761D8">
              <w:rPr>
                <w:sz w:val="18"/>
                <w:szCs w:val="18"/>
              </w:rPr>
              <w:t>. This restriction also apply for any band combinations when DC_20_n28/ DC_28_n20/ CA_20-28/ CA_n20-n28 is a subset of a higher order band combination.</w:t>
            </w:r>
          </w:p>
          <w:p w:rsidR="007761D8" w:rsidRPr="007761D8" w:rsidRDefault="007761D8" w:rsidP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855" w:hanging="855"/>
              <w:jc w:val="left"/>
              <w:rPr>
                <w:sz w:val="18"/>
                <w:szCs w:val="18"/>
              </w:rPr>
            </w:pPr>
            <w:r w:rsidRPr="007761D8">
              <w:rPr>
                <w:sz w:val="18"/>
                <w:szCs w:val="18"/>
              </w:rPr>
              <w:t>NOTE 11: For UEs not indicating interBandMRDC-WithOverlapDL-Bands-r16, the minimum requirements for apply when the maximum power spectral density imbalance between downlink carriers is within 6 dB. For UEs indicating interBandMRDC-WithOverlapDL-Bands-r16, the power imbalance requirement defined in clause 7.6B.2.6 apply. For these UEs, the power spectral density imbalance condition also applies for these carriers when applicable EN-DC configuration is a subset of a higher order EN-DC configuration.</w:t>
            </w:r>
          </w:p>
          <w:p w:rsidR="007761D8" w:rsidRPr="007761D8" w:rsidRDefault="007761D8" w:rsidP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855" w:hanging="855"/>
              <w:jc w:val="left"/>
            </w:pPr>
            <w:r w:rsidRPr="007761D8">
              <w:rPr>
                <w:sz w:val="18"/>
                <w:szCs w:val="18"/>
              </w:rPr>
              <w:t>NOTE 13: For UEs not indicating interBandMRDC-WithOverlapDL-Bands-r16, the minimum requirements apply for synchronized DL carriers with a maximum receive time difference ≤ 3 usec. The requirements also apply for these carriers when applicable EN-DC configuration is a subset of a higher order EN-DC configuration.</w:t>
            </w:r>
          </w:p>
        </w:tc>
      </w:tr>
    </w:tbl>
    <w:p w:rsidR="009C4991" w:rsidRPr="007761D8" w:rsidRDefault="00487B7A" w:rsidP="00487B7A">
      <w:r>
        <w:t>With this note,</w:t>
      </w:r>
      <w:r w:rsidR="007761D8">
        <w:t xml:space="preserve"> we can find that there would be no actual overlapping between the LTE band 20 and NR Band 28.</w:t>
      </w:r>
    </w:p>
    <w:tbl>
      <w:tblPr>
        <w:tblW w:w="7740" w:type="dxa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140"/>
        <w:gridCol w:w="2730"/>
        <w:gridCol w:w="2940"/>
        <w:gridCol w:w="930"/>
      </w:tblGrid>
      <w:tr w:rsidR="007761D8">
        <w:trPr>
          <w:trHeight w:val="180"/>
          <w:jc w:val="center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lastRenderedPageBreak/>
              <w:t>20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832 MHz – 862 MHz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 w:rsidRPr="007761D8">
              <w:rPr>
                <w:rFonts w:ascii="Arial" w:hAnsi="Arial" w:cs="Arial"/>
                <w:color w:val="FF0000"/>
                <w:kern w:val="0"/>
                <w:sz w:val="18"/>
                <w:szCs w:val="18"/>
                <w:lang w:val="x-none"/>
              </w:rPr>
              <w:t>791 MHz</w:t>
            </w: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 xml:space="preserve"> – 821 MHz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FDD</w:t>
            </w:r>
          </w:p>
        </w:tc>
      </w:tr>
      <w:tr w:rsidR="007761D8">
        <w:trPr>
          <w:trHeight w:val="180"/>
          <w:jc w:val="center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n28</w:t>
            </w:r>
          </w:p>
        </w:tc>
        <w:tc>
          <w:tcPr>
            <w:tcW w:w="2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703 MHz – 748 MHz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 xml:space="preserve">758 MHz – 803 MHz </w:t>
            </w:r>
          </w:p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 xml:space="preserve">(Restricted to </w:t>
            </w:r>
            <w:r w:rsidRPr="007761D8">
              <w:rPr>
                <w:rFonts w:ascii="Arial" w:hAnsi="Arial" w:cs="Arial"/>
                <w:color w:val="FF0000"/>
                <w:kern w:val="0"/>
                <w:sz w:val="18"/>
                <w:szCs w:val="18"/>
                <w:lang w:val="x-none"/>
              </w:rPr>
              <w:t>788M</w:t>
            </w: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 xml:space="preserve"> for DC)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761D8" w:rsidRDefault="007761D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x-none"/>
              </w:rPr>
              <w:t>FDD</w:t>
            </w:r>
          </w:p>
        </w:tc>
      </w:tr>
    </w:tbl>
    <w:p w:rsidR="007761D8" w:rsidRDefault="007761D8" w:rsidP="007761D8">
      <w:pPr>
        <w:autoSpaceDE w:val="0"/>
        <w:autoSpaceDN w:val="0"/>
        <w:adjustRightInd w:val="0"/>
        <w:spacing w:after="0" w:line="240" w:lineRule="auto"/>
        <w:ind w:left="-105"/>
        <w:jc w:val="center"/>
        <w:rPr>
          <w:rFonts w:ascii="Arial" w:hAnsi="Arial" w:cs="Arial"/>
          <w:kern w:val="0"/>
          <w:sz w:val="20"/>
          <w:szCs w:val="20"/>
          <w:lang w:val="x-none"/>
        </w:rPr>
      </w:pPr>
    </w:p>
    <w:p w:rsidR="007761D8" w:rsidRPr="007761D8" w:rsidRDefault="007761D8" w:rsidP="007761D8">
      <w:pPr>
        <w:rPr>
          <w:b/>
        </w:rPr>
      </w:pPr>
      <w:r w:rsidRPr="007761D8">
        <w:rPr>
          <w:b/>
        </w:rPr>
        <w:t xml:space="preserve">Observation 1: For the </w:t>
      </w:r>
      <w:r w:rsidR="00487B7A">
        <w:rPr>
          <w:b/>
        </w:rPr>
        <w:t>partially overlapping case,</w:t>
      </w:r>
      <w:r w:rsidRPr="007761D8">
        <w:rPr>
          <w:b/>
        </w:rPr>
        <w:t xml:space="preserve"> until now the only case is </w:t>
      </w:r>
      <w:r w:rsidR="00487B7A">
        <w:rPr>
          <w:b/>
        </w:rPr>
        <w:t>EN-DC with</w:t>
      </w:r>
      <w:r w:rsidRPr="007761D8">
        <w:rPr>
          <w:b/>
        </w:rPr>
        <w:t xml:space="preserve"> the LTE band 20 and NR Band 28. With the restriction (The frequency range in band n28 / 28 is restricted for this band combination to 703 - 733 MHz for the UL and 758-788 MHz for the DL) in the RAN4 spec, there would be no actual overlapping between the LTE band 20 and NR Band 28.</w:t>
      </w:r>
    </w:p>
    <w:p w:rsidR="007761D8" w:rsidRDefault="007761D8" w:rsidP="007761D8">
      <w:r>
        <w:t xml:space="preserve">If the observation 1 was agreed, we need to further discuss whether the </w:t>
      </w:r>
      <w:r w:rsidRPr="007761D8">
        <w:t>asyncIntraBandENDC shall be extended to the Case 2. Obviously, 2 options:</w:t>
      </w:r>
    </w:p>
    <w:p w:rsidR="007761D8" w:rsidRPr="007761D8" w:rsidRDefault="007761D8" w:rsidP="007761D8">
      <w:pPr>
        <w:pStyle w:val="afe"/>
        <w:numPr>
          <w:ilvl w:val="0"/>
          <w:numId w:val="9"/>
        </w:numPr>
        <w:ind w:firstLineChars="0"/>
      </w:pPr>
      <w:r>
        <w:t>Option 1</w:t>
      </w:r>
      <w:r w:rsidRPr="007761D8">
        <w:t xml:space="preserve">: asyncIntraBandENDC shall </w:t>
      </w:r>
      <w:r>
        <w:t>not</w:t>
      </w:r>
      <w:r w:rsidRPr="007761D8">
        <w:t xml:space="preserve"> be </w:t>
      </w:r>
      <w:r>
        <w:t>applied to the Case 2.</w:t>
      </w:r>
    </w:p>
    <w:p w:rsidR="007761D8" w:rsidRPr="007761D8" w:rsidRDefault="007761D8" w:rsidP="007761D8">
      <w:pPr>
        <w:pStyle w:val="afe"/>
        <w:numPr>
          <w:ilvl w:val="0"/>
          <w:numId w:val="9"/>
        </w:numPr>
        <w:ind w:firstLineChars="0"/>
      </w:pPr>
      <w:r w:rsidRPr="007761D8">
        <w:t xml:space="preserve">Option </w:t>
      </w:r>
      <w:r>
        <w:t>2</w:t>
      </w:r>
      <w:r w:rsidRPr="007761D8">
        <w:t xml:space="preserve">: asyncIntraBandENDC shall also be </w:t>
      </w:r>
      <w:r>
        <w:t>applied to the Case 2;</w:t>
      </w:r>
    </w:p>
    <w:p w:rsidR="007761D8" w:rsidRDefault="007761D8" w:rsidP="007761D8">
      <w:r>
        <w:rPr>
          <w:rFonts w:hint="eastAsia"/>
        </w:rPr>
        <w:t>W</w:t>
      </w:r>
      <w:r>
        <w:t>ith option 1, it means that the EN-DC with LTE band 20 and NR Band 28 would be taken as the inter-band EN-DC without overlapping. Then according to the [2], it shall support asynchronous DC by default.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7761D8" w:rsidTr="007761D8">
        <w:tc>
          <w:tcPr>
            <w:tcW w:w="9771" w:type="dxa"/>
          </w:tcPr>
          <w:p w:rsidR="007761D8" w:rsidRPr="007761D8" w:rsidRDefault="007761D8" w:rsidP="007761D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7761D8">
              <w:rPr>
                <w:kern w:val="0"/>
                <w:sz w:val="22"/>
                <w:szCs w:val="22"/>
              </w:rPr>
              <w:t>For Inter-band LTE-NR dual connectivity, all UE supports asynchronous DC between LTE and NR. Asynchronous here refers to subframe/slot timing boundary alignment</w:t>
            </w:r>
          </w:p>
        </w:tc>
      </w:tr>
    </w:tbl>
    <w:p w:rsidR="007761D8" w:rsidRDefault="007761D8" w:rsidP="007761D8">
      <w:r>
        <w:rPr>
          <w:rFonts w:hint="eastAsia"/>
        </w:rPr>
        <w:t>T</w:t>
      </w:r>
      <w:r>
        <w:t>hen for such kind of EN-DC, the UE shall take the</w:t>
      </w:r>
      <w:r w:rsidR="009C4991">
        <w:t xml:space="preserve"> “</w:t>
      </w:r>
      <w:r w:rsidR="009C4991" w:rsidRPr="006D4A81">
        <w:rPr>
          <w:bCs/>
          <w:color w:val="000000"/>
          <w:kern w:val="0"/>
          <w:sz w:val="22"/>
          <w:szCs w:val="22"/>
        </w:rPr>
        <w:t>Inter-band EN-DC</w:t>
      </w:r>
      <w:r w:rsidR="009C4991">
        <w:rPr>
          <w:bCs/>
          <w:color w:val="000000"/>
          <w:kern w:val="0"/>
          <w:sz w:val="22"/>
          <w:szCs w:val="22"/>
        </w:rPr>
        <w:t xml:space="preserve"> without overlapping</w:t>
      </w:r>
      <w:r w:rsidR="009C4991">
        <w:t>”</w:t>
      </w:r>
      <w:r>
        <w:t xml:space="preserve"> MTTD/MRTD requirement as in Tab</w:t>
      </w:r>
      <w:r w:rsidR="001478E5">
        <w:t>le 1 according to the RAN4 spec and also LS in [3]:</w:t>
      </w:r>
    </w:p>
    <w:p w:rsidR="006D4A81" w:rsidRPr="009C4991" w:rsidRDefault="009C4991" w:rsidP="009C4991">
      <w:pPr>
        <w:jc w:val="center"/>
        <w:rPr>
          <w:b/>
        </w:rPr>
      </w:pPr>
      <w:r w:rsidRPr="009C4991">
        <w:rPr>
          <w:b/>
        </w:rPr>
        <w:t>Table 1: MTTD/MRTD requirments for the different Inter-band EN-DC Type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2842"/>
        <w:gridCol w:w="1973"/>
        <w:gridCol w:w="2977"/>
        <w:gridCol w:w="2126"/>
      </w:tblGrid>
      <w:tr w:rsidR="006D4A81" w:rsidRPr="006D4A81" w:rsidTr="009C4991">
        <w:trPr>
          <w:trHeight w:val="108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:rsidR="009C4991" w:rsidRDefault="009C4991" w:rsidP="009C4991">
            <w:pPr>
              <w:widowControl/>
              <w:spacing w:after="0" w:line="240" w:lineRule="auto"/>
              <w:ind w:firstLineChars="600" w:firstLine="1325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EN-DC Type</w:t>
            </w:r>
          </w:p>
          <w:p w:rsidR="009C4991" w:rsidRDefault="006D4A81" w:rsidP="006D4A81">
            <w:pPr>
              <w:widowControl/>
              <w:spacing w:after="0" w:line="240" w:lineRule="auto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6D4A81">
              <w:rPr>
                <w:b/>
                <w:bCs/>
                <w:color w:val="000000"/>
                <w:kern w:val="0"/>
                <w:sz w:val="22"/>
                <w:szCs w:val="22"/>
              </w:rPr>
              <w:t xml:space="preserve">MTTD/MRTD </w:t>
            </w:r>
          </w:p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6D4A81">
              <w:rPr>
                <w:b/>
                <w:bCs/>
                <w:color w:val="000000"/>
                <w:kern w:val="0"/>
                <w:sz w:val="22"/>
                <w:szCs w:val="22"/>
              </w:rPr>
              <w:t xml:space="preserve">Requirment 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9C4991">
            <w:pPr>
              <w:widowControl/>
              <w:spacing w:after="0" w:line="240" w:lineRule="auto"/>
              <w:jc w:val="left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6D4A81">
              <w:rPr>
                <w:b/>
                <w:bCs/>
                <w:color w:val="000000"/>
                <w:kern w:val="0"/>
                <w:sz w:val="20"/>
                <w:szCs w:val="20"/>
              </w:rPr>
              <w:t>Inter-band EN-DC</w:t>
            </w:r>
            <w:r w:rsidR="009C4991">
              <w:rPr>
                <w:b/>
                <w:bCs/>
                <w:color w:val="000000"/>
                <w:kern w:val="0"/>
                <w:sz w:val="20"/>
                <w:szCs w:val="20"/>
              </w:rPr>
              <w:t xml:space="preserve"> (w/o o</w:t>
            </w:r>
            <w:r w:rsidR="009C4991" w:rsidRPr="009C4991">
              <w:rPr>
                <w:b/>
                <w:bCs/>
                <w:color w:val="000000"/>
                <w:kern w:val="0"/>
                <w:sz w:val="20"/>
                <w:szCs w:val="20"/>
              </w:rPr>
              <w:t>verlapping)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6D4A81">
              <w:rPr>
                <w:b/>
                <w:bCs/>
                <w:color w:val="000000"/>
                <w:kern w:val="0"/>
                <w:sz w:val="20"/>
                <w:szCs w:val="20"/>
              </w:rPr>
              <w:t>Inter-band EN-DC with FDD-FDD overlapping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 w:rsidRPr="006D4A81">
              <w:rPr>
                <w:b/>
                <w:bCs/>
                <w:color w:val="000000"/>
                <w:kern w:val="0"/>
                <w:sz w:val="20"/>
                <w:szCs w:val="20"/>
              </w:rPr>
              <w:t>Inter-band EN-DC with TDD-TDD overlapping</w:t>
            </w:r>
          </w:p>
        </w:tc>
      </w:tr>
      <w:tr w:rsidR="006D4A81" w:rsidRPr="006D4A81" w:rsidTr="009C4991">
        <w:trPr>
          <w:trHeight w:val="1176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Synchronous Intra-band EN-DC Table 7.5.3-1/7.6.3-1 in 38.133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N/A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If UE not supporting interBandMRDC-WithOverlapDL-Bands-r16 and not support  asyncIntraBandENDC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 xml:space="preserve">If UE not supporting interBandMRDC-WithOverlapDL-Bands-r16 </w:t>
            </w:r>
          </w:p>
        </w:tc>
      </w:tr>
      <w:tr w:rsidR="006D4A81" w:rsidRPr="006D4A81" w:rsidTr="009C4991">
        <w:trPr>
          <w:trHeight w:val="9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Synchronous Inter-band EN-DC Table 7.5.2.1-1/7.6.3.1-1 in 38.133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For Sync EN-DC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If UE supporting interBandMRDC-WithOverlapDL-Bands-r16 and not support  asyncIntraBandENDC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If UE supporting interBandMRDC-WithOverlapDL-Bands-r16</w:t>
            </w:r>
          </w:p>
        </w:tc>
      </w:tr>
      <w:tr w:rsidR="006D4A81" w:rsidRPr="006D4A81" w:rsidTr="009C4991">
        <w:trPr>
          <w:trHeight w:val="8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Asynchronous Inter-band EN-DC Table 7.5.2-1/7.6.2-1 in 38.133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For Async EN-DC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If asyncIntraBandENDC was supported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A81" w:rsidRPr="006D4A81" w:rsidRDefault="006D4A81" w:rsidP="006D4A81">
            <w:pPr>
              <w:widowControl/>
              <w:spacing w:after="0" w:line="240" w:lineRule="auto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6D4A81">
              <w:rPr>
                <w:color w:val="000000"/>
                <w:kern w:val="0"/>
                <w:sz w:val="22"/>
                <w:szCs w:val="22"/>
              </w:rPr>
              <w:t>N/A</w:t>
            </w:r>
          </w:p>
        </w:tc>
      </w:tr>
    </w:tbl>
    <w:p w:rsidR="007761D8" w:rsidRDefault="007761D8" w:rsidP="007761D8"/>
    <w:p w:rsidR="009C4991" w:rsidRDefault="009C4991" w:rsidP="009C4991">
      <w:r>
        <w:t xml:space="preserve">From the table 1, we can see that for the sync EN-DC case, the requirement would be independent on the </w:t>
      </w:r>
      <w:r w:rsidRPr="006D4A81">
        <w:rPr>
          <w:color w:val="000000"/>
          <w:kern w:val="0"/>
          <w:sz w:val="22"/>
          <w:szCs w:val="22"/>
        </w:rPr>
        <w:t>interBandMRDC-WithOverlapDL-Bands-r16</w:t>
      </w:r>
      <w:r>
        <w:rPr>
          <w:color w:val="000000"/>
          <w:kern w:val="0"/>
          <w:sz w:val="22"/>
          <w:szCs w:val="22"/>
        </w:rPr>
        <w:t xml:space="preserve"> if we take the </w:t>
      </w:r>
      <w:r>
        <w:t xml:space="preserve">option 1 (e.g. take the EN-DC with LTE band 20 and </w:t>
      </w:r>
      <w:r>
        <w:lastRenderedPageBreak/>
        <w:t>NR Band 28 as the inter-band EN-DC without overlapping), obviously, it will conflicts with the Note 11 and Note 13.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9C4991" w:rsidTr="00AB7A24">
        <w:tc>
          <w:tcPr>
            <w:tcW w:w="9771" w:type="dxa"/>
          </w:tcPr>
          <w:p w:rsidR="009C4991" w:rsidRPr="007761D8" w:rsidRDefault="009C4991" w:rsidP="00AB7A2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855" w:hanging="85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7761D8">
              <w:rPr>
                <w:sz w:val="18"/>
                <w:szCs w:val="18"/>
              </w:rPr>
              <w:t>OTE 11: For UEs not indicating interBandMRDC-WithOverlapDL-Bands-r16, the minimum requirements for apply when the maximum power spectral density imbalance between downlink carriers is within 6 dB. For UEs indicating interBandMRDC-WithOverlapDL-Bands-r16, the power imbalance requirement defined in clause 7.6B.2.6 apply. For these UEs, the power spectral density imbalance condition also applies for these carriers when applicable EN-DC configuration is a subset of a higher order EN-DC configuration.</w:t>
            </w:r>
          </w:p>
          <w:p w:rsidR="009C4991" w:rsidRPr="007761D8" w:rsidRDefault="009C4991" w:rsidP="00AB7A2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855" w:hanging="855"/>
              <w:jc w:val="left"/>
            </w:pPr>
            <w:r w:rsidRPr="007761D8">
              <w:rPr>
                <w:sz w:val="18"/>
                <w:szCs w:val="18"/>
              </w:rPr>
              <w:t>NOTE 13: For UEs not indicating interBandMRDC-WithOverlapDL-Bands-r16, the minimum requirements apply for synchronized DL carriers with a maximum receive time difference ≤ 3 usec. The requirements also apply for these carriers when applicable EN-DC configuration is a subset of a higher order EN-DC configuration.</w:t>
            </w:r>
          </w:p>
        </w:tc>
      </w:tr>
    </w:tbl>
    <w:p w:rsidR="009C4991" w:rsidRDefault="009C4991" w:rsidP="009C4991">
      <w:r>
        <w:t>Based on the above analysis, the option 2 (i.e.</w:t>
      </w:r>
      <w:r w:rsidR="00487B7A">
        <w:t xml:space="preserve"> </w:t>
      </w:r>
      <w:r w:rsidRPr="00487B7A">
        <w:rPr>
          <w:i/>
        </w:rPr>
        <w:t>asyncIntraBandENDC</w:t>
      </w:r>
      <w:r w:rsidRPr="007761D8">
        <w:t xml:space="preserve"> shall also be </w:t>
      </w:r>
      <w:r>
        <w:t>applied to the Case 2) is more aligned with the RAN4’s intention.</w:t>
      </w:r>
      <w:r w:rsidR="00A85A60">
        <w:t xml:space="preserve"> Then considering that the only synchronous operation was considered for the TDD-TDD EN-DC with overlapping case, we give the first proposal as below:</w:t>
      </w:r>
    </w:p>
    <w:p w:rsidR="009C4991" w:rsidRDefault="009C4991" w:rsidP="009C4991">
      <w:pPr>
        <w:rPr>
          <w:b/>
        </w:rPr>
      </w:pPr>
      <w:r w:rsidRPr="009C4991">
        <w:rPr>
          <w:b/>
        </w:rPr>
        <w:t>Proposal 1</w:t>
      </w:r>
      <w:r w:rsidRPr="009C4991">
        <w:rPr>
          <w:rFonts w:hint="eastAsia"/>
          <w:b/>
        </w:rPr>
        <w:t>:</w:t>
      </w:r>
      <w:r w:rsidRPr="009C4991">
        <w:rPr>
          <w:b/>
        </w:rPr>
        <w:t xml:space="preserve"> </w:t>
      </w:r>
      <w:r w:rsidR="00A85A60">
        <w:rPr>
          <w:b/>
        </w:rPr>
        <w:t xml:space="preserve">According the RAN4’s LS, </w:t>
      </w:r>
      <w:r w:rsidRPr="009C4991">
        <w:rPr>
          <w:b/>
        </w:rPr>
        <w:t xml:space="preserve">the </w:t>
      </w:r>
      <w:r w:rsidRPr="009C4991">
        <w:rPr>
          <w:b/>
          <w:i/>
        </w:rPr>
        <w:t>asyncIntraBandENDC</w:t>
      </w:r>
      <w:r w:rsidR="00A85A60">
        <w:rPr>
          <w:b/>
        </w:rPr>
        <w:t xml:space="preserve"> shall be extended to </w:t>
      </w:r>
      <w:r w:rsidRPr="009C4991">
        <w:rPr>
          <w:b/>
        </w:rPr>
        <w:t xml:space="preserve">cover the </w:t>
      </w:r>
      <w:r w:rsidR="00A85A60">
        <w:rPr>
          <w:b/>
        </w:rPr>
        <w:t xml:space="preserve">FDD-FDD </w:t>
      </w:r>
      <w:r w:rsidRPr="009C4991">
        <w:rPr>
          <w:b/>
        </w:rPr>
        <w:t>Inter-band EN-DC with partially overlapping DL bands case.</w:t>
      </w:r>
    </w:p>
    <w:p w:rsidR="00A85A60" w:rsidRDefault="00A85A60" w:rsidP="00A85A60">
      <w:r>
        <w:t xml:space="preserve">Based on the </w:t>
      </w:r>
      <w:r w:rsidR="00487B7A">
        <w:t>proposal</w:t>
      </w:r>
      <w:r>
        <w:t xml:space="preserve"> 1, RAN2 can further discuss whether there is NBC issue. For that according to the current RAN2 spec, the EN-DC with LTE band 20 and NR Band 28 would be taken as the inter-band EN-DC without overlapping and shall support asynchronous DC by default.</w:t>
      </w:r>
      <w:r w:rsidR="001478E5">
        <w:t xml:space="preserve"> Even the new UE with this indication as not supported, the old gNB would still take it as supported. This also depends on whether there is deployment/implement with LTE band 20 and NR Band 28.</w:t>
      </w:r>
    </w:p>
    <w:p w:rsidR="00487B7A" w:rsidRDefault="001478E5" w:rsidP="00487B7A">
      <w:pPr>
        <w:rPr>
          <w:b/>
        </w:rPr>
      </w:pPr>
      <w:r w:rsidRPr="009C4991">
        <w:rPr>
          <w:b/>
        </w:rPr>
        <w:t xml:space="preserve">Proposal </w:t>
      </w:r>
      <w:r>
        <w:rPr>
          <w:b/>
        </w:rPr>
        <w:t>2</w:t>
      </w:r>
      <w:r w:rsidRPr="009C4991">
        <w:rPr>
          <w:rFonts w:hint="eastAsia"/>
          <w:b/>
        </w:rPr>
        <w:t>:</w:t>
      </w:r>
      <w:r w:rsidRPr="009C4991">
        <w:rPr>
          <w:b/>
        </w:rPr>
        <w:t xml:space="preserve"> </w:t>
      </w:r>
      <w:r>
        <w:rPr>
          <w:b/>
        </w:rPr>
        <w:t xml:space="preserve">Ran2 to confirm whether there is NBC issue if </w:t>
      </w:r>
      <w:r w:rsidR="00487B7A">
        <w:rPr>
          <w:b/>
        </w:rPr>
        <w:t xml:space="preserve">extend the existing </w:t>
      </w:r>
      <w:r w:rsidR="00487B7A" w:rsidRPr="009C4991">
        <w:rPr>
          <w:b/>
          <w:i/>
        </w:rPr>
        <w:t>asyncIntraBandENDC</w:t>
      </w:r>
      <w:r w:rsidR="00487B7A">
        <w:rPr>
          <w:b/>
        </w:rPr>
        <w:t xml:space="preserve"> to </w:t>
      </w:r>
      <w:r w:rsidR="00487B7A" w:rsidRPr="009C4991">
        <w:rPr>
          <w:b/>
        </w:rPr>
        <w:t xml:space="preserve">cover the </w:t>
      </w:r>
      <w:r w:rsidR="00487B7A">
        <w:rPr>
          <w:b/>
        </w:rPr>
        <w:t xml:space="preserve">FDD-FDD </w:t>
      </w:r>
      <w:r w:rsidR="00487B7A" w:rsidRPr="009C4991">
        <w:rPr>
          <w:b/>
        </w:rPr>
        <w:t>Inter-band EN-DC with partially overlapping DL bands case.</w:t>
      </w:r>
    </w:p>
    <w:p w:rsidR="007761D8" w:rsidRPr="00E3795A" w:rsidRDefault="007761D8" w:rsidP="00487B7A">
      <w:pPr>
        <w:rPr>
          <w:b/>
          <w:bCs/>
        </w:rPr>
      </w:pPr>
      <w:r w:rsidRPr="00E3795A">
        <w:rPr>
          <w:rFonts w:hint="eastAsia"/>
        </w:rPr>
        <w:t>2.</w:t>
      </w:r>
      <w:r w:rsidRPr="00E3795A">
        <w:t>2</w:t>
      </w:r>
      <w:r w:rsidRPr="00E3795A">
        <w:rPr>
          <w:rFonts w:hint="eastAsia"/>
        </w:rPr>
        <w:t xml:space="preserve"> </w:t>
      </w:r>
      <w:r w:rsidRPr="00E3795A">
        <w:t>NE-DC</w:t>
      </w:r>
    </w:p>
    <w:p w:rsidR="00E3795A" w:rsidRDefault="001478E5" w:rsidP="00E3795A">
      <w:pPr>
        <w:widowControl/>
        <w:spacing w:after="0" w:line="240" w:lineRule="auto"/>
        <w:jc w:val="left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or the NE-DC, </w:t>
      </w:r>
      <w:r w:rsidR="00E3795A">
        <w:rPr>
          <w:lang w:val="en-GB"/>
        </w:rPr>
        <w:t>according to the current spec, the spec has supported the UE to report the below three cases:</w:t>
      </w:r>
    </w:p>
    <w:p w:rsidR="00E3795A" w:rsidRPr="001478E5" w:rsidRDefault="00E3795A" w:rsidP="00E3795A">
      <w:pPr>
        <w:pStyle w:val="afe"/>
        <w:widowControl/>
        <w:numPr>
          <w:ilvl w:val="0"/>
          <w:numId w:val="11"/>
        </w:numPr>
        <w:spacing w:after="0" w:line="240" w:lineRule="auto"/>
        <w:ind w:firstLineChars="0"/>
        <w:jc w:val="left"/>
        <w:rPr>
          <w:lang w:val="en-GB"/>
        </w:rPr>
      </w:pPr>
      <w:r w:rsidRPr="00E3795A">
        <w:rPr>
          <w:lang w:val="en-GB"/>
        </w:rPr>
        <w:t xml:space="preserve">Case 1: Support EN-DC only </w:t>
      </w:r>
      <w:r>
        <w:rPr>
          <w:lang w:val="en-GB"/>
        </w:rPr>
        <w:t>(</w:t>
      </w:r>
      <w:r w:rsidRPr="001478E5">
        <w:rPr>
          <w:lang w:val="en-GB"/>
        </w:rPr>
        <w:t xml:space="preserve">ne-DC-BC </w:t>
      </w:r>
      <w:r w:rsidRPr="00E3795A">
        <w:rPr>
          <w:lang w:val="en-GB"/>
        </w:rPr>
        <w:t>absent)</w:t>
      </w:r>
    </w:p>
    <w:p w:rsidR="00E3795A" w:rsidRPr="00E3795A" w:rsidRDefault="00E3795A" w:rsidP="00E3795A">
      <w:pPr>
        <w:pStyle w:val="afe"/>
        <w:widowControl/>
        <w:numPr>
          <w:ilvl w:val="0"/>
          <w:numId w:val="11"/>
        </w:numPr>
        <w:spacing w:after="0" w:line="240" w:lineRule="auto"/>
        <w:ind w:firstLineChars="0"/>
        <w:jc w:val="left"/>
        <w:rPr>
          <w:lang w:val="en-GB"/>
        </w:rPr>
      </w:pPr>
      <w:r w:rsidRPr="00E3795A">
        <w:rPr>
          <w:lang w:val="en-GB"/>
        </w:rPr>
        <w:t xml:space="preserve">Case 2: Support NE-DC only </w:t>
      </w:r>
      <w:r>
        <w:rPr>
          <w:lang w:val="en-GB"/>
        </w:rPr>
        <w:t>(separate NE-DC only list)</w:t>
      </w:r>
    </w:p>
    <w:p w:rsidR="001478E5" w:rsidRPr="00E3795A" w:rsidRDefault="00E3795A" w:rsidP="00E73315">
      <w:pPr>
        <w:pStyle w:val="afe"/>
        <w:widowControl/>
        <w:numPr>
          <w:ilvl w:val="0"/>
          <w:numId w:val="11"/>
        </w:numPr>
        <w:spacing w:after="0" w:line="240" w:lineRule="auto"/>
        <w:ind w:firstLineChars="0"/>
        <w:jc w:val="left"/>
        <w:rPr>
          <w:lang w:val="en-GB"/>
        </w:rPr>
      </w:pPr>
      <w:r w:rsidRPr="00E3795A">
        <w:rPr>
          <w:lang w:val="en-GB"/>
        </w:rPr>
        <w:t>Case 3: Support both EN-DC and NR-DC (</w:t>
      </w:r>
      <w:r w:rsidRPr="001478E5">
        <w:rPr>
          <w:lang w:val="en-GB"/>
        </w:rPr>
        <w:t xml:space="preserve">ne-DC-BC </w:t>
      </w:r>
      <w:r w:rsidRPr="00E3795A">
        <w:rPr>
          <w:lang w:val="en-GB"/>
        </w:rPr>
        <w:t>present)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478E5" w:rsidTr="001478E5">
        <w:tc>
          <w:tcPr>
            <w:tcW w:w="9771" w:type="dxa"/>
          </w:tcPr>
          <w:p w:rsidR="001478E5" w:rsidRPr="001478E5" w:rsidRDefault="001478E5" w:rsidP="001478E5">
            <w:pPr>
              <w:widowControl/>
              <w:spacing w:after="0" w:line="24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478E5">
              <w:rPr>
                <w:rFonts w:ascii="Helvetica-BoldOblique" w:hAnsi="Helvetica-BoldOblique" w:cs="宋体"/>
                <w:b/>
                <w:bCs/>
                <w:i/>
                <w:iCs/>
                <w:color w:val="000000"/>
                <w:kern w:val="0"/>
                <w:sz w:val="18"/>
                <w:szCs w:val="18"/>
              </w:rPr>
              <w:t xml:space="preserve">ne-DC-BC </w:t>
            </w:r>
          </w:p>
          <w:p w:rsidR="001478E5" w:rsidRDefault="001478E5" w:rsidP="001478E5">
            <w:pPr>
              <w:rPr>
                <w:lang w:val="en-GB"/>
              </w:rPr>
            </w:pPr>
            <w:r w:rsidRPr="001478E5">
              <w:rPr>
                <w:rFonts w:ascii="Helvetica" w:hAnsi="Helvetica" w:cs="宋体"/>
                <w:color w:val="000000"/>
                <w:kern w:val="0"/>
                <w:sz w:val="18"/>
                <w:szCs w:val="18"/>
              </w:rPr>
              <w:t>If the field is included for a band combination in the MR-DC capability container, the field indicates support of NE-DC. Otherwise, the field is absent.</w:t>
            </w:r>
          </w:p>
        </w:tc>
      </w:tr>
    </w:tbl>
    <w:p w:rsidR="00E3795A" w:rsidRDefault="00E3795A" w:rsidP="00E3795A">
      <w:pPr>
        <w:widowControl/>
        <w:spacing w:after="0" w:line="240" w:lineRule="auto"/>
        <w:jc w:val="left"/>
        <w:rPr>
          <w:lang w:val="en-GB"/>
        </w:rPr>
      </w:pPr>
      <w:r>
        <w:rPr>
          <w:lang w:val="en-GB"/>
        </w:rPr>
        <w:t xml:space="preserve">For the legacy UE, if it supports </w:t>
      </w:r>
      <w:r w:rsidRPr="00E3795A">
        <w:rPr>
          <w:i/>
        </w:rPr>
        <w:t>asyncIntraBandENDC</w:t>
      </w:r>
      <w:r>
        <w:rPr>
          <w:b/>
          <w:i/>
        </w:rPr>
        <w:t xml:space="preserve"> </w:t>
      </w:r>
      <w:r w:rsidRPr="00E3795A">
        <w:t xml:space="preserve">only for the </w:t>
      </w:r>
      <w:r>
        <w:t xml:space="preserve">EN-DC, then it shall report this BC with absence of the </w:t>
      </w:r>
      <w:r>
        <w:rPr>
          <w:lang w:val="en-GB"/>
        </w:rPr>
        <w:t>ne-DC-BC,</w:t>
      </w:r>
      <w:r w:rsidR="00487B7A">
        <w:rPr>
          <w:lang w:val="en-GB"/>
        </w:rPr>
        <w:t xml:space="preserve"> and for the NE-DC it can report the corresponding BC in the </w:t>
      </w:r>
      <w:r w:rsidR="00487B7A">
        <w:rPr>
          <w:lang w:val="en-GB"/>
        </w:rPr>
        <w:t>NE-DC only list</w:t>
      </w:r>
      <w:r w:rsidR="00487B7A">
        <w:rPr>
          <w:lang w:val="en-GB"/>
        </w:rPr>
        <w:t xml:space="preserve">, thus when the legacy UE </w:t>
      </w:r>
      <w:r>
        <w:rPr>
          <w:lang w:val="en-GB"/>
        </w:rPr>
        <w:t>moves to the new gNB, there would be no NBC issue.</w:t>
      </w:r>
    </w:p>
    <w:p w:rsidR="00E3795A" w:rsidRDefault="00E3795A" w:rsidP="00E3795A">
      <w:pPr>
        <w:widowControl/>
        <w:spacing w:after="0" w:line="240" w:lineRule="auto"/>
        <w:jc w:val="left"/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or the new UE, it may indicate support of the </w:t>
      </w:r>
      <w:r w:rsidRPr="00E3795A">
        <w:rPr>
          <w:i/>
        </w:rPr>
        <w:t>asyncIntraBandENDC</w:t>
      </w:r>
      <w:r>
        <w:rPr>
          <w:b/>
          <w:i/>
        </w:rPr>
        <w:t xml:space="preserve"> </w:t>
      </w:r>
      <w:r w:rsidRPr="00E3795A">
        <w:t>for both the EN-DC and NE-DC case</w:t>
      </w:r>
      <w:r>
        <w:t>, it will not cause NBC issue</w:t>
      </w:r>
      <w:r w:rsidR="00487B7A">
        <w:t xml:space="preserve"> even when it moves to the old gNB</w:t>
      </w:r>
      <w:r>
        <w:t>.</w:t>
      </w:r>
    </w:p>
    <w:p w:rsidR="00E3795A" w:rsidRDefault="00E3795A" w:rsidP="00E3795A">
      <w:pPr>
        <w:widowControl/>
        <w:spacing w:after="0" w:line="240" w:lineRule="auto"/>
        <w:jc w:val="left"/>
        <w:rPr>
          <w:lang w:val="en-GB"/>
        </w:rPr>
      </w:pPr>
      <w:r w:rsidRPr="00E3795A">
        <w:rPr>
          <w:rFonts w:hint="eastAsia"/>
          <w:lang w:val="en-GB"/>
        </w:rPr>
        <w:t>T</w:t>
      </w:r>
      <w:r w:rsidRPr="00E3795A">
        <w:rPr>
          <w:lang w:val="en-GB"/>
        </w:rPr>
        <w:t>hus</w:t>
      </w:r>
      <w:r>
        <w:rPr>
          <w:lang w:val="en-GB"/>
        </w:rPr>
        <w:t xml:space="preserve">, the legacy </w:t>
      </w:r>
      <w:r w:rsidRPr="00E3795A">
        <w:rPr>
          <w:i/>
          <w:lang w:val="en-GB"/>
        </w:rPr>
        <w:t xml:space="preserve">asyncIntraBandENDC </w:t>
      </w:r>
      <w:r w:rsidRPr="00E3795A">
        <w:rPr>
          <w:lang w:val="en-GB"/>
        </w:rPr>
        <w:t xml:space="preserve">can be extended to cover the </w:t>
      </w:r>
      <w:r>
        <w:rPr>
          <w:lang w:val="en-GB"/>
        </w:rPr>
        <w:t>NE-DC case immediately. There is no need to introduce new signalling for the NE-DC case.</w:t>
      </w:r>
    </w:p>
    <w:p w:rsidR="00E3795A" w:rsidRPr="00E3795A" w:rsidRDefault="00E3795A" w:rsidP="00E3795A">
      <w:pPr>
        <w:rPr>
          <w:b/>
        </w:rPr>
      </w:pPr>
      <w:r w:rsidRPr="00E3795A">
        <w:rPr>
          <w:b/>
        </w:rPr>
        <w:t>Proposal 3</w:t>
      </w:r>
      <w:r w:rsidRPr="00E3795A">
        <w:rPr>
          <w:rFonts w:hint="eastAsia"/>
          <w:b/>
        </w:rPr>
        <w:t>:</w:t>
      </w:r>
      <w:r w:rsidRPr="00E3795A">
        <w:rPr>
          <w:b/>
        </w:rPr>
        <w:t xml:space="preserve"> </w:t>
      </w:r>
      <w:r w:rsidRPr="00E3795A">
        <w:rPr>
          <w:b/>
          <w:lang w:val="en-GB"/>
        </w:rPr>
        <w:t xml:space="preserve">The legacy </w:t>
      </w:r>
      <w:r w:rsidRPr="00E3795A">
        <w:rPr>
          <w:b/>
          <w:i/>
          <w:lang w:val="en-GB"/>
        </w:rPr>
        <w:t xml:space="preserve">asyncIntraBandENDC </w:t>
      </w:r>
      <w:r w:rsidRPr="00E3795A">
        <w:rPr>
          <w:b/>
          <w:lang w:val="en-GB"/>
        </w:rPr>
        <w:t>can be extended to cover the NE-DC case without introducing new signalling.</w:t>
      </w:r>
    </w:p>
    <w:p w:rsidR="00A21FEF" w:rsidRDefault="00D5207B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E3795A" w:rsidRDefault="00D5207B" w:rsidP="00E3795A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487B7A" w:rsidRDefault="00487B7A" w:rsidP="00487B7A">
      <w:pPr>
        <w:rPr>
          <w:b/>
        </w:rPr>
      </w:pPr>
      <w:r w:rsidRPr="009C4991">
        <w:rPr>
          <w:b/>
        </w:rPr>
        <w:t>Proposal 1</w:t>
      </w:r>
      <w:r w:rsidRPr="009C4991">
        <w:rPr>
          <w:rFonts w:hint="eastAsia"/>
          <w:b/>
        </w:rPr>
        <w:t>:</w:t>
      </w:r>
      <w:r w:rsidRPr="009C4991">
        <w:rPr>
          <w:b/>
        </w:rPr>
        <w:t xml:space="preserve"> </w:t>
      </w:r>
      <w:r>
        <w:rPr>
          <w:b/>
        </w:rPr>
        <w:t xml:space="preserve">According the RAN4’s LS, </w:t>
      </w:r>
      <w:r w:rsidRPr="009C4991">
        <w:rPr>
          <w:b/>
        </w:rPr>
        <w:t xml:space="preserve">the </w:t>
      </w:r>
      <w:r w:rsidRPr="009C4991">
        <w:rPr>
          <w:b/>
          <w:i/>
        </w:rPr>
        <w:t>asyncIntraBandENDC</w:t>
      </w:r>
      <w:r>
        <w:rPr>
          <w:b/>
        </w:rPr>
        <w:t xml:space="preserve"> shall be extended to </w:t>
      </w:r>
      <w:r w:rsidRPr="009C4991">
        <w:rPr>
          <w:b/>
        </w:rPr>
        <w:t xml:space="preserve">cover the </w:t>
      </w:r>
      <w:r>
        <w:rPr>
          <w:b/>
        </w:rPr>
        <w:t xml:space="preserve">FDD-FDD </w:t>
      </w:r>
      <w:r w:rsidRPr="009C4991">
        <w:rPr>
          <w:b/>
        </w:rPr>
        <w:t>Inter-band EN-DC with partially overlapping DL bands case.</w:t>
      </w:r>
    </w:p>
    <w:p w:rsidR="00487B7A" w:rsidRDefault="00487B7A" w:rsidP="00487B7A">
      <w:pPr>
        <w:rPr>
          <w:b/>
        </w:rPr>
      </w:pPr>
      <w:r w:rsidRPr="009C4991">
        <w:rPr>
          <w:b/>
        </w:rPr>
        <w:t xml:space="preserve">Proposal </w:t>
      </w:r>
      <w:r>
        <w:rPr>
          <w:b/>
        </w:rPr>
        <w:t>2</w:t>
      </w:r>
      <w:r w:rsidRPr="009C4991">
        <w:rPr>
          <w:rFonts w:hint="eastAsia"/>
          <w:b/>
        </w:rPr>
        <w:t>:</w:t>
      </w:r>
      <w:r w:rsidRPr="009C4991">
        <w:rPr>
          <w:b/>
        </w:rPr>
        <w:t xml:space="preserve"> </w:t>
      </w:r>
      <w:r>
        <w:rPr>
          <w:b/>
        </w:rPr>
        <w:t xml:space="preserve">Ran2 to confirm whether there is NBC issue if extend the existing </w:t>
      </w:r>
      <w:r w:rsidRPr="009C4991">
        <w:rPr>
          <w:b/>
          <w:i/>
        </w:rPr>
        <w:t>asyncIntraBandENDC</w:t>
      </w:r>
      <w:r>
        <w:rPr>
          <w:b/>
        </w:rPr>
        <w:t xml:space="preserve"> to </w:t>
      </w:r>
      <w:r w:rsidRPr="009C4991">
        <w:rPr>
          <w:b/>
        </w:rPr>
        <w:t xml:space="preserve">cover the </w:t>
      </w:r>
      <w:r>
        <w:rPr>
          <w:b/>
        </w:rPr>
        <w:t xml:space="preserve">FDD-FDD </w:t>
      </w:r>
      <w:r w:rsidRPr="009C4991">
        <w:rPr>
          <w:b/>
        </w:rPr>
        <w:t>Inter-band EN-DC with partially overlapping DL bands case.</w:t>
      </w:r>
    </w:p>
    <w:p w:rsidR="00487B7A" w:rsidRPr="00487B7A" w:rsidRDefault="00487B7A" w:rsidP="00487B7A">
      <w:pPr>
        <w:rPr>
          <w:b/>
        </w:rPr>
      </w:pPr>
      <w:r w:rsidRPr="00487B7A">
        <w:rPr>
          <w:b/>
        </w:rPr>
        <w:t>Proposal 3</w:t>
      </w:r>
      <w:r w:rsidRPr="00487B7A">
        <w:rPr>
          <w:rFonts w:hint="eastAsia"/>
          <w:b/>
        </w:rPr>
        <w:t>:</w:t>
      </w:r>
      <w:r w:rsidRPr="00487B7A">
        <w:rPr>
          <w:b/>
        </w:rPr>
        <w:t xml:space="preserve"> </w:t>
      </w:r>
      <w:r w:rsidRPr="00487B7A">
        <w:rPr>
          <w:b/>
          <w:lang w:val="en-GB"/>
        </w:rPr>
        <w:t xml:space="preserve">The legacy </w:t>
      </w:r>
      <w:r w:rsidRPr="00487B7A">
        <w:rPr>
          <w:b/>
          <w:i/>
          <w:lang w:val="en-GB"/>
        </w:rPr>
        <w:t xml:space="preserve">asyncIntraBandENDC </w:t>
      </w:r>
      <w:r w:rsidRPr="00487B7A">
        <w:rPr>
          <w:b/>
          <w:lang w:val="en-GB"/>
        </w:rPr>
        <w:t>can be extended to cover the NE-DC case without introducing new signalling.</w:t>
      </w:r>
    </w:p>
    <w:p w:rsidR="00A21FEF" w:rsidRDefault="00E3795A" w:rsidP="00E3795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 xml:space="preserve"> </w:t>
      </w:r>
      <w:r w:rsidR="00D5207B"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7761D8" w:rsidRPr="007761D8" w:rsidRDefault="002233DF" w:rsidP="007761D8">
      <w:pPr>
        <w:numPr>
          <w:ilvl w:val="0"/>
          <w:numId w:val="7"/>
        </w:numPr>
        <w:spacing w:after="60"/>
        <w:rPr>
          <w:rFonts w:ascii="Arial" w:hAnsi="Arial" w:cs="Arial"/>
          <w:sz w:val="18"/>
          <w:szCs w:val="18"/>
        </w:rPr>
      </w:pPr>
      <w:hyperlink r:id="rId9" w:tooltip="C:Data3GPPExtractsR2-1811983.docx" w:history="1">
        <w:r w:rsidR="00D5207B">
          <w:rPr>
            <w:rFonts w:ascii="Arial" w:hAnsi="Arial" w:cs="Arial" w:hint="eastAsia"/>
            <w:sz w:val="18"/>
            <w:szCs w:val="18"/>
          </w:rPr>
          <w:t>R2-</w:t>
        </w:r>
        <w:r w:rsidR="007761D8">
          <w:rPr>
            <w:rFonts w:ascii="Arial" w:hAnsi="Arial" w:cs="Arial"/>
            <w:sz w:val="18"/>
            <w:szCs w:val="18"/>
          </w:rPr>
          <w:t>2311748</w:t>
        </w:r>
      </w:hyperlink>
      <w:r w:rsidR="001478E5">
        <w:rPr>
          <w:rFonts w:ascii="Arial" w:hAnsi="Arial" w:cs="Arial"/>
          <w:sz w:val="18"/>
          <w:szCs w:val="18"/>
        </w:rPr>
        <w:t xml:space="preserve">  </w:t>
      </w:r>
      <w:r w:rsidR="007761D8" w:rsidRPr="007761D8">
        <w:rPr>
          <w:rFonts w:ascii="Arial" w:hAnsi="Arial" w:cs="Arial"/>
          <w:sz w:val="18"/>
          <w:szCs w:val="18"/>
        </w:rPr>
        <w:t>LS on update for “asyncIntraBandENDC“  RAN4</w:t>
      </w:r>
    </w:p>
    <w:p w:rsidR="007761D8" w:rsidRDefault="007761D8" w:rsidP="007761D8">
      <w:pPr>
        <w:numPr>
          <w:ilvl w:val="0"/>
          <w:numId w:val="7"/>
        </w:numPr>
        <w:spacing w:after="60"/>
        <w:ind w:left="1985" w:hanging="198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R4-1711965</w:t>
      </w:r>
      <w:r w:rsidR="00D5207B" w:rsidRPr="007761D8">
        <w:rPr>
          <w:rFonts w:ascii="Arial" w:hAnsi="Arial" w:cs="Arial" w:hint="eastAsia"/>
          <w:sz w:val="18"/>
          <w:szCs w:val="18"/>
        </w:rPr>
        <w:t>  </w:t>
      </w:r>
      <w:r w:rsidRPr="007761D8">
        <w:rPr>
          <w:rFonts w:ascii="Arial" w:hAnsi="Arial" w:cs="Arial"/>
          <w:sz w:val="18"/>
          <w:szCs w:val="18"/>
        </w:rPr>
        <w:t xml:space="preserve"> LS to RAN1 and RAN2 on Definition of synchronous and asynchronous </w:t>
      </w:r>
      <w:r>
        <w:rPr>
          <w:rFonts w:ascii="Arial" w:hAnsi="Arial" w:cs="Arial"/>
          <w:sz w:val="18"/>
          <w:szCs w:val="18"/>
        </w:rPr>
        <w:t>Dual connectivity in Rel-15 LTE-</w:t>
      </w:r>
      <w:r w:rsidRPr="007761D8">
        <w:rPr>
          <w:rFonts w:ascii="Arial" w:hAnsi="Arial" w:cs="Arial"/>
          <w:sz w:val="18"/>
          <w:szCs w:val="18"/>
        </w:rPr>
        <w:t>NR combinations  RAN4</w:t>
      </w:r>
    </w:p>
    <w:p w:rsidR="001478E5" w:rsidRDefault="001478E5" w:rsidP="001478E5">
      <w:pPr>
        <w:numPr>
          <w:ilvl w:val="0"/>
          <w:numId w:val="7"/>
        </w:numPr>
        <w:spacing w:after="60"/>
        <w:ind w:left="1985" w:hanging="1985"/>
        <w:rPr>
          <w:kern w:val="0"/>
          <w:sz w:val="24"/>
        </w:rPr>
      </w:pPr>
      <w:r w:rsidRPr="001478E5">
        <w:rPr>
          <w:rFonts w:ascii="Arial" w:hAnsi="Arial" w:cs="Arial"/>
          <w:sz w:val="18"/>
          <w:szCs w:val="18"/>
        </w:rPr>
        <w:t>R2-2311747</w:t>
      </w:r>
      <w:r>
        <w:rPr>
          <w:rFonts w:ascii="Arial" w:hAnsi="Arial" w:cs="Arial"/>
          <w:sz w:val="18"/>
          <w:szCs w:val="18"/>
        </w:rPr>
        <w:t xml:space="preserve">  </w:t>
      </w:r>
      <w:r w:rsidRPr="001478E5">
        <w:rPr>
          <w:rFonts w:ascii="Arial" w:hAnsi="Arial" w:cs="Arial"/>
          <w:sz w:val="18"/>
          <w:szCs w:val="18"/>
        </w:rPr>
        <w:t>Reply LS on update for “interBandMRDC-WithOverlapDL-Bands-r16” in 38.306</w:t>
      </w:r>
      <w:r>
        <w:rPr>
          <w:rFonts w:ascii="Arial" w:hAnsi="Arial" w:cs="Arial"/>
          <w:sz w:val="18"/>
          <w:szCs w:val="18"/>
        </w:rPr>
        <w:t xml:space="preserve"> RAN4</w:t>
      </w:r>
    </w:p>
    <w:p w:rsidR="001478E5" w:rsidRPr="007761D8" w:rsidRDefault="001478E5" w:rsidP="001478E5">
      <w:pPr>
        <w:spacing w:after="60"/>
        <w:rPr>
          <w:rFonts w:ascii="Arial" w:hAnsi="Arial" w:cs="Arial"/>
          <w:sz w:val="18"/>
          <w:szCs w:val="18"/>
        </w:rPr>
      </w:pPr>
    </w:p>
    <w:sectPr w:rsidR="001478E5" w:rsidRPr="007761D8">
      <w:headerReference w:type="default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3DF" w:rsidRDefault="002233DF">
      <w:pPr>
        <w:spacing w:line="240" w:lineRule="auto"/>
      </w:pPr>
      <w:r>
        <w:separator/>
      </w:r>
    </w:p>
  </w:endnote>
  <w:endnote w:type="continuationSeparator" w:id="0">
    <w:p w:rsidR="002233DF" w:rsidRDefault="002233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BoldOblique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FEF" w:rsidRDefault="00A21FE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3DF" w:rsidRDefault="002233DF">
      <w:pPr>
        <w:spacing w:after="0"/>
      </w:pPr>
      <w:r>
        <w:separator/>
      </w:r>
    </w:p>
  </w:footnote>
  <w:footnote w:type="continuationSeparator" w:id="0">
    <w:p w:rsidR="002233DF" w:rsidRDefault="002233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FEF" w:rsidRDefault="00A21FE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11CF87"/>
    <w:multiLevelType w:val="singleLevel"/>
    <w:tmpl w:val="C011CF8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6D01807"/>
    <w:multiLevelType w:val="hybridMultilevel"/>
    <w:tmpl w:val="D1BA54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F0E33A1"/>
    <w:multiLevelType w:val="hybridMultilevel"/>
    <w:tmpl w:val="E2B0F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635C9"/>
    <w:multiLevelType w:val="hybridMultilevel"/>
    <w:tmpl w:val="2B78E8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C5827C"/>
    <w:multiLevelType w:val="multilevel"/>
    <w:tmpl w:val="0C0EDD4B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376774E2"/>
    <w:multiLevelType w:val="multilevel"/>
    <w:tmpl w:val="376774E2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eastAsia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921209"/>
    <w:multiLevelType w:val="singleLevel"/>
    <w:tmpl w:val="63921209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3"/>
  </w:num>
  <w:num w:numId="5">
    <w:abstractNumId w:val="7"/>
  </w:num>
  <w:num w:numId="6">
    <w:abstractNumId w:val="0"/>
  </w:num>
  <w:num w:numId="7">
    <w:abstractNumId w:val="10"/>
  </w:num>
  <w:num w:numId="8">
    <w:abstractNumId w:val="4"/>
  </w:num>
  <w:num w:numId="9">
    <w:abstractNumId w:val="2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45E3"/>
    <w:rsid w:val="000755A8"/>
    <w:rsid w:val="00076B12"/>
    <w:rsid w:val="00077741"/>
    <w:rsid w:val="000804D4"/>
    <w:rsid w:val="0008122E"/>
    <w:rsid w:val="00082CAA"/>
    <w:rsid w:val="00084609"/>
    <w:rsid w:val="000875C4"/>
    <w:rsid w:val="00087EBC"/>
    <w:rsid w:val="0009084A"/>
    <w:rsid w:val="000915A4"/>
    <w:rsid w:val="0009278C"/>
    <w:rsid w:val="00092939"/>
    <w:rsid w:val="00092E40"/>
    <w:rsid w:val="0009309D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2E41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478E5"/>
    <w:rsid w:val="00150BAB"/>
    <w:rsid w:val="0015556B"/>
    <w:rsid w:val="00156452"/>
    <w:rsid w:val="00160A40"/>
    <w:rsid w:val="001627D9"/>
    <w:rsid w:val="0016322E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5175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2B5"/>
    <w:rsid w:val="001F31F0"/>
    <w:rsid w:val="001F3DF5"/>
    <w:rsid w:val="001F3EE6"/>
    <w:rsid w:val="001F4346"/>
    <w:rsid w:val="00201FFE"/>
    <w:rsid w:val="00202C4B"/>
    <w:rsid w:val="00203B88"/>
    <w:rsid w:val="00206380"/>
    <w:rsid w:val="0021065A"/>
    <w:rsid w:val="002155FA"/>
    <w:rsid w:val="002176DE"/>
    <w:rsid w:val="00220855"/>
    <w:rsid w:val="00222E24"/>
    <w:rsid w:val="002233DF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06A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669F8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6F0F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A9E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3F68D5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87B7A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54B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3FE7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4A8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D762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2A03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414E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4A81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290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1D8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5643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1375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3347"/>
    <w:rsid w:val="008E5B71"/>
    <w:rsid w:val="008E705E"/>
    <w:rsid w:val="008F1245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60A0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4991"/>
    <w:rsid w:val="009C7D32"/>
    <w:rsid w:val="009D159F"/>
    <w:rsid w:val="009D2A16"/>
    <w:rsid w:val="009D366A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1FE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85A60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4BE9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4AF8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2B6C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1B6A"/>
    <w:rsid w:val="00C06F86"/>
    <w:rsid w:val="00C11D21"/>
    <w:rsid w:val="00C11EFC"/>
    <w:rsid w:val="00C12E5B"/>
    <w:rsid w:val="00C1675F"/>
    <w:rsid w:val="00C16979"/>
    <w:rsid w:val="00C172FB"/>
    <w:rsid w:val="00C21F2D"/>
    <w:rsid w:val="00C23439"/>
    <w:rsid w:val="00C2408A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3A7C"/>
    <w:rsid w:val="00C45167"/>
    <w:rsid w:val="00C473CE"/>
    <w:rsid w:val="00C50168"/>
    <w:rsid w:val="00C514F7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0927"/>
    <w:rsid w:val="00C72471"/>
    <w:rsid w:val="00C72B4C"/>
    <w:rsid w:val="00C8086B"/>
    <w:rsid w:val="00C82D97"/>
    <w:rsid w:val="00C84D14"/>
    <w:rsid w:val="00C90CE5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6CC5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0658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07B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3D11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3795A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805C9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2280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B9483B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650A87"/>
    <w:rsid w:val="0D714F8C"/>
    <w:rsid w:val="0D791AD7"/>
    <w:rsid w:val="0D7A3592"/>
    <w:rsid w:val="0D945468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7E28D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80194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3D74A9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6F04AC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7E1CA6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327329"/>
    <w:rsid w:val="1A4406CA"/>
    <w:rsid w:val="1A523105"/>
    <w:rsid w:val="1A5562D2"/>
    <w:rsid w:val="1A61483A"/>
    <w:rsid w:val="1A7857C1"/>
    <w:rsid w:val="1A8A2BB0"/>
    <w:rsid w:val="1A8F11DF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6B16F9"/>
    <w:rsid w:val="1B8626C9"/>
    <w:rsid w:val="1B976DB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5A6747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6857C6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030017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9D0940"/>
    <w:rsid w:val="20A56834"/>
    <w:rsid w:val="20AA06CD"/>
    <w:rsid w:val="20B51035"/>
    <w:rsid w:val="20B53FF2"/>
    <w:rsid w:val="20CC063E"/>
    <w:rsid w:val="20D85910"/>
    <w:rsid w:val="20DC07E1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2329B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C65D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DB59B3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856E1"/>
    <w:rsid w:val="27CD4196"/>
    <w:rsid w:val="27CE139A"/>
    <w:rsid w:val="27E63AB6"/>
    <w:rsid w:val="27F231DD"/>
    <w:rsid w:val="28085B9B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DE2489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649C5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BF65EB8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5089B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9719A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0C2A8F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8B7C54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580F8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5B0135"/>
    <w:rsid w:val="3D870953"/>
    <w:rsid w:val="3DAA526A"/>
    <w:rsid w:val="3DB22EE0"/>
    <w:rsid w:val="3DB302F2"/>
    <w:rsid w:val="3DB54F9A"/>
    <w:rsid w:val="3DB606FB"/>
    <w:rsid w:val="3DE64CFD"/>
    <w:rsid w:val="3DE976C2"/>
    <w:rsid w:val="3DEF63BE"/>
    <w:rsid w:val="3E0842EC"/>
    <w:rsid w:val="3E254367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396D6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06DA2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66E44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6F94306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CF6EA8"/>
    <w:rsid w:val="47E52D99"/>
    <w:rsid w:val="47EB6B0E"/>
    <w:rsid w:val="47F31436"/>
    <w:rsid w:val="47FB4887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5670AC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B480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3143B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0B1489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77457F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C0998"/>
    <w:rsid w:val="531E0FBA"/>
    <w:rsid w:val="531F6C33"/>
    <w:rsid w:val="532F5A3F"/>
    <w:rsid w:val="5346574A"/>
    <w:rsid w:val="535059AB"/>
    <w:rsid w:val="536871EA"/>
    <w:rsid w:val="538C72E9"/>
    <w:rsid w:val="539A01AF"/>
    <w:rsid w:val="53A84A9F"/>
    <w:rsid w:val="53C53124"/>
    <w:rsid w:val="53D820C5"/>
    <w:rsid w:val="53D94927"/>
    <w:rsid w:val="53DD5528"/>
    <w:rsid w:val="53F448C8"/>
    <w:rsid w:val="53F45339"/>
    <w:rsid w:val="53FE0B4B"/>
    <w:rsid w:val="54095B51"/>
    <w:rsid w:val="543630E0"/>
    <w:rsid w:val="544A0DB6"/>
    <w:rsid w:val="5456191F"/>
    <w:rsid w:val="5457477E"/>
    <w:rsid w:val="545A5363"/>
    <w:rsid w:val="5469029B"/>
    <w:rsid w:val="546947B9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211E6"/>
    <w:rsid w:val="54F6543C"/>
    <w:rsid w:val="5502747C"/>
    <w:rsid w:val="550A4C45"/>
    <w:rsid w:val="550A528A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069F0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73305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8A2E6F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395A1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162B6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CD380D"/>
    <w:rsid w:val="6EDB288F"/>
    <w:rsid w:val="6EF841B8"/>
    <w:rsid w:val="6EFC3550"/>
    <w:rsid w:val="6F043F0B"/>
    <w:rsid w:val="6F36145A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8E19DA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7A5C02"/>
    <w:rsid w:val="7886537B"/>
    <w:rsid w:val="789A2477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6B133E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56A4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462BAE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764F3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BEEAAB-B75D-463A-8BA3-EE5EF374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9"/>
    <w:next w:val="a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basedOn w:val="a0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="宋体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5">
    <w:name w:val="正文1"/>
    <w:rsid w:val="007761D8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Data\3GPP\Extracts\R2-1811983.doc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CF9DD6-90B1-4EB1-A9BD-7E96362B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1693</Words>
  <Characters>9651</Characters>
  <Application>Microsoft Office Word</Application>
  <DocSecurity>0</DocSecurity>
  <Lines>80</Lines>
  <Paragraphs>22</Paragraphs>
  <ScaleCrop>false</ScaleCrop>
  <Company>www.zte.com.cn</Company>
  <LinksUpToDate>false</LinksUpToDate>
  <CharactersWithSpaces>11322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ZTE(Wenting)</cp:lastModifiedBy>
  <cp:revision>2</cp:revision>
  <cp:lastPrinted>2113-01-01T00:00:00Z</cp:lastPrinted>
  <dcterms:created xsi:type="dcterms:W3CDTF">2023-11-03T07:37:00Z</dcterms:created>
  <dcterms:modified xsi:type="dcterms:W3CDTF">2023-11-03T07:37:00Z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