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#124</w:t>
      </w:r>
      <w:r>
        <w:rPr>
          <w:rFonts w:eastAsia="宋体"/>
          <w:b/>
          <w:szCs w:val="22"/>
          <w:lang w:val="en-US" w:eastAsia="zh-CN" w:bidi="ar"/>
        </w:rPr>
        <w:tab/>
      </w:r>
      <w:r>
        <w:rPr>
          <w:rFonts w:eastAsia="宋体"/>
          <w:b/>
          <w:szCs w:val="22"/>
          <w:lang w:val="en-US" w:eastAsia="zh-CN" w:bidi="ar"/>
        </w:rPr>
        <w:t>R2-2313334</w:t>
      </w:r>
    </w:p>
    <w:p>
      <w:pPr>
        <w:pStyle w:val="53"/>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Chicago</w:t>
      </w:r>
      <w:r>
        <w:rPr>
          <w:rFonts w:hint="eastAsia" w:eastAsia="宋体"/>
          <w:b/>
          <w:szCs w:val="22"/>
          <w:lang w:val="en-US" w:eastAsia="zh-CN" w:bidi="ar"/>
        </w:rPr>
        <w:t xml:space="preserve"> </w:t>
      </w:r>
      <w:r>
        <w:rPr>
          <w:rFonts w:eastAsia="宋体"/>
          <w:b/>
          <w:szCs w:val="22"/>
          <w:lang w:val="en-US" w:eastAsia="zh-CN" w:bidi="ar"/>
        </w:rPr>
        <w:t>13</w:t>
      </w:r>
      <w:r>
        <w:rPr>
          <w:rFonts w:eastAsia="宋体"/>
          <w:b/>
          <w:szCs w:val="22"/>
          <w:vertAlign w:val="superscript"/>
          <w:lang w:val="en-US" w:eastAsia="zh-CN" w:bidi="ar"/>
        </w:rPr>
        <w:t>th</w:t>
      </w:r>
      <w:r>
        <w:rPr>
          <w:rFonts w:eastAsia="宋体"/>
          <w:b/>
          <w:szCs w:val="22"/>
          <w:lang w:val="en-US" w:eastAsia="zh-CN" w:bidi="ar"/>
        </w:rPr>
        <w:t xml:space="preserve"> – </w:t>
      </w:r>
      <w:r>
        <w:rPr>
          <w:rFonts w:hint="eastAsia" w:eastAsia="宋体"/>
          <w:b/>
          <w:szCs w:val="22"/>
          <w:lang w:val="en-US" w:eastAsia="zh-CN" w:bidi="ar"/>
        </w:rPr>
        <w:t>1</w:t>
      </w:r>
      <w:r>
        <w:rPr>
          <w:rFonts w:eastAsia="宋体"/>
          <w:b/>
          <w:szCs w:val="22"/>
          <w:lang w:val="en-US" w:eastAsia="zh-CN" w:bidi="ar"/>
        </w:rPr>
        <w:t>7</w:t>
      </w:r>
      <w:r>
        <w:rPr>
          <w:rFonts w:eastAsia="宋体"/>
          <w:b/>
          <w:szCs w:val="22"/>
          <w:vertAlign w:val="superscript"/>
          <w:lang w:val="en-US" w:eastAsia="zh-CN" w:bidi="ar"/>
        </w:rPr>
        <w:t>th</w:t>
      </w:r>
      <w:r>
        <w:rPr>
          <w:rFonts w:eastAsia="宋体"/>
          <w:b/>
          <w:szCs w:val="22"/>
          <w:lang w:val="en-US" w:eastAsia="zh-CN" w:bidi="ar"/>
        </w:rPr>
        <w:t xml:space="preserve"> Nov, 2023</w:t>
      </w:r>
      <w:r>
        <w:rPr>
          <w:rFonts w:hint="eastAsia" w:eastAsia="宋体"/>
          <w:b/>
          <w:szCs w:val="22"/>
          <w:lang w:val="en-US" w:eastAsia="zh-CN" w:bidi="ar"/>
        </w:rPr>
        <w:t xml:space="preserve"> </w:t>
      </w:r>
    </w:p>
    <w:p>
      <w:pPr>
        <w:overflowPunct w:val="0"/>
        <w:autoSpaceDE w:val="0"/>
        <w:autoSpaceDN w:val="0"/>
        <w:adjustRightInd w:val="0"/>
        <w:snapToGrid w:val="0"/>
        <w:spacing w:before="156" w:beforeLines="50"/>
        <w:textAlignment w:val="baseline"/>
        <w:rPr>
          <w:rFonts w:ascii="Arial" w:hAnsi="Arial" w:cs="Arial"/>
          <w:b/>
          <w:bCs/>
        </w:rPr>
      </w:pPr>
    </w:p>
    <w:p>
      <w:pPr>
        <w:overflowPunct w:val="0"/>
        <w:autoSpaceDE w:val="0"/>
        <w:autoSpaceDN w:val="0"/>
        <w:adjustRightInd w:val="0"/>
        <w:snapToGrid w:val="0"/>
        <w:spacing w:before="156" w:beforeLines="50"/>
        <w:textAlignment w:val="baseline"/>
        <w:rPr>
          <w:rFonts w:ascii="Arial" w:hAnsi="Arial" w:cs="Arial"/>
          <w:b/>
          <w:bCs/>
          <w:snapToGrid w:val="0"/>
        </w:rPr>
      </w:pPr>
      <w:r>
        <w:rPr>
          <w:rFonts w:ascii="Arial" w:hAnsi="Arial" w:cs="Arial"/>
          <w:b/>
          <w:bCs/>
          <w:snapToGrid w:val="0"/>
        </w:rPr>
        <w:t xml:space="preserve">Source: </w:t>
      </w:r>
      <w:r>
        <w:rPr>
          <w:rFonts w:ascii="Arial" w:hAnsi="Arial" w:cs="Arial"/>
          <w:b/>
          <w:bCs/>
          <w:snapToGrid w:val="0"/>
        </w:rPr>
        <w:tab/>
      </w:r>
      <w:r>
        <w:rPr>
          <w:rFonts w:ascii="Arial" w:hAnsi="Arial" w:cs="Arial"/>
          <w:b/>
          <w:bCs/>
          <w:snapToGrid w:val="0"/>
        </w:rPr>
        <w:tab/>
      </w:r>
      <w:r>
        <w:rPr>
          <w:rFonts w:ascii="Arial" w:hAnsi="Arial" w:cs="Arial"/>
          <w:b/>
          <w:bCs/>
          <w:snapToGrid w:val="0"/>
        </w:rPr>
        <w:tab/>
      </w:r>
      <w:r>
        <w:rPr>
          <w:rFonts w:ascii="Arial" w:hAnsi="Arial" w:cs="Arial"/>
          <w:b/>
          <w:bCs/>
          <w:snapToGrid w:val="0"/>
        </w:rPr>
        <w:t>ZTE Corporation</w:t>
      </w:r>
      <w:r>
        <w:rPr>
          <w:rFonts w:hint="eastAsia" w:ascii="Arial" w:hAnsi="Arial" w:cs="Arial"/>
          <w:b/>
          <w:bCs/>
          <w:snapToGrid w:val="0"/>
        </w:rPr>
        <w:t>, Sanechips</w:t>
      </w:r>
    </w:p>
    <w:p>
      <w:pPr>
        <w:overflowPunct w:val="0"/>
        <w:autoSpaceDE w:val="0"/>
        <w:autoSpaceDN w:val="0"/>
        <w:adjustRightInd w:val="0"/>
        <w:snapToGrid w:val="0"/>
        <w:spacing w:before="156" w:beforeLines="50"/>
        <w:ind w:left="2100" w:hanging="2100"/>
        <w:textAlignment w:val="baseline"/>
        <w:rPr>
          <w:rFonts w:ascii="Arial" w:hAnsi="Arial" w:cs="Arial"/>
          <w:b/>
          <w:bCs/>
          <w:snapToGrid w:val="0"/>
        </w:rPr>
      </w:pPr>
      <w:r>
        <w:rPr>
          <w:rFonts w:ascii="Arial" w:hAnsi="Arial" w:cs="Arial"/>
          <w:b/>
          <w:bCs/>
          <w:snapToGrid w:val="0"/>
        </w:rPr>
        <w:t xml:space="preserve">Title: </w:t>
      </w:r>
      <w:r>
        <w:rPr>
          <w:rFonts w:ascii="Arial" w:hAnsi="Arial" w:cs="Arial"/>
          <w:b/>
          <w:bCs/>
          <w:snapToGrid w:val="0"/>
        </w:rPr>
        <w:tab/>
      </w:r>
      <w:r>
        <w:rPr>
          <w:rFonts w:hint="eastAsia" w:ascii="Arial" w:hAnsi="Arial" w:cs="Arial"/>
          <w:b/>
          <w:bCs/>
          <w:snapToGrid w:val="0"/>
        </w:rPr>
        <w:t xml:space="preserve">Consideration </w:t>
      </w:r>
      <w:r>
        <w:rPr>
          <w:rFonts w:ascii="Arial" w:hAnsi="Arial" w:cs="Arial"/>
          <w:b/>
          <w:bCs/>
          <w:snapToGrid w:val="0"/>
        </w:rPr>
        <w:t>on the MN-SN Coordination for the MUSIM</w:t>
      </w:r>
    </w:p>
    <w:p>
      <w:pPr>
        <w:overflowPunct w:val="0"/>
        <w:autoSpaceDE w:val="0"/>
        <w:autoSpaceDN w:val="0"/>
        <w:adjustRightInd w:val="0"/>
        <w:snapToGrid w:val="0"/>
        <w:spacing w:before="156" w:beforeLines="50"/>
        <w:ind w:left="2100" w:hanging="2100"/>
        <w:textAlignment w:val="baseline"/>
        <w:rPr>
          <w:rFonts w:ascii="Arial" w:hAnsi="Arial" w:cs="Arial"/>
          <w:b/>
          <w:bCs/>
          <w:snapToGrid w:val="0"/>
        </w:rPr>
      </w:pPr>
      <w:r>
        <w:rPr>
          <w:rFonts w:ascii="Arial" w:hAnsi="Arial" w:cs="Arial"/>
          <w:b/>
          <w:bCs/>
          <w:snapToGrid w:val="0"/>
        </w:rPr>
        <w:t>Agenda item:</w:t>
      </w:r>
      <w:r>
        <w:rPr>
          <w:rFonts w:ascii="Arial" w:hAnsi="Arial" w:cs="Arial"/>
          <w:b/>
          <w:bCs/>
          <w:snapToGrid w:val="0"/>
        </w:rPr>
        <w:tab/>
      </w:r>
      <w:bookmarkStart w:id="0" w:name="Source"/>
      <w:bookmarkEnd w:id="0"/>
      <w:r>
        <w:rPr>
          <w:rFonts w:ascii="Arial" w:hAnsi="Arial" w:cs="Arial"/>
          <w:b/>
          <w:bCs/>
          <w:snapToGrid w:val="0"/>
        </w:rPr>
        <w:t>7</w:t>
      </w:r>
      <w:r>
        <w:rPr>
          <w:rFonts w:hint="eastAsia" w:ascii="Arial" w:hAnsi="Arial" w:cs="Arial"/>
          <w:b/>
          <w:bCs/>
          <w:snapToGrid w:val="0"/>
        </w:rPr>
        <w:t>.17.</w:t>
      </w:r>
      <w:r>
        <w:rPr>
          <w:rFonts w:ascii="Arial" w:hAnsi="Arial" w:cs="Arial"/>
          <w:b/>
          <w:bCs/>
          <w:snapToGrid w:val="0"/>
        </w:rPr>
        <w:t>2</w:t>
      </w:r>
      <w:r>
        <w:rPr>
          <w:rFonts w:hint="eastAsia" w:ascii="Arial" w:hAnsi="Arial" w:cs="Arial"/>
          <w:b/>
          <w:bCs/>
          <w:snapToGrid w:val="0"/>
        </w:rPr>
        <w:tab/>
      </w:r>
    </w:p>
    <w:p>
      <w:pPr>
        <w:overflowPunct w:val="0"/>
        <w:autoSpaceDE w:val="0"/>
        <w:autoSpaceDN w:val="0"/>
        <w:adjustRightInd w:val="0"/>
        <w:snapToGrid w:val="0"/>
        <w:spacing w:before="156" w:beforeLines="50"/>
        <w:textAlignment w:val="baseline"/>
        <w:rPr>
          <w:rFonts w:ascii="Arial" w:hAnsi="Arial" w:cs="Arial"/>
          <w:b/>
          <w:bCs/>
          <w:snapToGrid w:val="0"/>
        </w:rPr>
      </w:pPr>
      <w:r>
        <w:rPr>
          <w:rFonts w:ascii="Arial" w:hAnsi="Arial" w:cs="Arial"/>
          <w:b/>
          <w:bCs/>
          <w:snapToGrid w:val="0"/>
        </w:rPr>
        <w:t>Document for:</w:t>
      </w:r>
      <w:bookmarkStart w:id="1" w:name="DocumentFor"/>
      <w:bookmarkEnd w:id="1"/>
      <w:r>
        <w:rPr>
          <w:rFonts w:hint="eastAsia" w:ascii="Arial" w:hAnsi="Arial" w:cs="Arial"/>
          <w:b/>
          <w:bCs/>
          <w:snapToGrid w:val="0"/>
        </w:rPr>
        <w:t xml:space="preserve"> </w:t>
      </w:r>
      <w:r>
        <w:rPr>
          <w:rFonts w:ascii="Arial" w:hAnsi="Arial" w:cs="Arial"/>
          <w:b/>
          <w:bCs/>
          <w:snapToGrid w:val="0"/>
        </w:rPr>
        <w:tab/>
      </w:r>
      <w:r>
        <w:rPr>
          <w:rFonts w:ascii="Arial" w:hAnsi="Arial" w:cs="Arial"/>
          <w:b/>
          <w:bCs/>
          <w:snapToGrid w:val="0"/>
        </w:rPr>
        <w:t>Discussion</w:t>
      </w:r>
      <w:r>
        <w:rPr>
          <w:rFonts w:hint="eastAsia" w:ascii="Arial" w:hAnsi="Arial" w:cs="Arial"/>
          <w:b/>
          <w:bCs/>
          <w:snapToGrid w:val="0"/>
        </w:rPr>
        <w:t xml:space="preserve"> and Decision</w:t>
      </w:r>
    </w:p>
    <w:p>
      <w:pPr>
        <w:pStyle w:val="2"/>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sz w:val="21"/>
          <w:szCs w:val="21"/>
        </w:rPr>
      </w:pPr>
      <w:r>
        <w:rPr>
          <w:sz w:val="21"/>
          <w:szCs w:val="21"/>
        </w:rPr>
        <w:t xml:space="preserve">In the last meeting, one agreement was made for the MN-SN coordination.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1" w:type="dxa"/>
          </w:tcPr>
          <w:p>
            <w:pPr>
              <w:pStyle w:val="189"/>
              <w:numPr>
                <w:ilvl w:val="0"/>
                <w:numId w:val="5"/>
              </w:numPr>
              <w:tabs>
                <w:tab w:val="clear" w:pos="1619"/>
              </w:tabs>
              <w:autoSpaceDE w:val="0"/>
              <w:spacing w:after="0" w:line="240" w:lineRule="auto"/>
              <w:ind w:left="820" w:hanging="400"/>
              <w:rPr>
                <w:rFonts w:ascii="Times New Roman" w:hAnsi="Times New Roman"/>
                <w:b w:val="0"/>
                <w:bCs/>
                <w:sz w:val="21"/>
                <w:szCs w:val="21"/>
              </w:rPr>
            </w:pPr>
            <w:r>
              <w:rPr>
                <w:rFonts w:ascii="Times New Roman" w:hAnsi="Times New Roman"/>
                <w:b w:val="0"/>
                <w:sz w:val="21"/>
                <w:szCs w:val="21"/>
              </w:rPr>
              <w:t>For the proactive approach, the MN can indicate the forbidden/affected band information (for the MUSIM purpose) to the SN. FFS for the reactive case.</w:t>
            </w:r>
          </w:p>
        </w:tc>
      </w:tr>
    </w:tbl>
    <w:p>
      <w:pPr>
        <w:rPr>
          <w:sz w:val="21"/>
          <w:szCs w:val="21"/>
        </w:rPr>
      </w:pPr>
      <w:r>
        <w:rPr>
          <w:sz w:val="21"/>
          <w:szCs w:val="21"/>
        </w:rPr>
        <w:t>Based on this agreement, some further issues were discussed in the post email discussion. In this paper, we share our views on the MN-SN coordination based on the companies’ inputs.</w:t>
      </w:r>
    </w:p>
    <w:p>
      <w:pPr>
        <w:pStyle w:val="2"/>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jc w:val="both"/>
        <w:rPr>
          <w:b/>
          <w:bCs/>
          <w:sz w:val="21"/>
          <w:szCs w:val="21"/>
          <w:u w:val="single"/>
        </w:rPr>
      </w:pPr>
      <w:r>
        <w:rPr>
          <w:sz w:val="21"/>
          <w:szCs w:val="21"/>
        </w:rPr>
        <w:t>In this chapter, we first discuss MN-SN coordination on the forbidden BC/Band, and then analyze MN-SN coordination on the affected BC/Band</w:t>
      </w:r>
      <w:r>
        <w:rPr>
          <w:rFonts w:hint="eastAsia"/>
          <w:sz w:val="21"/>
          <w:szCs w:val="21"/>
        </w:rPr>
        <w:t>,</w:t>
      </w:r>
      <w:r>
        <w:rPr>
          <w:sz w:val="21"/>
          <w:szCs w:val="21"/>
        </w:rPr>
        <w:t xml:space="preserve"> at last we will share our views on the MN-SN coordination for the reactive case.</w:t>
      </w:r>
    </w:p>
    <w:p>
      <w:pPr>
        <w:rPr>
          <w:b/>
          <w:bCs/>
          <w:sz w:val="21"/>
          <w:szCs w:val="21"/>
          <w:u w:val="single"/>
        </w:rPr>
      </w:pPr>
      <w:r>
        <w:rPr>
          <w:b/>
          <w:bCs/>
          <w:sz w:val="21"/>
          <w:szCs w:val="21"/>
          <w:u w:val="single"/>
        </w:rPr>
        <w:t>MN-SN coordination on the forbidden BC/Band</w:t>
      </w:r>
    </w:p>
    <w:p>
      <w:pPr>
        <w:rPr>
          <w:b/>
          <w:bCs/>
          <w:sz w:val="21"/>
          <w:szCs w:val="21"/>
          <w:u w:val="single"/>
        </w:rPr>
      </w:pPr>
    </w:p>
    <w:p>
      <w:pPr>
        <w:rPr>
          <w:sz w:val="21"/>
          <w:szCs w:val="21"/>
        </w:rPr>
      </w:pPr>
      <w:r>
        <w:rPr>
          <w:sz w:val="21"/>
          <w:szCs w:val="21"/>
        </w:rPr>
        <w:t>For the MN-SN coordination on the forbidden BC/Band</w:t>
      </w:r>
      <w:r>
        <w:rPr>
          <w:kern w:val="2"/>
          <w:sz w:val="21"/>
          <w:szCs w:val="21"/>
        </w:rPr>
        <w:t>,</w:t>
      </w:r>
      <w:r>
        <w:rPr>
          <w:sz w:val="21"/>
          <w:szCs w:val="21"/>
        </w:rPr>
        <w:t xml:space="preserve"> according to the email discussion there are two options:</w:t>
      </w:r>
    </w:p>
    <w:p>
      <w:pPr>
        <w:pStyle w:val="70"/>
        <w:numPr>
          <w:ilvl w:val="0"/>
          <w:numId w:val="6"/>
        </w:numPr>
        <w:ind w:firstLineChars="0"/>
        <w:rPr>
          <w:rFonts w:eastAsia="宋体"/>
          <w:sz w:val="21"/>
          <w:szCs w:val="21"/>
        </w:rPr>
      </w:pPr>
      <w:r>
        <w:rPr>
          <w:rFonts w:eastAsia="宋体"/>
          <w:sz w:val="21"/>
          <w:szCs w:val="21"/>
        </w:rPr>
        <w:t>Option 1: selectedBandEntriesMNList</w:t>
      </w:r>
    </w:p>
    <w:p>
      <w:pPr>
        <w:pStyle w:val="70"/>
        <w:numPr>
          <w:ilvl w:val="0"/>
          <w:numId w:val="6"/>
        </w:numPr>
        <w:ind w:firstLineChars="0"/>
        <w:rPr>
          <w:rFonts w:eastAsia="宋体"/>
          <w:sz w:val="21"/>
          <w:szCs w:val="21"/>
        </w:rPr>
      </w:pPr>
      <w:r>
        <w:rPr>
          <w:rFonts w:eastAsia="宋体"/>
          <w:sz w:val="21"/>
          <w:szCs w:val="21"/>
        </w:rPr>
        <w:t xml:space="preserve">Option 2: </w:t>
      </w:r>
      <w:bookmarkStart w:id="2" w:name="OLE_LINK1"/>
      <w:bookmarkStart w:id="3" w:name="OLE_LINK2"/>
      <w:r>
        <w:rPr>
          <w:rFonts w:eastAsia="宋体"/>
          <w:sz w:val="21"/>
          <w:szCs w:val="21"/>
        </w:rPr>
        <w:t>ueAssistanceInformationSourceSCG</w:t>
      </w:r>
      <w:bookmarkEnd w:id="2"/>
      <w:bookmarkEnd w:id="3"/>
    </w:p>
    <w:p>
      <w:pPr>
        <w:jc w:val="both"/>
        <w:rPr>
          <w:sz w:val="21"/>
          <w:szCs w:val="21"/>
        </w:rPr>
      </w:pPr>
      <w:r>
        <w:rPr>
          <w:sz w:val="21"/>
          <w:szCs w:val="21"/>
        </w:rPr>
        <w:t>With option 1, to indicate the forbidden band entries, the MN can include both the selected band entries by the MN and the forbidden band entries in the existing SelectedBandEntriesMN, so that then the SN would not configure the UE with cells on these band entries, which would be quite simple and straightforward.</w:t>
      </w:r>
    </w:p>
    <w:p>
      <w:pPr>
        <w:jc w:val="both"/>
        <w:rPr>
          <w:sz w:val="21"/>
          <w:szCs w:val="21"/>
        </w:rPr>
      </w:pPr>
      <w:r>
        <w:rPr>
          <w:sz w:val="21"/>
          <w:szCs w:val="21"/>
        </w:rPr>
        <w:t>With option 2, if we go the definition of the ueAssistanceInformationSourceSCG, we can find that the ueAssistanceInformationSourceSCG was introduced for the cell-group based UAI reporting. Just as one company commented in the offline, t</w:t>
      </w:r>
      <w:r>
        <w:rPr>
          <w:rFonts w:eastAsia="等线"/>
          <w:bCs/>
          <w:sz w:val="21"/>
          <w:szCs w:val="21"/>
        </w:rPr>
        <w:t>he MUSIM UAI is not cell-group specific, so how this can be reused is not clear.</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1" w:type="dxa"/>
          </w:tcPr>
          <w:p>
            <w:pPr>
              <w:rPr>
                <w:rFonts w:eastAsia="Malgun Gothic"/>
                <w:sz w:val="21"/>
                <w:szCs w:val="21"/>
                <w:lang w:eastAsia="en-US"/>
              </w:rPr>
            </w:pPr>
            <w:r>
              <w:rPr>
                <w:rFonts w:eastAsia="Malgun Gothic"/>
                <w:b/>
                <w:bCs/>
                <w:i/>
                <w:iCs/>
                <w:color w:val="000000"/>
                <w:sz w:val="21"/>
                <w:szCs w:val="21"/>
                <w:lang w:eastAsia="en-US"/>
              </w:rPr>
              <w:t xml:space="preserve">ueAssistanceInformationSourceSCG </w:t>
            </w:r>
          </w:p>
          <w:p>
            <w:pPr>
              <w:rPr>
                <w:rFonts w:eastAsia="Malgun Gothic"/>
                <w:sz w:val="21"/>
                <w:szCs w:val="21"/>
                <w:lang w:eastAsia="en-US"/>
              </w:rPr>
            </w:pPr>
            <w:r>
              <w:rPr>
                <w:rFonts w:eastAsia="Malgun Gothic"/>
                <w:color w:val="000000"/>
                <w:sz w:val="21"/>
                <w:szCs w:val="21"/>
                <w:lang w:eastAsia="en-US"/>
              </w:rPr>
              <w:t xml:space="preserve">Includes for each UE assistance feature associated with the SCG, the information last reported by the UE in the NR </w:t>
            </w:r>
            <w:r>
              <w:rPr>
                <w:rFonts w:eastAsia="Malgun Gothic"/>
                <w:i/>
                <w:iCs/>
                <w:color w:val="000000"/>
                <w:sz w:val="21"/>
                <w:szCs w:val="21"/>
                <w:lang w:eastAsia="en-US"/>
              </w:rPr>
              <w:t>UEAssistanceInformation</w:t>
            </w:r>
            <w:r>
              <w:rPr>
                <w:rFonts w:eastAsia="Malgun Gothic"/>
                <w:color w:val="000000"/>
                <w:sz w:val="21"/>
                <w:szCs w:val="21"/>
                <w:lang w:eastAsia="en-US"/>
              </w:rPr>
              <w:t xml:space="preserve"> message for the source SCG, if </w:t>
            </w:r>
            <w:r>
              <w:rPr>
                <w:rFonts w:eastAsia="宋体"/>
                <w:color w:val="000000"/>
                <w:sz w:val="21"/>
                <w:szCs w:val="21"/>
                <w:lang w:eastAsia="zh-CN"/>
              </w:rPr>
              <w:t>any.</w:t>
            </w:r>
          </w:p>
        </w:tc>
      </w:tr>
    </w:tbl>
    <w:p>
      <w:pPr>
        <w:jc w:val="both"/>
        <w:rPr>
          <w:sz w:val="21"/>
          <w:szCs w:val="21"/>
        </w:rPr>
      </w:pPr>
      <w:r>
        <w:rPr>
          <w:sz w:val="21"/>
          <w:szCs w:val="21"/>
        </w:rPr>
        <w:t>Furthermore, if goes to the option 2, it also means that the SN node need to check the MUSIM forbidden band/BC again, which would also increase the SN side’s work load unnecessarily.</w:t>
      </w:r>
    </w:p>
    <w:p>
      <w:pPr>
        <w:rPr>
          <w:b/>
          <w:sz w:val="21"/>
          <w:szCs w:val="21"/>
        </w:rPr>
      </w:pPr>
      <w:r>
        <w:rPr>
          <w:b/>
          <w:sz w:val="21"/>
          <w:szCs w:val="21"/>
        </w:rPr>
        <w:t xml:space="preserve">Proposal 1: The MN can indicate the forbidden band entries (for the MUSIM purpose) info to the SN by reusing the existing </w:t>
      </w:r>
      <w:r>
        <w:rPr>
          <w:b/>
          <w:i/>
          <w:sz w:val="21"/>
          <w:szCs w:val="21"/>
        </w:rPr>
        <w:t>selectedBandEntriesMNList.</w:t>
      </w:r>
    </w:p>
    <w:p>
      <w:pPr>
        <w:rPr>
          <w:b/>
          <w:sz w:val="21"/>
          <w:szCs w:val="21"/>
        </w:rPr>
      </w:pPr>
    </w:p>
    <w:p>
      <w:pPr>
        <w:rPr>
          <w:b/>
          <w:bCs/>
          <w:sz w:val="21"/>
          <w:szCs w:val="21"/>
          <w:u w:val="single"/>
        </w:rPr>
      </w:pPr>
      <w:r>
        <w:rPr>
          <w:b/>
          <w:bCs/>
          <w:sz w:val="21"/>
          <w:szCs w:val="21"/>
          <w:u w:val="single"/>
        </w:rPr>
        <w:t>MN-SN coordination on the Affected BC/Band</w:t>
      </w:r>
    </w:p>
    <w:p>
      <w:pPr>
        <w:rPr>
          <w:sz w:val="21"/>
          <w:szCs w:val="21"/>
        </w:rPr>
      </w:pPr>
      <w:r>
        <w:rPr>
          <w:sz w:val="21"/>
          <w:szCs w:val="21"/>
        </w:rPr>
        <w:t>Similarly for the MN-SN coordination on the affected BC/Band</w:t>
      </w:r>
      <w:r>
        <w:rPr>
          <w:kern w:val="2"/>
          <w:sz w:val="21"/>
          <w:szCs w:val="21"/>
        </w:rPr>
        <w:t>,</w:t>
      </w:r>
      <w:r>
        <w:rPr>
          <w:sz w:val="21"/>
          <w:szCs w:val="21"/>
        </w:rPr>
        <w:t xml:space="preserve"> there are two options:</w:t>
      </w:r>
    </w:p>
    <w:p>
      <w:pPr>
        <w:pStyle w:val="70"/>
        <w:numPr>
          <w:ilvl w:val="0"/>
          <w:numId w:val="6"/>
        </w:numPr>
        <w:ind w:firstLineChars="0"/>
        <w:rPr>
          <w:rFonts w:eastAsia="宋体"/>
          <w:sz w:val="21"/>
          <w:szCs w:val="21"/>
        </w:rPr>
      </w:pPr>
      <w:r>
        <w:rPr>
          <w:rFonts w:eastAsia="宋体"/>
          <w:sz w:val="21"/>
          <w:szCs w:val="21"/>
        </w:rPr>
        <w:t>Option 1: The MN indicates the capability restriction info on the allowed SN band to the SN explicitly;</w:t>
      </w:r>
    </w:p>
    <w:p>
      <w:pPr>
        <w:pStyle w:val="70"/>
        <w:numPr>
          <w:ilvl w:val="0"/>
          <w:numId w:val="6"/>
        </w:numPr>
        <w:ind w:firstLineChars="0"/>
        <w:rPr>
          <w:rFonts w:eastAsia="宋体"/>
          <w:sz w:val="21"/>
          <w:szCs w:val="21"/>
        </w:rPr>
      </w:pPr>
      <w:r>
        <w:rPr>
          <w:rFonts w:eastAsia="宋体"/>
          <w:sz w:val="21"/>
          <w:szCs w:val="21"/>
        </w:rPr>
        <w:t xml:space="preserve">Option 2: Then MN forward the temporary capability restriction info to the SN through </w:t>
      </w:r>
      <w:r>
        <w:rPr>
          <w:rFonts w:eastAsia="宋体"/>
          <w:i/>
          <w:sz w:val="21"/>
          <w:szCs w:val="21"/>
        </w:rPr>
        <w:t>ueAssistanceInformationSourceSCG,</w:t>
      </w:r>
      <w:r>
        <w:rPr>
          <w:rFonts w:eastAsia="宋体"/>
          <w:sz w:val="21"/>
          <w:szCs w:val="21"/>
        </w:rPr>
        <w:t xml:space="preserve"> and the SN make the final decision.</w:t>
      </w:r>
    </w:p>
    <w:p>
      <w:pPr>
        <w:rPr>
          <w:sz w:val="21"/>
          <w:szCs w:val="21"/>
        </w:rPr>
      </w:pPr>
      <w:r>
        <w:rPr>
          <w:sz w:val="21"/>
          <w:szCs w:val="21"/>
        </w:rPr>
        <w:t>With the option 1, similar to the forbidden case, it’s quite straightforward for the MN to make the decision as shown in the Fig 1</w:t>
      </w:r>
    </w:p>
    <w:p>
      <w:r>
        <w:drawing>
          <wp:inline distT="0" distB="0" distL="0" distR="0">
            <wp:extent cx="6029325" cy="27336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6029325" cy="2733675"/>
                    </a:xfrm>
                    <a:prstGeom prst="rect">
                      <a:avLst/>
                    </a:prstGeom>
                  </pic:spPr>
                </pic:pic>
              </a:graphicData>
            </a:graphic>
          </wp:inline>
        </w:drawing>
      </w:r>
    </w:p>
    <w:p>
      <w:pPr>
        <w:jc w:val="center"/>
        <w:rPr>
          <w:b/>
        </w:rPr>
      </w:pPr>
      <w:r>
        <w:rPr>
          <w:rFonts w:hint="eastAsia"/>
          <w:b/>
        </w:rPr>
        <w:t>F</w:t>
      </w:r>
      <w:r>
        <w:rPr>
          <w:b/>
        </w:rPr>
        <w:t>ig1: MN-SN Coordination for the MUSIM</w:t>
      </w:r>
    </w:p>
    <w:p>
      <w:pPr>
        <w:jc w:val="both"/>
        <w:rPr>
          <w:sz w:val="21"/>
          <w:szCs w:val="21"/>
        </w:rPr>
      </w:pPr>
      <w:r>
        <w:rPr>
          <w:sz w:val="21"/>
          <w:szCs w:val="21"/>
        </w:rPr>
        <w:t xml:space="preserve">With the option 2, as analyzed above the MUSIM UAI is not cell-group specific, so how this can be reused is not clear. Furthermore, as we commented in the email discussion, for some cases </w:t>
      </w:r>
      <w:r>
        <w:rPr>
          <w:rFonts w:hint="eastAsia"/>
          <w:sz w:val="21"/>
          <w:szCs w:val="21"/>
        </w:rPr>
        <w:t>only forwarding the UAI to the SN would not be enough</w:t>
      </w:r>
      <w:r>
        <w:rPr>
          <w:sz w:val="21"/>
          <w:szCs w:val="21"/>
        </w:rPr>
        <w:t xml:space="preserve"> for that there may be different restrictions for a BC. </w:t>
      </w:r>
    </w:p>
    <w:p>
      <w:pPr>
        <w:jc w:val="both"/>
        <w:rPr>
          <w:sz w:val="21"/>
          <w:szCs w:val="21"/>
        </w:rPr>
      </w:pPr>
      <w:r>
        <w:rPr>
          <w:sz w:val="21"/>
          <w:szCs w:val="21"/>
        </w:rPr>
        <w:t>Take BC1 with Band1+2 as an example: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1" w:type="dxa"/>
          </w:tcPr>
          <w:p>
            <w:pPr>
              <w:rPr>
                <w:rFonts w:eastAsia="宋体"/>
                <w:sz w:val="21"/>
                <w:szCs w:val="21"/>
                <w:lang w:eastAsia="en-US"/>
              </w:rPr>
            </w:pPr>
            <w:r>
              <w:rPr>
                <w:rFonts w:eastAsia="宋体"/>
                <w:sz w:val="21"/>
                <w:szCs w:val="21"/>
                <w:lang w:eastAsia="en-US"/>
              </w:rPr>
              <w:t xml:space="preserve">Band 1: </w:t>
            </w:r>
            <w:r>
              <w:rPr>
                <w:rFonts w:eastAsia="Malgun Gothic"/>
                <w:sz w:val="21"/>
                <w:szCs w:val="21"/>
                <w:lang w:eastAsia="en-US"/>
              </w:rPr>
              <w:t xml:space="preserve">DL </w:t>
            </w:r>
            <w:r>
              <w:rPr>
                <w:rFonts w:eastAsia="宋体"/>
                <w:sz w:val="21"/>
                <w:szCs w:val="21"/>
                <w:lang w:eastAsia="en-US"/>
              </w:rPr>
              <w:t xml:space="preserve">MIMO layer =2  and Band 2 </w:t>
            </w:r>
            <w:r>
              <w:rPr>
                <w:rFonts w:eastAsia="Malgun Gothic"/>
                <w:sz w:val="21"/>
                <w:szCs w:val="21"/>
                <w:lang w:eastAsia="en-US"/>
              </w:rPr>
              <w:t xml:space="preserve">DL </w:t>
            </w:r>
            <w:r>
              <w:rPr>
                <w:rFonts w:eastAsia="宋体"/>
                <w:sz w:val="21"/>
                <w:szCs w:val="21"/>
                <w:lang w:eastAsia="en-US"/>
              </w:rPr>
              <w:t xml:space="preserve">MIMO layer = 4  or </w:t>
            </w:r>
          </w:p>
          <w:p>
            <w:pPr>
              <w:rPr>
                <w:rFonts w:eastAsia="Malgun Gothic"/>
                <w:sz w:val="21"/>
                <w:szCs w:val="21"/>
                <w:lang w:eastAsia="en-US"/>
              </w:rPr>
            </w:pPr>
            <w:r>
              <w:rPr>
                <w:rFonts w:eastAsia="宋体"/>
                <w:sz w:val="21"/>
                <w:szCs w:val="21"/>
                <w:lang w:eastAsia="en-US"/>
              </w:rPr>
              <w:t xml:space="preserve">Band 1: </w:t>
            </w:r>
            <w:r>
              <w:rPr>
                <w:rFonts w:eastAsia="Malgun Gothic"/>
                <w:sz w:val="21"/>
                <w:szCs w:val="21"/>
                <w:lang w:eastAsia="en-US"/>
              </w:rPr>
              <w:t xml:space="preserve">DL </w:t>
            </w:r>
            <w:r>
              <w:rPr>
                <w:rFonts w:eastAsia="宋体"/>
                <w:sz w:val="21"/>
                <w:szCs w:val="21"/>
                <w:lang w:eastAsia="en-US"/>
              </w:rPr>
              <w:t xml:space="preserve">MIMO layer =4  and Band 2 </w:t>
            </w:r>
            <w:r>
              <w:rPr>
                <w:rFonts w:eastAsia="Malgun Gothic"/>
                <w:sz w:val="21"/>
                <w:szCs w:val="21"/>
                <w:lang w:eastAsia="en-US"/>
              </w:rPr>
              <w:t xml:space="preserve">DL </w:t>
            </w:r>
            <w:r>
              <w:rPr>
                <w:rFonts w:eastAsia="宋体"/>
                <w:sz w:val="21"/>
                <w:szCs w:val="21"/>
                <w:lang w:eastAsia="en-US"/>
              </w:rPr>
              <w:t xml:space="preserve">MIMO layer = 2  </w:t>
            </w:r>
          </w:p>
        </w:tc>
      </w:tr>
    </w:tbl>
    <w:p>
      <w:pPr>
        <w:jc w:val="both"/>
        <w:rPr>
          <w:sz w:val="21"/>
          <w:szCs w:val="21"/>
        </w:rPr>
      </w:pPr>
      <w:r>
        <w:rPr>
          <w:sz w:val="21"/>
          <w:szCs w:val="21"/>
        </w:rPr>
        <w:t>The MN need to determine the MIMO layer at MN side first (e.g. MN select band 1 with MIMO layer = 4),</w:t>
      </w:r>
      <w:r>
        <w:rPr>
          <w:rFonts w:hint="eastAsia"/>
          <w:sz w:val="21"/>
          <w:szCs w:val="21"/>
        </w:rPr>
        <w:t xml:space="preserve"> then the SN side MIMO layer can be further determined</w:t>
      </w:r>
      <w:r>
        <w:rPr>
          <w:sz w:val="21"/>
          <w:szCs w:val="21"/>
        </w:rPr>
        <w:t xml:space="preserve"> (e.g. SN can only select band 2 with MIMO layer 2)</w:t>
      </w:r>
      <w:r>
        <w:rPr>
          <w:rFonts w:hint="eastAsia"/>
          <w:sz w:val="21"/>
          <w:szCs w:val="21"/>
        </w:rPr>
        <w:t>.</w:t>
      </w:r>
      <w:r>
        <w:rPr>
          <w:sz w:val="21"/>
          <w:szCs w:val="21"/>
        </w:rPr>
        <w:t xml:space="preserve"> </w:t>
      </w:r>
      <w:r>
        <w:rPr>
          <w:rFonts w:hint="eastAsia"/>
          <w:sz w:val="21"/>
          <w:szCs w:val="21"/>
        </w:rPr>
        <w:t>If only forward the UAI to the SN, the SN can</w:t>
      </w:r>
      <w:r>
        <w:rPr>
          <w:sz w:val="21"/>
          <w:szCs w:val="21"/>
        </w:rPr>
        <w:t>’</w:t>
      </w:r>
      <w:r>
        <w:rPr>
          <w:rFonts w:hint="eastAsia"/>
          <w:sz w:val="21"/>
          <w:szCs w:val="21"/>
        </w:rPr>
        <w:t>t make final decision without MN side</w:t>
      </w:r>
      <w:r>
        <w:rPr>
          <w:sz w:val="21"/>
          <w:szCs w:val="21"/>
        </w:rPr>
        <w:t>’</w:t>
      </w:r>
      <w:r>
        <w:rPr>
          <w:rFonts w:hint="eastAsia"/>
          <w:sz w:val="21"/>
          <w:szCs w:val="21"/>
        </w:rPr>
        <w:t xml:space="preserve">s MIMO layer </w:t>
      </w:r>
      <w:r>
        <w:rPr>
          <w:sz w:val="21"/>
          <w:szCs w:val="21"/>
        </w:rPr>
        <w:t>information</w:t>
      </w:r>
      <w:r>
        <w:rPr>
          <w:rFonts w:hint="eastAsia"/>
          <w:sz w:val="21"/>
          <w:szCs w:val="21"/>
        </w:rPr>
        <w:t>.</w:t>
      </w:r>
      <w:r>
        <w:rPr>
          <w:sz w:val="21"/>
          <w:szCs w:val="21"/>
        </w:rPr>
        <w:t xml:space="preserve"> </w:t>
      </w:r>
    </w:p>
    <w:p>
      <w:pPr>
        <w:jc w:val="both"/>
        <w:rPr>
          <w:sz w:val="21"/>
          <w:szCs w:val="21"/>
        </w:rPr>
      </w:pPr>
      <w:r>
        <w:rPr>
          <w:sz w:val="21"/>
          <w:szCs w:val="21"/>
        </w:rPr>
        <w:t xml:space="preserve"> </w:t>
      </w:r>
    </w:p>
    <w:p>
      <w:pPr>
        <w:jc w:val="both"/>
        <w:rPr>
          <w:sz w:val="21"/>
          <w:szCs w:val="21"/>
        </w:rPr>
      </w:pPr>
      <w:r>
        <w:rPr>
          <w:sz w:val="21"/>
          <w:szCs w:val="21"/>
        </w:rPr>
        <w:t>In the above example, only MIMO layer was considered, now according to the email discussion, companies agree that the bandwidth restriction shall also be reported, thus it shall be allowed to report multiple restrictions for one BC. In the current Asn.1 coding, it can also support to report multiple restrictions for one BC (e.g. by including this BC for more than 1 times).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olor w:val="808080"/>
          <w:sz w:val="16"/>
          <w:szCs w:val="20"/>
          <w:lang w:val="en-GB" w:eastAsia="en-GB"/>
        </w:rPr>
      </w:pPr>
      <w:r>
        <w:rPr>
          <w:rFonts w:ascii="Courier New" w:hAnsi="Courier New" w:eastAsia="等线"/>
          <w:sz w:val="16"/>
          <w:szCs w:val="20"/>
          <w:lang w:val="en-GB"/>
        </w:rPr>
        <w:t>MUSIM-AffectedBandCombList-r18</w:t>
      </w:r>
      <w:r>
        <w:rPr>
          <w:rFonts w:ascii="Courier New" w:hAnsi="Courier New" w:eastAsia="Times New Roman"/>
          <w:color w:val="993366"/>
          <w:sz w:val="16"/>
          <w:szCs w:val="20"/>
          <w:lang w:val="en-GB" w:eastAsia="en-GB"/>
        </w:rPr>
        <w:t xml:space="preserve"> </w:t>
      </w:r>
      <w:r>
        <w:rPr>
          <w:rFonts w:ascii="Courier New" w:hAnsi="Courier New" w:eastAsia="Times New Roman"/>
          <w:sz w:val="16"/>
          <w:szCs w:val="20"/>
          <w:lang w:val="en-GB" w:eastAsia="en-GB"/>
        </w:rPr>
        <w:t xml:space="preserve"> ::=  </w:t>
      </w:r>
      <w:r>
        <w:rPr>
          <w:rFonts w:ascii="Courier New" w:hAnsi="Courier New" w:eastAsia="Times New Roman"/>
          <w:color w:val="993366"/>
          <w:sz w:val="16"/>
          <w:szCs w:val="20"/>
          <w:lang w:val="en-GB" w:eastAsia="en-GB"/>
        </w:rPr>
        <w:t>SEQUENCE</w:t>
      </w:r>
      <w:r>
        <w:rPr>
          <w:rFonts w:ascii="Courier New" w:hAnsi="Courier New" w:eastAsia="Times New Roman"/>
          <w:sz w:val="16"/>
          <w:szCs w:val="20"/>
          <w:lang w:val="en-GB" w:eastAsia="en-GB"/>
        </w:rPr>
        <w:t xml:space="preserve"> (</w:t>
      </w:r>
      <w:r>
        <w:rPr>
          <w:rFonts w:ascii="Courier New" w:hAnsi="Courier New" w:eastAsia="Times New Roman"/>
          <w:color w:val="993366"/>
          <w:sz w:val="16"/>
          <w:szCs w:val="20"/>
          <w:lang w:val="en-GB" w:eastAsia="en-GB"/>
        </w:rPr>
        <w:t>SIZE</w:t>
      </w:r>
      <w:r>
        <w:rPr>
          <w:rFonts w:ascii="Courier New" w:hAnsi="Courier New" w:eastAsia="Times New Roman"/>
          <w:sz w:val="16"/>
          <w:szCs w:val="20"/>
          <w:lang w:val="en-GB" w:eastAsia="en-GB"/>
        </w:rPr>
        <w:t xml:space="preserve"> (1..maxBandComb))</w:t>
      </w:r>
      <w:r>
        <w:rPr>
          <w:rFonts w:ascii="Courier New" w:hAnsi="Courier New" w:eastAsia="Times New Roman"/>
          <w:color w:val="993366"/>
          <w:sz w:val="16"/>
          <w:szCs w:val="20"/>
          <w:lang w:val="en-GB" w:eastAsia="en-GB"/>
        </w:rPr>
        <w:t xml:space="preserve"> OF</w:t>
      </w:r>
      <w:r>
        <w:rPr>
          <w:rFonts w:ascii="Courier New" w:hAnsi="Courier New" w:eastAsia="Times New Roman"/>
          <w:sz w:val="16"/>
          <w:szCs w:val="20"/>
          <w:lang w:val="en-GB" w:eastAsia="en-GB"/>
        </w:rPr>
        <w:t xml:space="preserve"> MUSIM-</w:t>
      </w:r>
      <w:r>
        <w:rPr>
          <w:rFonts w:ascii="Courier New" w:hAnsi="Courier New" w:eastAsia="等线"/>
          <w:sz w:val="16"/>
          <w:szCs w:val="20"/>
          <w:lang w:val="en-GB"/>
        </w:rPr>
        <w:t>Affected</w:t>
      </w:r>
      <w:r>
        <w:rPr>
          <w:rFonts w:ascii="Courier New" w:hAnsi="Courier New" w:eastAsia="Times New Roman"/>
          <w:sz w:val="16"/>
          <w:szCs w:val="20"/>
          <w:lang w:val="en-GB" w:eastAsia="en-GB"/>
        </w:rPr>
        <w:t xml:space="preserve">BandComb-r18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sz w:val="16"/>
          <w:szCs w:val="20"/>
          <w:lang w:val="en-GB" w:eastAsia="en-GB"/>
        </w:rPr>
      </w:pPr>
      <w:r>
        <w:rPr>
          <w:rFonts w:ascii="Courier New" w:hAnsi="Courier New" w:eastAsia="Times New Roman"/>
          <w:sz w:val="16"/>
          <w:szCs w:val="20"/>
          <w:lang w:val="en-GB" w:eastAsia="en-GB"/>
        </w:rPr>
        <w:t>MUSIM-</w:t>
      </w:r>
      <w:r>
        <w:rPr>
          <w:rFonts w:ascii="Courier New" w:hAnsi="Courier New" w:eastAsia="等线"/>
          <w:sz w:val="16"/>
          <w:szCs w:val="20"/>
          <w:lang w:val="en-GB"/>
        </w:rPr>
        <w:t>Affected</w:t>
      </w:r>
      <w:r>
        <w:rPr>
          <w:rFonts w:ascii="Courier New" w:hAnsi="Courier New" w:eastAsia="Times New Roman"/>
          <w:sz w:val="16"/>
          <w:szCs w:val="20"/>
          <w:lang w:val="en-GB" w:eastAsia="en-GB"/>
        </w:rPr>
        <w:t>BandComb-r18</w:t>
      </w:r>
      <w:r>
        <w:rPr>
          <w:rFonts w:ascii="Courier New" w:hAnsi="Courier New" w:eastAsia="Times New Roman"/>
          <w:color w:val="993366"/>
          <w:sz w:val="16"/>
          <w:szCs w:val="20"/>
          <w:lang w:val="en-GB" w:eastAsia="en-GB"/>
        </w:rPr>
        <w:t xml:space="preserve"> </w:t>
      </w:r>
      <w:r>
        <w:rPr>
          <w:rFonts w:ascii="Courier New" w:hAnsi="Courier New" w:eastAsia="Times New Roman"/>
          <w:sz w:val="16"/>
          <w:szCs w:val="20"/>
          <w:lang w:val="en-GB" w:eastAsia="en-GB"/>
        </w:rPr>
        <w:t xml:space="preserve"> ::= </w:t>
      </w:r>
      <w:r>
        <w:rPr>
          <w:rFonts w:ascii="Courier New" w:hAnsi="Courier New" w:eastAsia="Times New Roman"/>
          <w:color w:val="993366"/>
          <w:sz w:val="16"/>
          <w:szCs w:val="20"/>
          <w:lang w:val="en-GB" w:eastAsia="en-GB"/>
        </w:rPr>
        <w:t>SEQUENCE</w:t>
      </w:r>
      <w:r>
        <w:rPr>
          <w:rFonts w:ascii="Courier New" w:hAnsi="Courier New" w:eastAsia="Times New Roman"/>
          <w:sz w:val="16"/>
          <w:szCs w:val="20"/>
          <w:lang w:val="en-GB" w:eastAsia="en-GB"/>
        </w:rPr>
        <w:t xml:space="preserve"> (</w:t>
      </w:r>
      <w:r>
        <w:rPr>
          <w:rFonts w:ascii="Courier New" w:hAnsi="Courier New" w:eastAsia="Times New Roman"/>
          <w:color w:val="993366"/>
          <w:sz w:val="16"/>
          <w:szCs w:val="20"/>
          <w:lang w:val="en-GB" w:eastAsia="en-GB"/>
        </w:rPr>
        <w:t xml:space="preserve">SIZE </w:t>
      </w:r>
      <w:r>
        <w:rPr>
          <w:rFonts w:ascii="Courier New" w:hAnsi="Courier New" w:eastAsia="Times New Roman"/>
          <w:sz w:val="16"/>
          <w:szCs w:val="20"/>
          <w:lang w:val="en-GB" w:eastAsia="en-GB"/>
        </w:rPr>
        <w:t xml:space="preserve">(1.. maxSimultaneousBands)) OF MUSIM-CapabilityRestrictedBandParameters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sz w:val="16"/>
          <w:szCs w:val="20"/>
          <w:lang w:val="en-GB" w:eastAsia="en-GB"/>
        </w:rPr>
      </w:pPr>
      <w:r>
        <w:rPr>
          <w:rFonts w:ascii="Courier New" w:hAnsi="Courier New" w:eastAsia="Times New Roman"/>
          <w:sz w:val="16"/>
          <w:szCs w:val="20"/>
          <w:lang w:val="en-GB" w:eastAsia="en-GB"/>
        </w:rPr>
        <w:t xml:space="preserve">MUSIM-CapabilityRestrictedBandParameters            ::=    </w:t>
      </w:r>
      <w:r>
        <w:rPr>
          <w:rFonts w:ascii="Courier New" w:hAnsi="Courier New" w:eastAsia="Times New Roman"/>
          <w:color w:val="993366"/>
          <w:sz w:val="16"/>
          <w:szCs w:val="20"/>
          <w:lang w:val="en-GB" w:eastAsia="en-GB"/>
        </w:rPr>
        <w:t>SEQUENCE</w:t>
      </w:r>
      <w:r>
        <w:rPr>
          <w:rFonts w:ascii="Courier New" w:hAnsi="Courier New" w:eastAsia="Times New Roman"/>
          <w:sz w:val="16"/>
          <w:szCs w:val="20"/>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sz w:val="16"/>
          <w:szCs w:val="20"/>
          <w:lang w:val="en-GB" w:eastAsia="en-GB"/>
        </w:rPr>
      </w:pPr>
      <w:r>
        <w:rPr>
          <w:rFonts w:ascii="Courier New" w:hAnsi="Courier New" w:eastAsia="Times New Roman"/>
          <w:sz w:val="16"/>
          <w:szCs w:val="20"/>
          <w:lang w:val="en-GB" w:eastAsia="en-GB"/>
        </w:rPr>
        <w:tab/>
      </w:r>
      <w:r>
        <w:rPr>
          <w:rFonts w:ascii="Courier New" w:hAnsi="Courier New" w:eastAsia="Times New Roman"/>
          <w:sz w:val="16"/>
          <w:szCs w:val="20"/>
          <w:lang w:val="en-GB" w:eastAsia="en-GB"/>
        </w:rPr>
        <w:t xml:space="preserve">bandEntryIndex       </w:t>
      </w:r>
      <w:r>
        <w:rPr>
          <w:rFonts w:ascii="Courier New" w:hAnsi="Courier New" w:eastAsia="Times New Roman"/>
          <w:color w:val="993366"/>
          <w:sz w:val="16"/>
          <w:szCs w:val="20"/>
          <w:lang w:val="en-GB" w:eastAsia="en-GB"/>
        </w:rPr>
        <w:t>INTEGER</w:t>
      </w:r>
      <w:r>
        <w:rPr>
          <w:rFonts w:ascii="Courier New" w:hAnsi="Courier New" w:eastAsia="Times New Roman"/>
          <w:sz w:val="16"/>
          <w:szCs w:val="20"/>
          <w:lang w:val="en-GB" w:eastAsia="en-GB"/>
        </w:rPr>
        <w:t>(1..maxBands-MUSIM),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sz w:val="16"/>
          <w:szCs w:val="20"/>
          <w:lang w:val="en-GB" w:eastAsia="en-GB"/>
        </w:rPr>
      </w:pPr>
      <w:r>
        <w:rPr>
          <w:rFonts w:hint="eastAsia" w:ascii="Courier New" w:hAnsi="Courier New" w:eastAsia="Yu Mincho"/>
          <w:sz w:val="16"/>
          <w:szCs w:val="20"/>
          <w:lang w:val="en-GB"/>
        </w:rPr>
        <w:t xml:space="preserve"> </w:t>
      </w:r>
      <w:r>
        <w:rPr>
          <w:rFonts w:ascii="Courier New" w:hAnsi="Courier New" w:eastAsia="Yu Mincho"/>
          <w:sz w:val="16"/>
          <w:szCs w:val="20"/>
          <w:lang w:val="en-GB"/>
        </w:rPr>
        <w:t xml:space="preserve">    musim-capabilityRestricted-r18  MUSIM-capabilityRestricted-r18  </w:t>
      </w:r>
      <w:r>
        <w:rPr>
          <w:rFonts w:ascii="Courier New" w:hAnsi="Courier New" w:eastAsia="Times New Roman"/>
          <w:color w:val="993366"/>
          <w:sz w:val="16"/>
          <w:szCs w:val="20"/>
          <w:lang w:val="en-GB" w:eastAsia="en-GB"/>
        </w:rPr>
        <w:t xml:space="preserve">OPTIONAL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sz w:val="16"/>
          <w:szCs w:val="20"/>
          <w:lang w:val="en-GB" w:eastAsia="en-GB"/>
        </w:rPr>
      </w:pPr>
      <w:r>
        <w:rPr>
          <w:rFonts w:ascii="Courier New" w:hAnsi="Courier New" w:eastAsia="Times New Roman"/>
          <w:sz w:val="16"/>
          <w:szCs w:val="20"/>
          <w:lang w:val="en-GB" w:eastAsia="en-GB"/>
        </w:rPr>
        <w:t>}</w:t>
      </w:r>
    </w:p>
    <w:p/>
    <w:p>
      <w:pPr>
        <w:rPr>
          <w:b/>
          <w:sz w:val="21"/>
          <w:szCs w:val="21"/>
        </w:rPr>
      </w:pPr>
      <w:r>
        <w:rPr>
          <w:b/>
          <w:sz w:val="21"/>
          <w:szCs w:val="21"/>
        </w:rPr>
        <w:t>Observation 1: UE may report multiple restrictions for one BC, and thus o</w:t>
      </w:r>
      <w:r>
        <w:rPr>
          <w:rFonts w:hint="eastAsia"/>
          <w:b/>
          <w:sz w:val="21"/>
          <w:szCs w:val="21"/>
        </w:rPr>
        <w:t>nly forwarding the UAI to the SN would not be enough</w:t>
      </w:r>
      <w:r>
        <w:rPr>
          <w:b/>
          <w:sz w:val="21"/>
          <w:szCs w:val="21"/>
        </w:rPr>
        <w:t>.</w:t>
      </w:r>
    </w:p>
    <w:p>
      <w:pPr>
        <w:rPr>
          <w:sz w:val="21"/>
          <w:szCs w:val="21"/>
        </w:rPr>
      </w:pPr>
    </w:p>
    <w:p>
      <w:pPr>
        <w:rPr>
          <w:sz w:val="21"/>
          <w:szCs w:val="21"/>
        </w:rPr>
      </w:pPr>
      <w:r>
        <w:rPr>
          <w:rFonts w:hint="eastAsia"/>
          <w:b/>
          <w:sz w:val="21"/>
          <w:szCs w:val="21"/>
        </w:rPr>
        <w:t>P</w:t>
      </w:r>
      <w:r>
        <w:rPr>
          <w:b/>
          <w:sz w:val="21"/>
          <w:szCs w:val="21"/>
        </w:rPr>
        <w:t>roposal 2: The MN explicitly indicates the capability restriction info on the allowed SN band to the SN.</w:t>
      </w:r>
    </w:p>
    <w:p>
      <w:pPr>
        <w:rPr>
          <w:sz w:val="21"/>
          <w:szCs w:val="21"/>
        </w:rPr>
      </w:pPr>
    </w:p>
    <w:p>
      <w:pPr>
        <w:rPr>
          <w:sz w:val="21"/>
          <w:szCs w:val="21"/>
        </w:rPr>
      </w:pPr>
      <w:r>
        <w:rPr>
          <w:sz w:val="21"/>
          <w:szCs w:val="21"/>
        </w:rPr>
        <w:t>If the proposal 2 was agreed, the below ASN.1 coding can be taken as baseline: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771" w:type="dxa"/>
          </w:tcPr>
          <w:p>
            <w:pPr>
              <w:spacing w:line="360" w:lineRule="atLeast"/>
              <w:rPr>
                <w:rFonts w:ascii="Arial" w:hAnsi="Arial" w:eastAsia="Malgun Gothic" w:cs="Arial"/>
                <w:color w:val="000000"/>
                <w:sz w:val="21"/>
                <w:szCs w:val="21"/>
                <w:lang w:eastAsia="en-US"/>
              </w:rPr>
            </w:pPr>
            <w:r>
              <w:rPr>
                <w:rFonts w:eastAsia="Malgun Gothic"/>
                <w:color w:val="000000"/>
                <w:sz w:val="21"/>
                <w:szCs w:val="21"/>
                <w:lang w:eastAsia="en-US"/>
              </w:rPr>
              <w:t>ConfigRestrictInfoSCG ::=       </w:t>
            </w:r>
            <w:r>
              <w:rPr>
                <w:rFonts w:eastAsia="Malgun Gothic"/>
                <w:color w:val="993366"/>
                <w:sz w:val="18"/>
                <w:szCs w:val="18"/>
                <w:lang w:eastAsia="en-US"/>
              </w:rPr>
              <w:t>SEQUENCE</w:t>
            </w:r>
            <w:r>
              <w:rPr>
                <w:rFonts w:eastAsia="Malgun Gothic"/>
                <w:color w:val="000000"/>
                <w:sz w:val="21"/>
                <w:szCs w:val="21"/>
                <w:lang w:eastAsia="en-US"/>
              </w:rPr>
              <w:t> {</w:t>
            </w:r>
          </w:p>
          <w:p>
            <w:pPr>
              <w:spacing w:line="360" w:lineRule="atLeast"/>
              <w:rPr>
                <w:rFonts w:ascii="Arial" w:hAnsi="Arial" w:eastAsia="Malgun Gothic" w:cs="Arial"/>
                <w:color w:val="000000"/>
                <w:sz w:val="21"/>
                <w:szCs w:val="21"/>
                <w:lang w:eastAsia="en-US"/>
              </w:rPr>
            </w:pPr>
            <w:r>
              <w:rPr>
                <w:rFonts w:eastAsia="Malgun Gothic"/>
                <w:color w:val="000000"/>
                <w:sz w:val="21"/>
                <w:szCs w:val="21"/>
                <w:lang w:eastAsia="en-US"/>
              </w:rPr>
              <w:t>    allowedBC-ListMRDC              BandCombinationInfoList                                           </w:t>
            </w:r>
            <w:r>
              <w:rPr>
                <w:rFonts w:eastAsia="Malgun Gothic"/>
                <w:color w:val="993366"/>
                <w:sz w:val="18"/>
                <w:szCs w:val="18"/>
                <w:lang w:eastAsia="en-US"/>
              </w:rPr>
              <w:t>OPTIONAL</w:t>
            </w:r>
            <w:r>
              <w:rPr>
                <w:rFonts w:eastAsia="Malgun Gothic"/>
                <w:color w:val="000000"/>
                <w:sz w:val="21"/>
                <w:szCs w:val="21"/>
                <w:lang w:eastAsia="en-US"/>
              </w:rPr>
              <w:t>,</w:t>
            </w:r>
          </w:p>
          <w:p>
            <w:pPr>
              <w:spacing w:line="360" w:lineRule="atLeast"/>
              <w:rPr>
                <w:rFonts w:ascii="Arial" w:hAnsi="Arial" w:eastAsia="Malgun Gothic" w:cs="Arial"/>
                <w:color w:val="000000"/>
                <w:sz w:val="21"/>
                <w:szCs w:val="21"/>
                <w:lang w:eastAsia="en-US"/>
              </w:rPr>
            </w:pPr>
            <w:r>
              <w:rPr>
                <w:rFonts w:eastAsia="Malgun Gothic"/>
                <w:color w:val="000000"/>
                <w:sz w:val="21"/>
                <w:szCs w:val="21"/>
                <w:lang w:eastAsia="en-US"/>
              </w:rPr>
              <w:t>    /*omit the unchanged part*/</w:t>
            </w:r>
          </w:p>
          <w:p>
            <w:pPr>
              <w:spacing w:line="360" w:lineRule="atLeast"/>
              <w:rPr>
                <w:rFonts w:ascii="Arial" w:hAnsi="Arial" w:eastAsia="Malgun Gothic" w:cs="Arial"/>
                <w:color w:val="000000"/>
                <w:sz w:val="21"/>
                <w:szCs w:val="21"/>
                <w:lang w:eastAsia="en-US"/>
              </w:rPr>
            </w:pPr>
            <w:r>
              <w:rPr>
                <w:rFonts w:eastAsia="Malgun Gothic"/>
                <w:color w:val="000000"/>
                <w:sz w:val="21"/>
                <w:szCs w:val="21"/>
                <w:lang w:eastAsia="en-US"/>
              </w:rPr>
              <w:t>      ....</w:t>
            </w:r>
          </w:p>
          <w:p>
            <w:pPr>
              <w:spacing w:line="360" w:lineRule="atLeast"/>
              <w:rPr>
                <w:rFonts w:ascii="Arial" w:hAnsi="Arial" w:eastAsia="Malgun Gothic" w:cs="Arial"/>
                <w:color w:val="002060"/>
                <w:sz w:val="21"/>
                <w:szCs w:val="21"/>
                <w:lang w:eastAsia="en-US"/>
              </w:rPr>
            </w:pPr>
            <w:r>
              <w:rPr>
                <w:rFonts w:eastAsia="Malgun Gothic"/>
                <w:color w:val="002060"/>
                <w:sz w:val="18"/>
                <w:szCs w:val="18"/>
                <w:lang w:eastAsia="en-US"/>
              </w:rPr>
              <w:t>[[affectedBandEntriesSNList        SEQUENCE (SIZE (1..maxBandComb)) OF AffectedBandEntriesSN    OPTIONAL</w:t>
            </w:r>
          </w:p>
          <w:p>
            <w:pPr>
              <w:spacing w:line="360" w:lineRule="atLeast"/>
              <w:rPr>
                <w:rFonts w:ascii="Arial" w:hAnsi="Arial" w:eastAsia="Malgun Gothic" w:cs="Arial"/>
                <w:color w:val="002060"/>
                <w:sz w:val="21"/>
                <w:szCs w:val="21"/>
                <w:lang w:eastAsia="en-US"/>
              </w:rPr>
            </w:pPr>
            <w:r>
              <w:rPr>
                <w:rFonts w:eastAsia="Malgun Gothic"/>
                <w:color w:val="002060"/>
                <w:sz w:val="21"/>
                <w:szCs w:val="21"/>
                <w:lang w:eastAsia="en-US"/>
              </w:rPr>
              <w:t>]]</w:t>
            </w:r>
          </w:p>
          <w:p>
            <w:pPr>
              <w:spacing w:line="360" w:lineRule="atLeast"/>
              <w:rPr>
                <w:rFonts w:eastAsia="Malgun Gothic"/>
                <w:color w:val="002060"/>
                <w:sz w:val="21"/>
                <w:szCs w:val="21"/>
                <w:lang w:eastAsia="en-US"/>
              </w:rPr>
            </w:pPr>
            <w:r>
              <w:rPr>
                <w:rFonts w:eastAsia="Malgun Gothic"/>
                <w:color w:val="002060"/>
                <w:sz w:val="21"/>
                <w:szCs w:val="21"/>
                <w:lang w:eastAsia="en-US"/>
              </w:rPr>
              <w:t>}</w:t>
            </w:r>
          </w:p>
          <w:p>
            <w:pPr>
              <w:spacing w:line="360" w:lineRule="atLeast"/>
              <w:rPr>
                <w:rFonts w:ascii="Arial" w:hAnsi="Arial" w:eastAsia="Malgun Gothic" w:cs="Arial"/>
                <w:color w:val="002060"/>
                <w:sz w:val="21"/>
                <w:szCs w:val="21"/>
                <w:lang w:eastAsia="en-US"/>
              </w:rPr>
            </w:pPr>
            <w:r>
              <w:rPr>
                <w:rFonts w:eastAsia="Malgun Gothic"/>
                <w:color w:val="002060"/>
                <w:sz w:val="18"/>
                <w:szCs w:val="18"/>
                <w:lang w:eastAsia="en-US"/>
              </w:rPr>
              <w:t>AffectedBandEntriesSN  ::=       </w:t>
            </w:r>
            <w:r>
              <w:rPr>
                <w:rFonts w:hint="eastAsia" w:ascii="宋体" w:hAnsi="宋体" w:eastAsia="Malgun Gothic"/>
                <w:color w:val="002060"/>
                <w:sz w:val="18"/>
                <w:szCs w:val="18"/>
                <w:lang w:eastAsia="en-US"/>
              </w:rPr>
              <w:t> </w:t>
            </w:r>
            <w:r>
              <w:rPr>
                <w:rFonts w:eastAsia="Malgun Gothic"/>
                <w:color w:val="002060"/>
                <w:sz w:val="18"/>
                <w:szCs w:val="18"/>
                <w:lang w:eastAsia="en-US"/>
              </w:rPr>
              <w:t>SEQUENCE (SIZE (1..maxSimultaneousBands)) OF AffectedSNBandEntry   </w:t>
            </w:r>
          </w:p>
          <w:p>
            <w:pPr>
              <w:spacing w:line="360" w:lineRule="atLeast"/>
              <w:rPr>
                <w:rFonts w:ascii="Arial" w:hAnsi="Arial" w:eastAsia="Malgun Gothic" w:cs="Arial"/>
                <w:color w:val="002060"/>
                <w:sz w:val="21"/>
                <w:szCs w:val="21"/>
                <w:lang w:eastAsia="en-US"/>
              </w:rPr>
            </w:pPr>
            <w:r>
              <w:rPr>
                <w:rFonts w:eastAsia="Malgun Gothic"/>
                <w:color w:val="002060"/>
                <w:sz w:val="18"/>
                <w:szCs w:val="18"/>
                <w:lang w:eastAsia="en-US"/>
              </w:rPr>
              <w:t>AffectedSNBandEntry   </w:t>
            </w:r>
            <w:r>
              <w:rPr>
                <w:rFonts w:eastAsia="Malgun Gothic"/>
                <w:color w:val="002060"/>
                <w:sz w:val="21"/>
                <w:szCs w:val="21"/>
                <w:lang w:eastAsia="en-US"/>
              </w:rPr>
              <w:t>::=       </w:t>
            </w:r>
            <w:r>
              <w:rPr>
                <w:rFonts w:eastAsia="Malgun Gothic"/>
                <w:color w:val="002060"/>
                <w:sz w:val="18"/>
                <w:szCs w:val="18"/>
                <w:lang w:eastAsia="en-US"/>
              </w:rPr>
              <w:t>SEQUENCE</w:t>
            </w:r>
            <w:r>
              <w:rPr>
                <w:rFonts w:eastAsia="Malgun Gothic"/>
                <w:color w:val="002060"/>
                <w:sz w:val="21"/>
                <w:szCs w:val="21"/>
                <w:lang w:eastAsia="en-US"/>
              </w:rPr>
              <w:t> {</w:t>
            </w:r>
          </w:p>
          <w:p>
            <w:pPr>
              <w:spacing w:line="360" w:lineRule="atLeast"/>
              <w:ind w:firstLine="315" w:firstLineChars="150"/>
              <w:rPr>
                <w:rFonts w:ascii="Arial" w:hAnsi="Arial" w:eastAsia="Malgun Gothic" w:cs="Arial"/>
                <w:color w:val="002060"/>
                <w:sz w:val="21"/>
                <w:szCs w:val="21"/>
                <w:lang w:eastAsia="en-US"/>
              </w:rPr>
            </w:pPr>
            <w:r>
              <w:rPr>
                <w:rFonts w:eastAsia="Malgun Gothic"/>
                <w:color w:val="002060"/>
                <w:sz w:val="21"/>
                <w:szCs w:val="21"/>
                <w:lang w:eastAsia="en-US"/>
              </w:rPr>
              <w:t>bandEntryIndex                          BandEntryIndex </w:t>
            </w:r>
          </w:p>
          <w:p>
            <w:pPr>
              <w:spacing w:line="360" w:lineRule="atLeast"/>
              <w:ind w:firstLine="315" w:firstLineChars="150"/>
              <w:rPr>
                <w:rFonts w:ascii="Arial" w:hAnsi="Arial" w:eastAsia="Malgun Gothic" w:cs="Arial"/>
                <w:color w:val="002060"/>
                <w:sz w:val="21"/>
                <w:szCs w:val="21"/>
                <w:lang w:eastAsia="en-US"/>
              </w:rPr>
            </w:pPr>
            <w:r>
              <w:rPr>
                <w:rFonts w:eastAsia="Malgun Gothic"/>
                <w:color w:val="002060"/>
                <w:sz w:val="21"/>
                <w:szCs w:val="21"/>
                <w:lang w:eastAsia="en-US"/>
              </w:rPr>
              <w:t>musim-capabilityRestricted-r18        FFS </w:t>
            </w:r>
          </w:p>
          <w:p>
            <w:pPr>
              <w:spacing w:line="360" w:lineRule="atLeast"/>
              <w:rPr>
                <w:rFonts w:eastAsia="Malgun Gothic"/>
                <w:lang w:eastAsia="en-US"/>
              </w:rPr>
            </w:pPr>
            <w:r>
              <w:rPr>
                <w:rFonts w:eastAsia="Malgun Gothic"/>
                <w:color w:val="002060"/>
                <w:sz w:val="21"/>
                <w:szCs w:val="21"/>
                <w:lang w:eastAsia="en-US"/>
              </w:rPr>
              <w:t>}</w:t>
            </w:r>
          </w:p>
        </w:tc>
      </w:tr>
    </w:tbl>
    <w:p>
      <w:pPr>
        <w:rPr>
          <w:b/>
          <w:bCs/>
          <w:sz w:val="21"/>
          <w:szCs w:val="21"/>
          <w:u w:val="single"/>
        </w:rPr>
      </w:pPr>
    </w:p>
    <w:p>
      <w:pPr>
        <w:rPr>
          <w:b/>
          <w:bCs/>
          <w:sz w:val="21"/>
          <w:szCs w:val="21"/>
          <w:u w:val="single"/>
        </w:rPr>
      </w:pPr>
      <w:r>
        <w:rPr>
          <w:b/>
          <w:bCs/>
          <w:sz w:val="21"/>
          <w:szCs w:val="21"/>
          <w:u w:val="single"/>
        </w:rPr>
        <w:t>MN-SN Coordination for the Reactive Case:</w:t>
      </w:r>
    </w:p>
    <w:p>
      <w:pPr>
        <w:jc w:val="both"/>
        <w:rPr>
          <w:sz w:val="21"/>
          <w:szCs w:val="21"/>
        </w:rPr>
      </w:pPr>
      <w:r>
        <w:rPr>
          <w:sz w:val="21"/>
          <w:szCs w:val="21"/>
        </w:rPr>
        <w:t xml:space="preserve">For the reactive case, according to the post email discussion, companies agree that UE temporary capability restrictions indication of SCG/Scell release via SRB3 for MUSIM purpose is not supported in this release. </w:t>
      </w:r>
      <w:r>
        <w:rPr>
          <w:rFonts w:hint="eastAsia"/>
          <w:sz w:val="21"/>
          <w:szCs w:val="21"/>
        </w:rPr>
        <w:t>For the reactive case, besides the SCG/S</w:t>
      </w:r>
      <w:r>
        <w:rPr>
          <w:sz w:val="21"/>
          <w:szCs w:val="21"/>
        </w:rPr>
        <w:t>c</w:t>
      </w:r>
      <w:r>
        <w:rPr>
          <w:rFonts w:hint="eastAsia"/>
          <w:sz w:val="21"/>
          <w:szCs w:val="21"/>
        </w:rPr>
        <w:t>ell Release, the UE can also indicate MIMO Layer/Bandwidth restriction</w:t>
      </w:r>
      <w:r>
        <w:rPr>
          <w:sz w:val="21"/>
          <w:szCs w:val="21"/>
        </w:rPr>
        <w:t xml:space="preserve"> for the serving cells. To keep aligned with the Scell release and also to reduce the specification workload, there is also no need to support indications of MIMO/Bandwidth restriction on the SCG serving cells via SRB3.</w:t>
      </w:r>
    </w:p>
    <w:p>
      <w:pPr>
        <w:rPr>
          <w:b/>
          <w:sz w:val="21"/>
          <w:szCs w:val="21"/>
        </w:rPr>
      </w:pPr>
      <w:r>
        <w:rPr>
          <w:rFonts w:hint="eastAsia"/>
          <w:b/>
          <w:sz w:val="21"/>
          <w:szCs w:val="21"/>
        </w:rPr>
        <w:t>P</w:t>
      </w:r>
      <w:r>
        <w:rPr>
          <w:b/>
          <w:sz w:val="21"/>
          <w:szCs w:val="21"/>
        </w:rPr>
        <w:t>roposal 3: Indications of MIMO/Bandwidth restriction on the SCG serving cells via SRB3 is not supported.</w:t>
      </w:r>
    </w:p>
    <w:p>
      <w:pPr>
        <w:jc w:val="both"/>
        <w:rPr>
          <w:sz w:val="21"/>
          <w:szCs w:val="21"/>
        </w:rPr>
      </w:pPr>
    </w:p>
    <w:p>
      <w:pPr>
        <w:rPr>
          <w:sz w:val="21"/>
          <w:szCs w:val="21"/>
        </w:rPr>
      </w:pPr>
      <w:r>
        <w:rPr>
          <w:sz w:val="21"/>
          <w:szCs w:val="21"/>
        </w:rPr>
        <w:t xml:space="preserve">Then if the MN receive the UAI information on the SCG (e.g. Release SCG scell, reduce capability on the SCG scell), the MN shall further indicate this information to the SN side. The same signaling structure as the air Interface can be reused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1" w:type="dxa"/>
          </w:tcPr>
          <w:p>
            <w:pPr>
              <w:pStyle w:val="246"/>
              <w:rPr>
                <w:rFonts w:ascii="Times New Roman" w:hAnsi="Times New Roman"/>
                <w:szCs w:val="16"/>
              </w:rPr>
            </w:pPr>
            <w:r>
              <w:rPr>
                <w:rFonts w:ascii="Times New Roman" w:hAnsi="Times New Roman"/>
              </w:rPr>
              <w:t xml:space="preserve">MUSIM-CellToRelease-r18   ::=   </w:t>
            </w:r>
            <w:r>
              <w:rPr>
                <w:rFonts w:ascii="Times New Roman" w:hAnsi="Times New Roman"/>
                <w:color w:val="993366"/>
              </w:rPr>
              <w:t>SEQUENCE</w:t>
            </w:r>
            <w:r>
              <w:rPr>
                <w:rFonts w:ascii="Times New Roman" w:hAnsi="Times New Roman"/>
              </w:rPr>
              <w:t xml:space="preserve"> (</w:t>
            </w:r>
            <w:r>
              <w:rPr>
                <w:rFonts w:ascii="Times New Roman" w:hAnsi="Times New Roman"/>
                <w:color w:val="993366"/>
              </w:rPr>
              <w:t>SIZE</w:t>
            </w:r>
            <w:r>
              <w:rPr>
                <w:rFonts w:ascii="Times New Roman" w:hAnsi="Times New Roman"/>
              </w:rPr>
              <w:t xml:space="preserve"> (1..maxNrofSCells))</w:t>
            </w:r>
            <w:r>
              <w:rPr>
                <w:rFonts w:ascii="Times New Roman" w:hAnsi="Times New Roman"/>
                <w:color w:val="993366"/>
              </w:rPr>
              <w:t xml:space="preserve"> OF</w:t>
            </w:r>
            <w:r>
              <w:rPr>
                <w:rFonts w:ascii="Times New Roman" w:hAnsi="Times New Roman"/>
              </w:rPr>
              <w:t xml:space="preserve"> SCellIndex</w:t>
            </w:r>
          </w:p>
          <w:p>
            <w:pPr>
              <w:pStyle w:val="246"/>
              <w:rPr>
                <w:sz w:val="21"/>
                <w:szCs w:val="21"/>
              </w:rPr>
            </w:pPr>
            <w:r>
              <w:rPr>
                <w:rFonts w:ascii="Times New Roman" w:hAnsi="Times New Roman"/>
              </w:rPr>
              <w:t xml:space="preserve">MUSIM-CellToAffectList-r18  ::=  </w:t>
            </w:r>
            <w:r>
              <w:rPr>
                <w:rFonts w:ascii="Times New Roman" w:hAnsi="Times New Roman"/>
                <w:color w:val="993366"/>
              </w:rPr>
              <w:t>SEQUENCE</w:t>
            </w:r>
            <w:r>
              <w:rPr>
                <w:rFonts w:ascii="Times New Roman" w:hAnsi="Times New Roman"/>
              </w:rPr>
              <w:t xml:space="preserve"> (</w:t>
            </w:r>
            <w:r>
              <w:rPr>
                <w:rFonts w:ascii="Times New Roman" w:hAnsi="Times New Roman"/>
                <w:color w:val="993366"/>
              </w:rPr>
              <w:t>SIZE</w:t>
            </w:r>
            <w:r>
              <w:rPr>
                <w:rFonts w:ascii="Times New Roman" w:hAnsi="Times New Roman"/>
              </w:rPr>
              <w:t xml:space="preserve"> (1..maxNrofServingCells))</w:t>
            </w:r>
            <w:r>
              <w:rPr>
                <w:rFonts w:ascii="Times New Roman" w:hAnsi="Times New Roman"/>
                <w:color w:val="993366"/>
              </w:rPr>
              <w:t xml:space="preserve"> OF</w:t>
            </w:r>
            <w:r>
              <w:rPr>
                <w:rFonts w:ascii="Times New Roman" w:hAnsi="Times New Roman"/>
              </w:rPr>
              <w:t xml:space="preserve"> MUSIM-CellToAffect-r18  </w:t>
            </w:r>
            <w:r>
              <w:t xml:space="preserve">             </w:t>
            </w:r>
          </w:p>
        </w:tc>
      </w:tr>
    </w:tbl>
    <w:p>
      <w:pPr>
        <w:rPr>
          <w:rFonts w:hint="eastAsia"/>
        </w:rPr>
      </w:pPr>
      <w:r>
        <w:rPr>
          <w:rFonts w:hint="eastAsia"/>
          <w:b/>
          <w:sz w:val="21"/>
          <w:szCs w:val="21"/>
        </w:rPr>
        <w:t>P</w:t>
      </w:r>
      <w:r>
        <w:rPr>
          <w:b/>
          <w:sz w:val="21"/>
          <w:szCs w:val="21"/>
        </w:rPr>
        <w:t>roposal 4: T</w:t>
      </w:r>
      <w:r>
        <w:rPr>
          <w:rFonts w:hint="eastAsia"/>
          <w:b/>
          <w:sz w:val="21"/>
          <w:szCs w:val="21"/>
        </w:rPr>
        <w:t>h</w:t>
      </w:r>
      <w:r>
        <w:rPr>
          <w:b/>
          <w:sz w:val="21"/>
          <w:szCs w:val="21"/>
        </w:rPr>
        <w:t>e MN can indicate the SCG Scell Release information and the SCG Scell affected capability information to the SN.</w:t>
      </w:r>
    </w:p>
    <w:p>
      <w:pPr>
        <w:pStyle w:val="2"/>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Conclusion</w:t>
      </w:r>
      <w:bookmarkStart w:id="4" w:name="_GoBack"/>
      <w:bookmarkEnd w:id="4"/>
    </w:p>
    <w:p>
      <w:pPr>
        <w:spacing w:before="156" w:beforeLines="50"/>
        <w:rPr>
          <w:sz w:val="21"/>
          <w:szCs w:val="21"/>
        </w:rPr>
      </w:pPr>
      <w:r>
        <w:rPr>
          <w:rFonts w:hint="eastAsia"/>
          <w:sz w:val="21"/>
          <w:szCs w:val="21"/>
        </w:rPr>
        <w:t xml:space="preserve">With the above analysis, we have the following </w:t>
      </w:r>
      <w:r>
        <w:rPr>
          <w:sz w:val="21"/>
          <w:szCs w:val="21"/>
        </w:rPr>
        <w:t>proposals</w:t>
      </w:r>
      <w:r>
        <w:rPr>
          <w:rFonts w:hint="eastAsia"/>
          <w:sz w:val="21"/>
          <w:szCs w:val="21"/>
        </w:rPr>
        <w:t>:</w:t>
      </w:r>
    </w:p>
    <w:p>
      <w:pPr>
        <w:jc w:val="both"/>
        <w:rPr>
          <w:b/>
          <w:i/>
          <w:sz w:val="21"/>
          <w:szCs w:val="21"/>
        </w:rPr>
      </w:pPr>
      <w:r>
        <w:rPr>
          <w:rFonts w:hint="eastAsia"/>
          <w:b/>
          <w:sz w:val="21"/>
          <w:szCs w:val="21"/>
        </w:rPr>
        <w:t>P</w:t>
      </w:r>
      <w:r>
        <w:rPr>
          <w:b/>
          <w:sz w:val="21"/>
          <w:szCs w:val="21"/>
        </w:rPr>
        <w:t xml:space="preserve">roposal 1: The MN can indicate the forbidden band entries (for the MUSIM purpose) info to the SN by reusing the existing </w:t>
      </w:r>
      <w:r>
        <w:rPr>
          <w:b/>
          <w:i/>
          <w:sz w:val="21"/>
          <w:szCs w:val="21"/>
        </w:rPr>
        <w:t>selectedBandEntriesMNList.</w:t>
      </w:r>
    </w:p>
    <w:p>
      <w:pPr>
        <w:jc w:val="both"/>
        <w:rPr>
          <w:b/>
          <w:sz w:val="21"/>
          <w:szCs w:val="21"/>
        </w:rPr>
      </w:pPr>
      <w:r>
        <w:rPr>
          <w:b/>
          <w:sz w:val="21"/>
          <w:szCs w:val="21"/>
        </w:rPr>
        <w:t>Observation 1: UE may report multiple restrictions for one BC, and thus o</w:t>
      </w:r>
      <w:r>
        <w:rPr>
          <w:rFonts w:hint="eastAsia"/>
          <w:b/>
          <w:sz w:val="21"/>
          <w:szCs w:val="21"/>
        </w:rPr>
        <w:t>nly forwarding the UAI to the SN would not be enough</w:t>
      </w:r>
    </w:p>
    <w:p>
      <w:pPr>
        <w:jc w:val="both"/>
        <w:rPr>
          <w:sz w:val="21"/>
          <w:szCs w:val="21"/>
        </w:rPr>
      </w:pPr>
      <w:r>
        <w:rPr>
          <w:rFonts w:hint="eastAsia"/>
          <w:b/>
          <w:sz w:val="21"/>
          <w:szCs w:val="21"/>
        </w:rPr>
        <w:t>P</w:t>
      </w:r>
      <w:r>
        <w:rPr>
          <w:b/>
          <w:sz w:val="21"/>
          <w:szCs w:val="21"/>
        </w:rPr>
        <w:t>roposal 2: The MN explicitly indicates the capability restriction info on the allowed SN band to the SN.</w:t>
      </w:r>
    </w:p>
    <w:p>
      <w:pPr>
        <w:jc w:val="both"/>
        <w:rPr>
          <w:b/>
          <w:sz w:val="21"/>
          <w:szCs w:val="21"/>
        </w:rPr>
      </w:pPr>
      <w:r>
        <w:rPr>
          <w:rFonts w:hint="eastAsia"/>
          <w:b/>
          <w:sz w:val="21"/>
          <w:szCs w:val="21"/>
        </w:rPr>
        <w:t>P</w:t>
      </w:r>
      <w:r>
        <w:rPr>
          <w:b/>
          <w:sz w:val="21"/>
          <w:szCs w:val="21"/>
        </w:rPr>
        <w:t>roposal 3: Indications of MIMO/Bandwidth restriction on the SCG serving cells via SRB3 is not supported.</w:t>
      </w:r>
    </w:p>
    <w:p>
      <w:pPr>
        <w:jc w:val="both"/>
        <w:rPr>
          <w:rFonts w:hint="eastAsia"/>
        </w:rPr>
      </w:pPr>
      <w:r>
        <w:rPr>
          <w:rFonts w:hint="eastAsia"/>
          <w:b/>
          <w:sz w:val="21"/>
          <w:szCs w:val="21"/>
        </w:rPr>
        <w:t>P</w:t>
      </w:r>
      <w:r>
        <w:rPr>
          <w:b/>
          <w:sz w:val="21"/>
          <w:szCs w:val="21"/>
        </w:rPr>
        <w:t>roposal 4: T</w:t>
      </w:r>
      <w:r>
        <w:rPr>
          <w:rFonts w:hint="eastAsia"/>
          <w:b/>
          <w:sz w:val="21"/>
          <w:szCs w:val="21"/>
        </w:rPr>
        <w:t>h</w:t>
      </w:r>
      <w:r>
        <w:rPr>
          <w:b/>
          <w:sz w:val="21"/>
          <w:szCs w:val="21"/>
        </w:rPr>
        <w:t>e MN can indicate the SCG Scell Release information and the SCG Scell affected capability information to the SN.</w:t>
      </w:r>
    </w:p>
    <w:sectPr>
      <w:headerReference r:id="rId3" w:type="default"/>
      <w:footerReference r:id="rId4" w:type="default"/>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ascii="Arial" w:hAnsi="Arial" w:cs="Arial"/>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6B50FE2"/>
    <w:multiLevelType w:val="multilevel"/>
    <w:tmpl w:val="06B50FE2"/>
    <w:lvl w:ilvl="0" w:tentative="0">
      <w:start w:val="1"/>
      <w:numFmt w:val="bullet"/>
      <w:lvlText w:val=""/>
      <w:lvlJc w:val="left"/>
      <w:pPr>
        <w:tabs>
          <w:tab w:val="left" w:pos="644"/>
        </w:tabs>
        <w:ind w:left="360" w:hanging="360"/>
      </w:pPr>
      <w:rPr>
        <w:rFonts w:hint="default" w:ascii="Symbol" w:hAnsi="Symbol"/>
        <w:b/>
        <w:i w:val="0"/>
        <w:sz w:val="22"/>
        <w:szCs w:val="22"/>
      </w:rPr>
    </w:lvl>
    <w:lvl w:ilvl="1" w:tentative="0">
      <w:start w:val="1"/>
      <w:numFmt w:val="bullet"/>
      <w:lvlText w:val="o"/>
      <w:lvlJc w:val="left"/>
      <w:pPr>
        <w:tabs>
          <w:tab w:val="left" w:pos="465"/>
        </w:tabs>
        <w:ind w:left="465" w:hanging="360"/>
      </w:pPr>
      <w:rPr>
        <w:rFonts w:hint="default" w:ascii="Courier New" w:hAnsi="Courier New" w:cs="Courier New"/>
      </w:rPr>
    </w:lvl>
    <w:lvl w:ilvl="2" w:tentative="0">
      <w:start w:val="1"/>
      <w:numFmt w:val="bullet"/>
      <w:lvlText w:val=""/>
      <w:lvlJc w:val="left"/>
      <w:pPr>
        <w:tabs>
          <w:tab w:val="left" w:pos="1185"/>
        </w:tabs>
        <w:ind w:left="1185" w:hanging="360"/>
      </w:pPr>
      <w:rPr>
        <w:rFonts w:hint="default" w:ascii="Wingdings" w:hAnsi="Wingdings"/>
      </w:rPr>
    </w:lvl>
    <w:lvl w:ilvl="3" w:tentative="0">
      <w:start w:val="1"/>
      <w:numFmt w:val="bullet"/>
      <w:lvlText w:val=""/>
      <w:lvlJc w:val="left"/>
      <w:pPr>
        <w:tabs>
          <w:tab w:val="left" w:pos="1905"/>
        </w:tabs>
        <w:ind w:left="1905" w:hanging="360"/>
      </w:pPr>
      <w:rPr>
        <w:rFonts w:hint="default" w:ascii="Symbol" w:hAnsi="Symbol"/>
      </w:rPr>
    </w:lvl>
    <w:lvl w:ilvl="4" w:tentative="0">
      <w:start w:val="1"/>
      <w:numFmt w:val="bullet"/>
      <w:lvlText w:val="o"/>
      <w:lvlJc w:val="left"/>
      <w:pPr>
        <w:tabs>
          <w:tab w:val="left" w:pos="2625"/>
        </w:tabs>
        <w:ind w:left="2625" w:hanging="360"/>
      </w:pPr>
      <w:rPr>
        <w:rFonts w:hint="default" w:ascii="Courier New" w:hAnsi="Courier New" w:cs="Courier New"/>
      </w:rPr>
    </w:lvl>
    <w:lvl w:ilvl="5" w:tentative="0">
      <w:start w:val="1"/>
      <w:numFmt w:val="bullet"/>
      <w:lvlText w:val=""/>
      <w:lvlJc w:val="left"/>
      <w:pPr>
        <w:tabs>
          <w:tab w:val="left" w:pos="3345"/>
        </w:tabs>
        <w:ind w:left="3345" w:hanging="360"/>
      </w:pPr>
      <w:rPr>
        <w:rFonts w:hint="default" w:ascii="Wingdings" w:hAnsi="Wingdings"/>
      </w:rPr>
    </w:lvl>
    <w:lvl w:ilvl="6" w:tentative="0">
      <w:start w:val="1"/>
      <w:numFmt w:val="bullet"/>
      <w:lvlText w:val=""/>
      <w:lvlJc w:val="left"/>
      <w:pPr>
        <w:tabs>
          <w:tab w:val="left" w:pos="4065"/>
        </w:tabs>
        <w:ind w:left="4065" w:hanging="360"/>
      </w:pPr>
      <w:rPr>
        <w:rFonts w:hint="default" w:ascii="Symbol" w:hAnsi="Symbol"/>
      </w:rPr>
    </w:lvl>
    <w:lvl w:ilvl="7" w:tentative="0">
      <w:start w:val="1"/>
      <w:numFmt w:val="bullet"/>
      <w:lvlText w:val="o"/>
      <w:lvlJc w:val="left"/>
      <w:pPr>
        <w:tabs>
          <w:tab w:val="left" w:pos="4785"/>
        </w:tabs>
        <w:ind w:left="4785" w:hanging="360"/>
      </w:pPr>
      <w:rPr>
        <w:rFonts w:hint="default" w:ascii="Courier New" w:hAnsi="Courier New" w:cs="Courier New"/>
      </w:rPr>
    </w:lvl>
    <w:lvl w:ilvl="8" w:tentative="0">
      <w:start w:val="1"/>
      <w:numFmt w:val="bullet"/>
      <w:lvlText w:val=""/>
      <w:lvlJc w:val="left"/>
      <w:pPr>
        <w:tabs>
          <w:tab w:val="left" w:pos="5505"/>
        </w:tabs>
        <w:ind w:left="5505" w:hanging="360"/>
      </w:pPr>
      <w:rPr>
        <w:rFonts w:hint="default" w:ascii="Wingdings" w:hAnsi="Wingdings"/>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C60520C"/>
    <w:multiLevelType w:val="multilevel"/>
    <w:tmpl w:val="4C60520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5"/>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4B6F"/>
    <w:rsid w:val="000C55E1"/>
    <w:rsid w:val="000C5D4C"/>
    <w:rsid w:val="000C6273"/>
    <w:rsid w:val="000C7FC7"/>
    <w:rsid w:val="000D18C5"/>
    <w:rsid w:val="000D2278"/>
    <w:rsid w:val="000D2BF9"/>
    <w:rsid w:val="000D6D12"/>
    <w:rsid w:val="000E0663"/>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AC2"/>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64A71"/>
    <w:rsid w:val="00270A1C"/>
    <w:rsid w:val="00271ED8"/>
    <w:rsid w:val="002724B9"/>
    <w:rsid w:val="002730ED"/>
    <w:rsid w:val="00273F94"/>
    <w:rsid w:val="00281718"/>
    <w:rsid w:val="002855D0"/>
    <w:rsid w:val="00290E18"/>
    <w:rsid w:val="00291D54"/>
    <w:rsid w:val="00293A6E"/>
    <w:rsid w:val="0029620D"/>
    <w:rsid w:val="00297A88"/>
    <w:rsid w:val="002B24A3"/>
    <w:rsid w:val="002B29E8"/>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72B"/>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78D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8D7"/>
    <w:rsid w:val="00443D84"/>
    <w:rsid w:val="00444390"/>
    <w:rsid w:val="00444F7D"/>
    <w:rsid w:val="00445007"/>
    <w:rsid w:val="00446A9B"/>
    <w:rsid w:val="00453750"/>
    <w:rsid w:val="00456668"/>
    <w:rsid w:val="0046088D"/>
    <w:rsid w:val="00460FF4"/>
    <w:rsid w:val="004617CA"/>
    <w:rsid w:val="00462F02"/>
    <w:rsid w:val="00466EDC"/>
    <w:rsid w:val="00467368"/>
    <w:rsid w:val="00467D25"/>
    <w:rsid w:val="004700AE"/>
    <w:rsid w:val="00470697"/>
    <w:rsid w:val="0047305C"/>
    <w:rsid w:val="0047403A"/>
    <w:rsid w:val="00474161"/>
    <w:rsid w:val="00474C36"/>
    <w:rsid w:val="00475E38"/>
    <w:rsid w:val="0048006F"/>
    <w:rsid w:val="0048218E"/>
    <w:rsid w:val="00482BBB"/>
    <w:rsid w:val="00484EB1"/>
    <w:rsid w:val="00485114"/>
    <w:rsid w:val="00485AE4"/>
    <w:rsid w:val="00486111"/>
    <w:rsid w:val="0049176F"/>
    <w:rsid w:val="00491EC0"/>
    <w:rsid w:val="00492EA5"/>
    <w:rsid w:val="00493247"/>
    <w:rsid w:val="004A0053"/>
    <w:rsid w:val="004A2687"/>
    <w:rsid w:val="004A39F0"/>
    <w:rsid w:val="004A402F"/>
    <w:rsid w:val="004A5C1C"/>
    <w:rsid w:val="004A6CC2"/>
    <w:rsid w:val="004B12D7"/>
    <w:rsid w:val="004B2B05"/>
    <w:rsid w:val="004B2BBA"/>
    <w:rsid w:val="004B5502"/>
    <w:rsid w:val="004B582B"/>
    <w:rsid w:val="004B69AA"/>
    <w:rsid w:val="004B71F4"/>
    <w:rsid w:val="004B76B6"/>
    <w:rsid w:val="004C0141"/>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27E0"/>
    <w:rsid w:val="00553234"/>
    <w:rsid w:val="0055402E"/>
    <w:rsid w:val="00554162"/>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A7597"/>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B6049"/>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2FC4"/>
    <w:rsid w:val="00793203"/>
    <w:rsid w:val="007933D2"/>
    <w:rsid w:val="007938C0"/>
    <w:rsid w:val="00794677"/>
    <w:rsid w:val="00795931"/>
    <w:rsid w:val="00796A2A"/>
    <w:rsid w:val="007A053E"/>
    <w:rsid w:val="007A115D"/>
    <w:rsid w:val="007A2A69"/>
    <w:rsid w:val="007A602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5F99"/>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60"/>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071D6"/>
    <w:rsid w:val="00A11A20"/>
    <w:rsid w:val="00A11DFB"/>
    <w:rsid w:val="00A11F1E"/>
    <w:rsid w:val="00A13B2D"/>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1FB"/>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3C"/>
    <w:rsid w:val="00B67B79"/>
    <w:rsid w:val="00B67E74"/>
    <w:rsid w:val="00B716F8"/>
    <w:rsid w:val="00B82234"/>
    <w:rsid w:val="00B8229B"/>
    <w:rsid w:val="00B8283E"/>
    <w:rsid w:val="00B837AA"/>
    <w:rsid w:val="00B87D03"/>
    <w:rsid w:val="00B909E8"/>
    <w:rsid w:val="00B928EE"/>
    <w:rsid w:val="00B92AD5"/>
    <w:rsid w:val="00B93E83"/>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17BE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D2ACA"/>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3B42"/>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ED1"/>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5EA7"/>
    <w:rsid w:val="00E66C3B"/>
    <w:rsid w:val="00E71B00"/>
    <w:rsid w:val="00E73C7F"/>
    <w:rsid w:val="00E740D9"/>
    <w:rsid w:val="00E8224F"/>
    <w:rsid w:val="00E832E5"/>
    <w:rsid w:val="00E853FB"/>
    <w:rsid w:val="00E85E3C"/>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2B3F"/>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6D56"/>
    <w:rsid w:val="00FE7430"/>
    <w:rsid w:val="00FF0471"/>
    <w:rsid w:val="00FF0771"/>
    <w:rsid w:val="00FF0AAD"/>
    <w:rsid w:val="00FF29CE"/>
    <w:rsid w:val="00FF2E7C"/>
    <w:rsid w:val="00FF33F4"/>
    <w:rsid w:val="00FF3FC8"/>
    <w:rsid w:val="01100128"/>
    <w:rsid w:val="01163216"/>
    <w:rsid w:val="01243CBE"/>
    <w:rsid w:val="01400A93"/>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7F16B2"/>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F7165D"/>
    <w:rsid w:val="06017CE0"/>
    <w:rsid w:val="060F5CB3"/>
    <w:rsid w:val="062F2659"/>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795F7F"/>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8F10EE5"/>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A6F59"/>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3A0A3E"/>
    <w:rsid w:val="14413E76"/>
    <w:rsid w:val="144A0D85"/>
    <w:rsid w:val="1450192B"/>
    <w:rsid w:val="145A1D5A"/>
    <w:rsid w:val="146C12BB"/>
    <w:rsid w:val="147C6550"/>
    <w:rsid w:val="14860E19"/>
    <w:rsid w:val="148C237F"/>
    <w:rsid w:val="14A06FC1"/>
    <w:rsid w:val="14AB545D"/>
    <w:rsid w:val="14B94964"/>
    <w:rsid w:val="14D969A6"/>
    <w:rsid w:val="14F473F5"/>
    <w:rsid w:val="15090CCA"/>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D7300C"/>
    <w:rsid w:val="17EB75B0"/>
    <w:rsid w:val="17F5084F"/>
    <w:rsid w:val="17FD7216"/>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15521"/>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B772E9"/>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E96C38"/>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0E3C"/>
    <w:rsid w:val="2228517D"/>
    <w:rsid w:val="222F3D7A"/>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DC2828"/>
    <w:rsid w:val="24EB0386"/>
    <w:rsid w:val="24EB51B9"/>
    <w:rsid w:val="24EE205A"/>
    <w:rsid w:val="250B6210"/>
    <w:rsid w:val="251D6C78"/>
    <w:rsid w:val="2527297C"/>
    <w:rsid w:val="25493BC7"/>
    <w:rsid w:val="254F48B6"/>
    <w:rsid w:val="25515BCE"/>
    <w:rsid w:val="25552E35"/>
    <w:rsid w:val="25781361"/>
    <w:rsid w:val="25BA3553"/>
    <w:rsid w:val="25CC572C"/>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1B2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C24E0"/>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273C0F"/>
    <w:rsid w:val="2D2D673F"/>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0F65A2"/>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32D32"/>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D96EC7"/>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4E73E8"/>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10175"/>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1B18BB"/>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791D39"/>
    <w:rsid w:val="3F824A84"/>
    <w:rsid w:val="3F8850B3"/>
    <w:rsid w:val="3F8D1F32"/>
    <w:rsid w:val="3F970FDB"/>
    <w:rsid w:val="3FBE3BC9"/>
    <w:rsid w:val="402E54E8"/>
    <w:rsid w:val="403B29C9"/>
    <w:rsid w:val="403B53C3"/>
    <w:rsid w:val="40704E69"/>
    <w:rsid w:val="407A57A2"/>
    <w:rsid w:val="40814873"/>
    <w:rsid w:val="408E33DA"/>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433B67"/>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EE2521"/>
    <w:rsid w:val="46F4701B"/>
    <w:rsid w:val="470348BC"/>
    <w:rsid w:val="4711691D"/>
    <w:rsid w:val="47205FEA"/>
    <w:rsid w:val="472D388D"/>
    <w:rsid w:val="4733684A"/>
    <w:rsid w:val="47481121"/>
    <w:rsid w:val="476843F5"/>
    <w:rsid w:val="476B186B"/>
    <w:rsid w:val="477A3C84"/>
    <w:rsid w:val="477D700D"/>
    <w:rsid w:val="478A42F6"/>
    <w:rsid w:val="47984A0A"/>
    <w:rsid w:val="479A01B7"/>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156EC"/>
    <w:rsid w:val="4A7A7FC5"/>
    <w:rsid w:val="4A7B711D"/>
    <w:rsid w:val="4A84675D"/>
    <w:rsid w:val="4A8C3A1A"/>
    <w:rsid w:val="4A9F5932"/>
    <w:rsid w:val="4ACE2CEB"/>
    <w:rsid w:val="4ADE7963"/>
    <w:rsid w:val="4AF02ECB"/>
    <w:rsid w:val="4AF63C83"/>
    <w:rsid w:val="4B0E08CB"/>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99258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59627B"/>
    <w:rsid w:val="57607C5D"/>
    <w:rsid w:val="576739EC"/>
    <w:rsid w:val="576870CE"/>
    <w:rsid w:val="576D79CF"/>
    <w:rsid w:val="57815791"/>
    <w:rsid w:val="579025E4"/>
    <w:rsid w:val="57981008"/>
    <w:rsid w:val="579A3CA4"/>
    <w:rsid w:val="57B13971"/>
    <w:rsid w:val="57BE7879"/>
    <w:rsid w:val="57D06D45"/>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1E544A"/>
    <w:rsid w:val="59232D32"/>
    <w:rsid w:val="59324A93"/>
    <w:rsid w:val="59330283"/>
    <w:rsid w:val="59483685"/>
    <w:rsid w:val="594E5427"/>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D86A92"/>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2B5F03"/>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A40412"/>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00B0D"/>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BB1513"/>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3E657F"/>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1580E"/>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2F934EC"/>
    <w:rsid w:val="73132481"/>
    <w:rsid w:val="7325591C"/>
    <w:rsid w:val="73347DD4"/>
    <w:rsid w:val="736D44EF"/>
    <w:rsid w:val="73776CA0"/>
    <w:rsid w:val="73AE5C4B"/>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973110"/>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18F2"/>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rFonts w:eastAsiaTheme="minorEastAsia"/>
      <w:b/>
      <w:bCs/>
      <w:kern w:val="44"/>
      <w:sz w:val="44"/>
      <w:szCs w:val="44"/>
    </w:rPr>
  </w:style>
  <w:style w:type="paragraph" w:styleId="3">
    <w:name w:val="heading 2"/>
    <w:basedOn w:val="2"/>
    <w:next w:val="1"/>
    <w:link w:val="73"/>
    <w:qFormat/>
    <w:uiPriority w:val="0"/>
    <w:pPr>
      <w:overflowPunct w:val="0"/>
      <w:autoSpaceDE w:val="0"/>
      <w:autoSpaceDN w:val="0"/>
      <w:adjustRightInd w:val="0"/>
      <w:spacing w:before="180" w:after="180" w:line="240" w:lineRule="auto"/>
      <w:textAlignment w:val="baseline"/>
      <w:outlineLvl w:val="1"/>
    </w:pPr>
    <w:rPr>
      <w:rFonts w:ascii="Arial" w:hAnsi="Arial" w:eastAsia="MS Mincho"/>
      <w:kern w:val="0"/>
      <w:sz w:val="32"/>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1"/>
    <w:next w:val="1"/>
    <w:link w:val="75"/>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6"/>
    <w:qFormat/>
    <w:uiPriority w:val="0"/>
    <w:pPr>
      <w:tabs>
        <w:tab w:val="left" w:pos="1008"/>
        <w:tab w:val="left" w:pos="2383"/>
        <w:tab w:val="clear" w:pos="864"/>
        <w:tab w:val="clear" w:pos="2071"/>
      </w:tabs>
      <w:ind w:left="2196"/>
      <w:outlineLvl w:val="4"/>
    </w:p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rFonts w:eastAsiaTheme="minorEastAsia"/>
      <w:b/>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uiPriority w:val="99"/>
    <w:tblPr>
      <w:tblCellMar>
        <w:top w:w="0" w:type="dxa"/>
        <w:left w:w="108" w:type="dxa"/>
        <w:bottom w:w="0" w:type="dxa"/>
        <w:right w:w="108" w:type="dxa"/>
      </w:tblCellMar>
    </w:tblPr>
  </w:style>
  <w:style w:type="paragraph" w:styleId="11">
    <w:name w:val="List 3"/>
    <w:basedOn w:val="12"/>
    <w:qFormat/>
    <w:uiPriority w:val="0"/>
    <w:pPr>
      <w:spacing w:before="40"/>
      <w:ind w:left="849" w:hanging="283"/>
    </w:pPr>
    <w:rPr>
      <w:rFonts w:ascii="Arial" w:hAnsi="Arial" w:eastAsia="MS Mincho"/>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spacing w:after="160" w:line="259" w:lineRule="auto"/>
      <w:ind w:left="200" w:hanging="200" w:hangingChars="200"/>
      <w:contextualSpacing/>
    </w:pPr>
    <w:rPr>
      <w:rFonts w:eastAsiaTheme="minorEastAsia"/>
    </w:rPr>
  </w:style>
  <w:style w:type="paragraph" w:styleId="14">
    <w:name w:val="toc 7"/>
    <w:basedOn w:val="1"/>
    <w:next w:val="1"/>
    <w:qFormat/>
    <w:uiPriority w:val="0"/>
    <w:pPr>
      <w:tabs>
        <w:tab w:val="right" w:leader="dot" w:pos="9241"/>
      </w:tabs>
      <w:spacing w:after="160" w:line="259" w:lineRule="auto"/>
      <w:ind w:firstLine="500" w:firstLineChars="500"/>
    </w:pPr>
    <w:rPr>
      <w:rFonts w:ascii="宋体" w:eastAsiaTheme="minorEastAsia"/>
    </w:rPr>
  </w:style>
  <w:style w:type="paragraph" w:styleId="15">
    <w:name w:val="List Number 2"/>
    <w:basedOn w:val="16"/>
    <w:qFormat/>
    <w:uiPriority w:val="0"/>
    <w:pPr>
      <w:ind w:left="851"/>
    </w:pPr>
  </w:style>
  <w:style w:type="paragraph" w:styleId="16">
    <w:name w:val="List Number"/>
    <w:basedOn w:val="13"/>
    <w:qFormat/>
    <w:uiPriority w:val="0"/>
    <w:pPr>
      <w:overflowPunct w:val="0"/>
      <w:autoSpaceDE w:val="0"/>
      <w:autoSpaceDN w:val="0"/>
      <w:adjustRightInd w:val="0"/>
      <w:spacing w:after="180"/>
      <w:ind w:left="0" w:firstLine="0" w:firstLineChars="0"/>
      <w:textAlignment w:val="baseline"/>
    </w:pPr>
    <w:rPr>
      <w:rFonts w:eastAsia="MS Mincho"/>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tabs>
        <w:tab w:val="left" w:pos="360"/>
        <w:tab w:val="left" w:pos="1259"/>
      </w:tabs>
      <w:spacing w:before="40" w:after="160" w:line="259" w:lineRule="auto"/>
      <w:ind w:left="1622" w:hanging="1055"/>
    </w:pPr>
    <w:rPr>
      <w:rFonts w:ascii="Arial" w:hAnsi="Arial" w:eastAsia="MS Mincho"/>
      <w:sz w:val="20"/>
      <w:lang w:val="en-GB" w:eastAsia="en-GB"/>
    </w:rPr>
  </w:style>
  <w:style w:type="paragraph" w:styleId="21">
    <w:name w:val="index 8"/>
    <w:basedOn w:val="1"/>
    <w:next w:val="1"/>
    <w:qFormat/>
    <w:uiPriority w:val="0"/>
    <w:pPr>
      <w:spacing w:after="160" w:line="259" w:lineRule="auto"/>
      <w:ind w:left="1680" w:hanging="210"/>
    </w:pPr>
    <w:rPr>
      <w:rFonts w:ascii="Calibri" w:hAnsi="Calibri" w:eastAsiaTheme="minorEastAsia"/>
      <w:sz w:val="20"/>
      <w:szCs w:val="20"/>
    </w:rPr>
  </w:style>
  <w:style w:type="paragraph" w:styleId="22">
    <w:name w:val="caption"/>
    <w:basedOn w:val="1"/>
    <w:next w:val="1"/>
    <w:link w:val="90"/>
    <w:qFormat/>
    <w:uiPriority w:val="0"/>
    <w:pPr>
      <w:spacing w:before="152" w:after="160" w:line="259" w:lineRule="auto"/>
    </w:pPr>
    <w:rPr>
      <w:rFonts w:ascii="Arial" w:hAnsi="Arial" w:eastAsia="黑体" w:cs="Arial"/>
      <w:sz w:val="20"/>
      <w:szCs w:val="20"/>
    </w:rPr>
  </w:style>
  <w:style w:type="paragraph" w:styleId="23">
    <w:name w:val="index 5"/>
    <w:basedOn w:val="1"/>
    <w:next w:val="1"/>
    <w:qFormat/>
    <w:uiPriority w:val="0"/>
    <w:pPr>
      <w:spacing w:after="160" w:line="259" w:lineRule="auto"/>
      <w:ind w:left="1050" w:hanging="210"/>
    </w:pPr>
    <w:rPr>
      <w:rFonts w:ascii="Calibri" w:hAnsi="Calibri" w:eastAsiaTheme="minorEastAsia"/>
      <w:sz w:val="20"/>
      <w:szCs w:val="20"/>
    </w:rPr>
  </w:style>
  <w:style w:type="paragraph" w:styleId="24">
    <w:name w:val="Document Map"/>
    <w:basedOn w:val="1"/>
    <w:link w:val="71"/>
    <w:unhideWhenUsed/>
    <w:qFormat/>
    <w:uiPriority w:val="0"/>
    <w:pPr>
      <w:spacing w:after="160" w:line="259" w:lineRule="auto"/>
    </w:pPr>
    <w:rPr>
      <w:rFonts w:ascii="宋体" w:eastAsiaTheme="minorEastAsia"/>
      <w:sz w:val="18"/>
      <w:szCs w:val="18"/>
    </w:rPr>
  </w:style>
  <w:style w:type="paragraph" w:styleId="25">
    <w:name w:val="annotation text"/>
    <w:basedOn w:val="1"/>
    <w:link w:val="177"/>
    <w:unhideWhenUsed/>
    <w:qFormat/>
    <w:uiPriority w:val="0"/>
    <w:pPr>
      <w:spacing w:after="160" w:line="259" w:lineRule="auto"/>
    </w:pPr>
    <w:rPr>
      <w:rFonts w:eastAsiaTheme="minorEastAsia"/>
    </w:rPr>
  </w:style>
  <w:style w:type="paragraph" w:styleId="26">
    <w:name w:val="index 6"/>
    <w:basedOn w:val="1"/>
    <w:next w:val="1"/>
    <w:qFormat/>
    <w:uiPriority w:val="0"/>
    <w:pPr>
      <w:spacing w:after="160" w:line="259" w:lineRule="auto"/>
      <w:ind w:left="1260" w:hanging="210"/>
    </w:pPr>
    <w:rPr>
      <w:rFonts w:ascii="Calibri" w:hAnsi="Calibri" w:eastAsiaTheme="minorEastAsia"/>
      <w:sz w:val="20"/>
      <w:szCs w:val="20"/>
    </w:rPr>
  </w:style>
  <w:style w:type="paragraph" w:styleId="27">
    <w:name w:val="Body Text"/>
    <w:basedOn w:val="1"/>
    <w:link w:val="125"/>
    <w:qFormat/>
    <w:uiPriority w:val="0"/>
    <w:pPr>
      <w:spacing w:before="40" w:after="120" w:line="259" w:lineRule="auto"/>
    </w:pPr>
    <w:rPr>
      <w:rFonts w:ascii="Arial" w:hAnsi="Arial" w:eastAsia="MS Mincho"/>
      <w:sz w:val="20"/>
      <w:lang w:val="en-GB" w:eastAsia="en-GB"/>
    </w:rPr>
  </w:style>
  <w:style w:type="paragraph" w:styleId="28">
    <w:name w:val="index 4"/>
    <w:basedOn w:val="1"/>
    <w:next w:val="1"/>
    <w:qFormat/>
    <w:uiPriority w:val="0"/>
    <w:pPr>
      <w:spacing w:after="160" w:line="259" w:lineRule="auto"/>
      <w:ind w:left="840" w:hanging="210"/>
    </w:pPr>
    <w:rPr>
      <w:rFonts w:ascii="Calibri" w:hAnsi="Calibri" w:eastAsiaTheme="minorEastAsia"/>
      <w:sz w:val="20"/>
      <w:szCs w:val="20"/>
    </w:rPr>
  </w:style>
  <w:style w:type="paragraph" w:styleId="29">
    <w:name w:val="toc 5"/>
    <w:basedOn w:val="1"/>
    <w:next w:val="1"/>
    <w:qFormat/>
    <w:uiPriority w:val="0"/>
    <w:pPr>
      <w:tabs>
        <w:tab w:val="right" w:leader="dot" w:pos="9241"/>
      </w:tabs>
      <w:spacing w:after="160" w:line="259" w:lineRule="auto"/>
      <w:ind w:firstLine="300" w:firstLineChars="300"/>
    </w:pPr>
    <w:rPr>
      <w:rFonts w:ascii="宋体" w:eastAsiaTheme="minorEastAsia"/>
    </w:rPr>
  </w:style>
  <w:style w:type="paragraph" w:styleId="30">
    <w:name w:val="toc 3"/>
    <w:basedOn w:val="1"/>
    <w:next w:val="1"/>
    <w:qFormat/>
    <w:uiPriority w:val="0"/>
    <w:pPr>
      <w:tabs>
        <w:tab w:val="right" w:leader="dot" w:pos="9241"/>
      </w:tabs>
      <w:spacing w:after="160" w:line="259" w:lineRule="auto"/>
      <w:ind w:firstLine="100" w:firstLineChars="100"/>
    </w:pPr>
    <w:rPr>
      <w:rFonts w:ascii="宋体" w:eastAsiaTheme="minorEastAsia"/>
    </w:rPr>
  </w:style>
  <w:style w:type="paragraph" w:styleId="31">
    <w:name w:val="Plain Text"/>
    <w:basedOn w:val="1"/>
    <w:link w:val="117"/>
    <w:unhideWhenUsed/>
    <w:qFormat/>
    <w:uiPriority w:val="99"/>
    <w:pPr>
      <w:spacing w:before="40" w:after="160" w:line="259" w:lineRule="auto"/>
    </w:pPr>
    <w:rPr>
      <w:rFonts w:ascii="Consolas" w:hAnsi="Consolas" w:eastAsia="Calibri"/>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spacing w:after="160" w:line="259" w:lineRule="auto"/>
      <w:ind w:firstLine="607" w:firstLineChars="600"/>
    </w:pPr>
    <w:rPr>
      <w:rFonts w:ascii="宋体" w:eastAsiaTheme="minorEastAsia"/>
    </w:rPr>
  </w:style>
  <w:style w:type="paragraph" w:styleId="34">
    <w:name w:val="index 3"/>
    <w:basedOn w:val="1"/>
    <w:next w:val="1"/>
    <w:qFormat/>
    <w:uiPriority w:val="0"/>
    <w:pPr>
      <w:spacing w:after="160" w:line="259" w:lineRule="auto"/>
      <w:ind w:left="630" w:hanging="210"/>
    </w:pPr>
    <w:rPr>
      <w:rFonts w:ascii="Calibri" w:hAnsi="Calibri" w:eastAsiaTheme="minorEastAsia"/>
      <w:sz w:val="20"/>
      <w:szCs w:val="20"/>
    </w:rPr>
  </w:style>
  <w:style w:type="paragraph" w:styleId="35">
    <w:name w:val="endnote text"/>
    <w:basedOn w:val="1"/>
    <w:link w:val="194"/>
    <w:qFormat/>
    <w:uiPriority w:val="0"/>
    <w:pPr>
      <w:snapToGrid w:val="0"/>
      <w:spacing w:after="160" w:line="259" w:lineRule="auto"/>
    </w:pPr>
    <w:rPr>
      <w:rFonts w:eastAsiaTheme="minorEastAsia"/>
    </w:rPr>
  </w:style>
  <w:style w:type="paragraph" w:styleId="36">
    <w:name w:val="Balloon Text"/>
    <w:basedOn w:val="1"/>
    <w:link w:val="69"/>
    <w:unhideWhenUsed/>
    <w:qFormat/>
    <w:uiPriority w:val="0"/>
    <w:pPr>
      <w:spacing w:after="160" w:line="259" w:lineRule="auto"/>
    </w:pPr>
    <w:rPr>
      <w:rFonts w:eastAsiaTheme="minorEastAsia"/>
      <w:sz w:val="18"/>
      <w:szCs w:val="18"/>
    </w:rPr>
  </w:style>
  <w:style w:type="paragraph" w:styleId="37">
    <w:name w:val="footer"/>
    <w:basedOn w:val="1"/>
    <w:link w:val="113"/>
    <w:qFormat/>
    <w:uiPriority w:val="99"/>
    <w:pPr>
      <w:tabs>
        <w:tab w:val="center" w:pos="4153"/>
        <w:tab w:val="right" w:pos="8306"/>
      </w:tabs>
      <w:snapToGrid w:val="0"/>
      <w:spacing w:after="160" w:line="259" w:lineRule="auto"/>
    </w:pPr>
    <w:rPr>
      <w:rFonts w:eastAsiaTheme="minorEastAsia"/>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spacing w:after="160" w:line="259" w:lineRule="auto"/>
      <w:jc w:val="center"/>
    </w:pPr>
    <w:rPr>
      <w:rFonts w:eastAsiaTheme="minorEastAsia"/>
      <w:sz w:val="18"/>
      <w:szCs w:val="18"/>
    </w:rPr>
  </w:style>
  <w:style w:type="paragraph" w:styleId="39">
    <w:name w:val="toc 1"/>
    <w:basedOn w:val="1"/>
    <w:next w:val="1"/>
    <w:qFormat/>
    <w:uiPriority w:val="39"/>
    <w:pPr>
      <w:tabs>
        <w:tab w:val="right" w:leader="dot" w:pos="9242"/>
      </w:tabs>
      <w:spacing w:beforeLines="25" w:after="160" w:afterLines="25" w:line="259" w:lineRule="auto"/>
    </w:pPr>
    <w:rPr>
      <w:rFonts w:ascii="宋体" w:eastAsiaTheme="minorEastAsia"/>
    </w:rPr>
  </w:style>
  <w:style w:type="paragraph" w:styleId="40">
    <w:name w:val="toc 4"/>
    <w:basedOn w:val="1"/>
    <w:next w:val="1"/>
    <w:qFormat/>
    <w:uiPriority w:val="0"/>
    <w:pPr>
      <w:tabs>
        <w:tab w:val="right" w:leader="dot" w:pos="9241"/>
      </w:tabs>
      <w:spacing w:after="160" w:line="259" w:lineRule="auto"/>
      <w:ind w:firstLine="200" w:firstLineChars="200"/>
    </w:pPr>
    <w:rPr>
      <w:rFonts w:ascii="宋体" w:eastAsiaTheme="minorEastAsia"/>
    </w:rPr>
  </w:style>
  <w:style w:type="paragraph" w:styleId="41">
    <w:name w:val="index heading"/>
    <w:basedOn w:val="1"/>
    <w:next w:val="42"/>
    <w:qFormat/>
    <w:uiPriority w:val="0"/>
    <w:pPr>
      <w:spacing w:before="120" w:after="120" w:line="259" w:lineRule="auto"/>
      <w:jc w:val="center"/>
    </w:pPr>
    <w:rPr>
      <w:rFonts w:ascii="Calibri" w:hAnsi="Calibri" w:eastAsiaTheme="minorEastAsia"/>
      <w:b/>
      <w:bCs/>
      <w:iCs/>
      <w:szCs w:val="20"/>
    </w:rPr>
  </w:style>
  <w:style w:type="paragraph" w:styleId="42">
    <w:name w:val="index 1"/>
    <w:basedOn w:val="1"/>
    <w:next w:val="43"/>
    <w:qFormat/>
    <w:uiPriority w:val="0"/>
    <w:pPr>
      <w:tabs>
        <w:tab w:val="right" w:leader="dot" w:pos="9299"/>
      </w:tabs>
      <w:spacing w:after="160" w:line="259" w:lineRule="auto"/>
    </w:pPr>
    <w:rPr>
      <w:rFonts w:ascii="宋体" w:eastAsiaTheme="minorEastAsia"/>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spacing w:after="160" w:line="259" w:lineRule="auto"/>
    </w:pPr>
    <w:rPr>
      <w:rFonts w:ascii="宋体" w:eastAsiaTheme="minorEastAsia"/>
      <w:sz w:val="18"/>
      <w:szCs w:val="18"/>
    </w:rPr>
  </w:style>
  <w:style w:type="paragraph" w:styleId="45">
    <w:name w:val="toc 6"/>
    <w:basedOn w:val="1"/>
    <w:next w:val="1"/>
    <w:qFormat/>
    <w:uiPriority w:val="0"/>
    <w:pPr>
      <w:tabs>
        <w:tab w:val="right" w:leader="dot" w:pos="9241"/>
      </w:tabs>
      <w:spacing w:after="160" w:line="259" w:lineRule="auto"/>
      <w:ind w:firstLine="400" w:firstLineChars="400"/>
    </w:pPr>
    <w:rPr>
      <w:rFonts w:ascii="宋体" w:eastAsiaTheme="minorEastAsia"/>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spacing w:after="160" w:line="259" w:lineRule="auto"/>
      <w:ind w:left="1470" w:hanging="210"/>
    </w:pPr>
    <w:rPr>
      <w:rFonts w:ascii="Calibri" w:hAnsi="Calibri" w:eastAsiaTheme="minorEastAsia"/>
      <w:sz w:val="20"/>
      <w:szCs w:val="20"/>
    </w:rPr>
  </w:style>
  <w:style w:type="paragraph" w:styleId="49">
    <w:name w:val="index 9"/>
    <w:basedOn w:val="1"/>
    <w:next w:val="1"/>
    <w:qFormat/>
    <w:uiPriority w:val="0"/>
    <w:pPr>
      <w:spacing w:after="160" w:line="259" w:lineRule="auto"/>
      <w:ind w:left="1890" w:hanging="210"/>
    </w:pPr>
    <w:rPr>
      <w:rFonts w:ascii="Calibri" w:hAnsi="Calibri" w:eastAsiaTheme="minorEastAsia"/>
      <w:sz w:val="20"/>
      <w:szCs w:val="20"/>
    </w:rPr>
  </w:style>
  <w:style w:type="paragraph" w:styleId="50">
    <w:name w:val="table of figures"/>
    <w:basedOn w:val="1"/>
    <w:next w:val="1"/>
    <w:qFormat/>
    <w:uiPriority w:val="99"/>
    <w:pPr>
      <w:tabs>
        <w:tab w:val="left" w:pos="811"/>
      </w:tabs>
      <w:spacing w:before="60" w:after="160" w:line="259" w:lineRule="auto"/>
      <w:ind w:left="811" w:hanging="811"/>
    </w:pPr>
    <w:rPr>
      <w:rFonts w:ascii="Arial" w:hAnsi="Arial" w:eastAsia="MS Mincho"/>
      <w:sz w:val="20"/>
      <w:lang w:val="en-GB" w:eastAsia="en-GB"/>
    </w:rPr>
  </w:style>
  <w:style w:type="paragraph" w:styleId="51">
    <w:name w:val="toc 2"/>
    <w:basedOn w:val="1"/>
    <w:next w:val="1"/>
    <w:qFormat/>
    <w:uiPriority w:val="39"/>
    <w:pPr>
      <w:tabs>
        <w:tab w:val="right" w:leader="dot" w:pos="9242"/>
      </w:tabs>
      <w:spacing w:after="160" w:line="259" w:lineRule="auto"/>
    </w:pPr>
    <w:rPr>
      <w:rFonts w:ascii="宋体" w:eastAsiaTheme="minorEastAsia"/>
    </w:rPr>
  </w:style>
  <w:style w:type="paragraph" w:styleId="52">
    <w:name w:val="toc 9"/>
    <w:basedOn w:val="1"/>
    <w:next w:val="1"/>
    <w:qFormat/>
    <w:uiPriority w:val="0"/>
    <w:pPr>
      <w:spacing w:after="160" w:line="259" w:lineRule="auto"/>
      <w:ind w:left="1470"/>
    </w:pPr>
    <w:rPr>
      <w:rFonts w:eastAsiaTheme="minorEastAsia"/>
      <w:sz w:val="20"/>
      <w:szCs w:val="20"/>
    </w:rPr>
  </w:style>
  <w:style w:type="paragraph" w:styleId="53">
    <w:name w:val="Normal (Web)"/>
    <w:basedOn w:val="1"/>
    <w:unhideWhenUsed/>
    <w:qFormat/>
    <w:uiPriority w:val="99"/>
    <w:pPr>
      <w:spacing w:before="100" w:beforeAutospacing="1" w:after="100" w:afterAutospacing="1" w:line="259" w:lineRule="auto"/>
    </w:pPr>
    <w:rPr>
      <w:rFonts w:eastAsia="Calibri"/>
      <w:lang w:val="en-GB" w:eastAsia="en-GB"/>
    </w:rPr>
  </w:style>
  <w:style w:type="paragraph" w:styleId="54">
    <w:name w:val="index 2"/>
    <w:basedOn w:val="1"/>
    <w:next w:val="1"/>
    <w:qFormat/>
    <w:uiPriority w:val="0"/>
    <w:pPr>
      <w:spacing w:after="160" w:line="259" w:lineRule="auto"/>
      <w:ind w:left="420" w:hanging="210"/>
    </w:pPr>
    <w:rPr>
      <w:rFonts w:ascii="Calibri" w:hAnsi="Calibri" w:eastAsiaTheme="minorEastAsia"/>
      <w:sz w:val="20"/>
      <w:szCs w:val="20"/>
    </w:rPr>
  </w:style>
  <w:style w:type="paragraph" w:styleId="55">
    <w:name w:val="annotation subject"/>
    <w:basedOn w:val="25"/>
    <w:next w:val="25"/>
    <w:link w:val="92"/>
    <w:semiHidden/>
    <w:qFormat/>
    <w:uiPriority w:val="0"/>
    <w:pPr>
      <w:spacing w:before="40"/>
    </w:pPr>
    <w:rPr>
      <w:rFonts w:ascii="Arial" w:hAnsi="Arial" w:eastAsia="MS Mincho"/>
      <w:b/>
      <w:bCs/>
      <w:sz w:val="20"/>
      <w:szCs w:val="20"/>
      <w:lang w:val="en-GB" w:eastAsia="en-GB"/>
    </w:rPr>
  </w:style>
  <w:style w:type="table" w:styleId="57">
    <w:name w:val="Table Grid"/>
    <w:basedOn w:val="56"/>
    <w:qFormat/>
    <w:uiPriority w:val="9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paragraph" w:customStyle="1" w:styleId="67">
    <w:name w:val="Doc-title"/>
    <w:basedOn w:val="1"/>
    <w:next w:val="68"/>
    <w:link w:val="111"/>
    <w:qFormat/>
    <w:uiPriority w:val="0"/>
    <w:pPr>
      <w:spacing w:after="160" w:line="259" w:lineRule="auto"/>
      <w:ind w:left="1260" w:hanging="1260"/>
    </w:pPr>
    <w:rPr>
      <w:rFonts w:ascii="Arial" w:hAnsi="Arial" w:eastAsia="MS Mincho"/>
      <w:sz w:val="20"/>
      <w:lang w:val="en-GB" w:eastAsia="en-GB"/>
    </w:rPr>
  </w:style>
  <w:style w:type="paragraph" w:customStyle="1" w:styleId="68">
    <w:name w:val="Doc-text2"/>
    <w:basedOn w:val="1"/>
    <w:link w:val="132"/>
    <w:qFormat/>
    <w:uiPriority w:val="0"/>
    <w:pPr>
      <w:tabs>
        <w:tab w:val="left" w:pos="1622"/>
      </w:tabs>
      <w:spacing w:after="160" w:line="259" w:lineRule="auto"/>
      <w:ind w:left="1622" w:hanging="363"/>
    </w:pPr>
    <w:rPr>
      <w:rFonts w:ascii="Arial" w:hAnsi="Arial" w:eastAsia="MS Mincho"/>
      <w:sz w:val="20"/>
      <w:lang w:val="en-GB" w:eastAsia="en-GB"/>
    </w:rPr>
  </w:style>
  <w:style w:type="character" w:customStyle="1" w:styleId="69">
    <w:name w:val="批注框文本 Char"/>
    <w:basedOn w:val="58"/>
    <w:link w:val="36"/>
    <w:qFormat/>
    <w:uiPriority w:val="0"/>
    <w:rPr>
      <w:kern w:val="2"/>
      <w:sz w:val="18"/>
      <w:szCs w:val="18"/>
    </w:rPr>
  </w:style>
  <w:style w:type="paragraph" w:styleId="70">
    <w:name w:val="List Paragraph"/>
    <w:basedOn w:val="1"/>
    <w:link w:val="273"/>
    <w:unhideWhenUsed/>
    <w:qFormat/>
    <w:uiPriority w:val="99"/>
    <w:pPr>
      <w:spacing w:after="160" w:line="259" w:lineRule="auto"/>
      <w:ind w:firstLine="420" w:firstLineChars="200"/>
    </w:pPr>
    <w:rPr>
      <w:rFonts w:eastAsiaTheme="minorEastAsia"/>
    </w:rPr>
  </w:style>
  <w:style w:type="character" w:customStyle="1" w:styleId="71">
    <w:name w:val="文档结构图 Char"/>
    <w:basedOn w:val="58"/>
    <w:link w:val="24"/>
    <w:qFormat/>
    <w:uiPriority w:val="0"/>
    <w:rPr>
      <w:rFonts w:ascii="宋体"/>
      <w:kern w:val="2"/>
      <w:sz w:val="18"/>
      <w:szCs w:val="18"/>
    </w:rPr>
  </w:style>
  <w:style w:type="character" w:customStyle="1" w:styleId="72">
    <w:name w:val="标题 1 Char"/>
    <w:basedOn w:val="58"/>
    <w:link w:val="2"/>
    <w:qFormat/>
    <w:uiPriority w:val="0"/>
    <w:rPr>
      <w:b/>
      <w:bCs/>
      <w:kern w:val="44"/>
      <w:sz w:val="44"/>
      <w:szCs w:val="44"/>
    </w:rPr>
  </w:style>
  <w:style w:type="character" w:customStyle="1" w:styleId="73">
    <w:name w:val="标题 2 Char"/>
    <w:basedOn w:val="58"/>
    <w:link w:val="3"/>
    <w:qFormat/>
    <w:uiPriority w:val="0"/>
    <w:rPr>
      <w:rFonts w:ascii="Arial" w:hAnsi="Arial" w:eastAsia="MS Mincho"/>
      <w:sz w:val="32"/>
      <w:szCs w:val="32"/>
      <w:lang w:val="en-GB"/>
    </w:rPr>
  </w:style>
  <w:style w:type="character" w:customStyle="1" w:styleId="74">
    <w:name w:val="标题 3 Char"/>
    <w:basedOn w:val="58"/>
    <w:link w:val="4"/>
    <w:qFormat/>
    <w:uiPriority w:val="0"/>
    <w:rPr>
      <w:b/>
      <w:bCs/>
      <w:kern w:val="2"/>
      <w:sz w:val="32"/>
      <w:szCs w:val="32"/>
    </w:rPr>
  </w:style>
  <w:style w:type="character" w:customStyle="1" w:styleId="75">
    <w:name w:val="标题 4 Char"/>
    <w:basedOn w:val="58"/>
    <w:link w:val="5"/>
    <w:qFormat/>
    <w:uiPriority w:val="0"/>
    <w:rPr>
      <w:rFonts w:ascii="Arial" w:hAnsi="Arial" w:eastAsia="黑体"/>
      <w:b/>
      <w:kern w:val="2"/>
      <w:sz w:val="28"/>
      <w:szCs w:val="24"/>
    </w:rPr>
  </w:style>
  <w:style w:type="character" w:customStyle="1" w:styleId="76">
    <w:name w:val="标题 5 Char"/>
    <w:basedOn w:val="58"/>
    <w:link w:val="6"/>
    <w:qFormat/>
    <w:uiPriority w:val="0"/>
    <w:rPr>
      <w:b/>
      <w:kern w:val="2"/>
      <w:sz w:val="28"/>
      <w:szCs w:val="24"/>
    </w:rPr>
  </w:style>
  <w:style w:type="character" w:customStyle="1" w:styleId="77">
    <w:name w:val="标题 6 Char"/>
    <w:basedOn w:val="58"/>
    <w:link w:val="7"/>
    <w:qFormat/>
    <w:uiPriority w:val="0"/>
    <w:rPr>
      <w:rFonts w:ascii="Arial" w:hAnsi="Arial" w:eastAsia="黑体"/>
      <w:b/>
      <w:kern w:val="2"/>
      <w:sz w:val="24"/>
      <w:szCs w:val="24"/>
    </w:rPr>
  </w:style>
  <w:style w:type="character" w:customStyle="1" w:styleId="78">
    <w:name w:val="标题 7 Char"/>
    <w:basedOn w:val="58"/>
    <w:link w:val="8"/>
    <w:qFormat/>
    <w:uiPriority w:val="0"/>
    <w:rPr>
      <w:b/>
      <w:kern w:val="2"/>
      <w:sz w:val="24"/>
      <w:szCs w:val="24"/>
    </w:rPr>
  </w:style>
  <w:style w:type="character" w:customStyle="1" w:styleId="79">
    <w:name w:val="标题 8 Char"/>
    <w:basedOn w:val="58"/>
    <w:link w:val="9"/>
    <w:qFormat/>
    <w:uiPriority w:val="0"/>
    <w:rPr>
      <w:rFonts w:ascii="Arial" w:hAnsi="Arial" w:eastAsia="黑体"/>
      <w:kern w:val="2"/>
      <w:sz w:val="24"/>
      <w:szCs w:val="24"/>
    </w:rPr>
  </w:style>
  <w:style w:type="character" w:customStyle="1" w:styleId="80">
    <w:name w:val="标题 9 Char"/>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8"/>
    <w:next w:val="68"/>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7"/>
    <w:link w:val="120"/>
    <w:qFormat/>
    <w:uiPriority w:val="0"/>
    <w:pPr>
      <w:spacing w:before="240" w:after="60" w:line="259" w:lineRule="auto"/>
      <w:outlineLvl w:val="8"/>
    </w:pPr>
    <w:rPr>
      <w:rFonts w:ascii="Arial" w:hAnsi="Arial" w:eastAsia="MS Mincho"/>
      <w:b/>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spacing w:before="60" w:after="180" w:line="259" w:lineRule="auto"/>
      <w:jc w:val="center"/>
    </w:pPr>
    <w:rPr>
      <w:rFonts w:ascii="Arial" w:hAnsi="Arial"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overflowPunct w:val="0"/>
      <w:autoSpaceDE w:val="0"/>
      <w:autoSpaceDN w:val="0"/>
      <w:adjustRightInd w:val="0"/>
      <w:spacing w:after="180"/>
      <w:ind w:left="568" w:hanging="284" w:firstLineChars="0"/>
      <w:textAlignment w:val="baseline"/>
    </w:pPr>
    <w:rPr>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spacing w:before="40" w:after="160" w:line="259" w:lineRule="auto"/>
    </w:pPr>
    <w:rPr>
      <w:rFonts w:ascii="Arial" w:hAnsi="Arial" w:eastAsia="MS Mincho"/>
      <w:i/>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overflowPunct w:val="0"/>
      <w:autoSpaceDE w:val="0"/>
      <w:autoSpaceDN w:val="0"/>
      <w:adjustRightInd w:val="0"/>
      <w:spacing w:after="160" w:line="259" w:lineRule="auto"/>
      <w:textAlignment w:val="baseline"/>
    </w:pPr>
    <w:rPr>
      <w:rFonts w:ascii="Arial" w:hAnsi="Arial" w:eastAsia="MS Mincho" w:cs="Arial"/>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overflowPunct w:val="0"/>
      <w:autoSpaceDE w:val="0"/>
      <w:autoSpaceDN w:val="0"/>
      <w:adjustRightInd w:val="0"/>
      <w:spacing w:after="180"/>
      <w:ind w:left="851" w:leftChars="0" w:hanging="284" w:firstLineChars="0"/>
      <w:textAlignment w:val="baseline"/>
    </w:pPr>
    <w:rPr>
      <w:rFonts w:eastAsia="MS Mincho"/>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tabs>
        <w:tab w:val="left" w:pos="1619"/>
      </w:tabs>
      <w:spacing w:before="40" w:after="160" w:line="259" w:lineRule="auto"/>
      <w:ind w:left="726" w:hanging="363"/>
    </w:pPr>
    <w:rPr>
      <w:rFonts w:ascii="Arial" w:hAnsi="Arial" w:eastAsia="MS Mincho"/>
      <w:b/>
      <w:sz w:val="20"/>
      <w:lang w:val="en-GB" w:eastAsia="en-GB"/>
    </w:rPr>
  </w:style>
  <w:style w:type="paragraph" w:customStyle="1" w:styleId="130">
    <w:name w:val="EmailDiscussion2"/>
    <w:basedOn w:val="68"/>
    <w:qFormat/>
    <w:uiPriority w:val="0"/>
  </w:style>
  <w:style w:type="character" w:customStyle="1" w:styleId="131">
    <w:name w:val="页眉 Char"/>
    <w:link w:val="38"/>
    <w:qFormat/>
    <w:uiPriority w:val="99"/>
    <w:rPr>
      <w:kern w:val="2"/>
      <w:sz w:val="18"/>
      <w:szCs w:val="18"/>
    </w:rPr>
  </w:style>
  <w:style w:type="character" w:customStyle="1" w:styleId="132">
    <w:name w:val="Doc-text2 Char Char"/>
    <w:basedOn w:val="58"/>
    <w:link w:val="68"/>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spacing w:after="160" w:line="259" w:lineRule="auto"/>
      <w:ind w:left="1259" w:hanging="419"/>
    </w:pPr>
    <w:rPr>
      <w:rFonts w:ascii="宋体" w:eastAsiaTheme="minorEastAsia"/>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overflowPunct w:val="0"/>
      <w:autoSpaceDE w:val="0"/>
      <w:autoSpaceDN w:val="0"/>
      <w:adjustRightInd w:val="0"/>
      <w:spacing w:after="180" w:line="259" w:lineRule="auto"/>
      <w:ind w:left="1702" w:hanging="1418"/>
      <w:textAlignment w:val="baseline"/>
    </w:pPr>
    <w:rPr>
      <w:rFonts w:eastAsia="MS Mincho"/>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Char"/>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pBdr>
        <w:top w:val="single" w:color="auto" w:sz="12" w:space="3"/>
      </w:pBdr>
      <w:overflowPunct w:val="0"/>
      <w:autoSpaceDE w:val="0"/>
      <w:autoSpaceDN w:val="0"/>
      <w:adjustRightInd w:val="0"/>
      <w:spacing w:before="240" w:after="180" w:line="240" w:lineRule="auto"/>
      <w:ind w:left="1134" w:hanging="1134"/>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tabs>
        <w:tab w:val="left" w:pos="360"/>
        <w:tab w:val="left" w:pos="864"/>
      </w:tabs>
      <w:wordWrap w:val="0"/>
      <w:overflowPunct w:val="0"/>
      <w:autoSpaceDE w:val="0"/>
      <w:autoSpaceDN w:val="0"/>
      <w:spacing w:beforeLines="50" w:after="160" w:afterLines="50" w:line="259" w:lineRule="auto"/>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tabs>
        <w:tab w:val="left" w:pos="1622"/>
      </w:tabs>
      <w:spacing w:after="160" w:line="259" w:lineRule="auto"/>
      <w:ind w:left="1622" w:hanging="363"/>
    </w:pPr>
    <w:rPr>
      <w:rFonts w:ascii="Arial" w:hAnsi="Arial" w:eastAsia="MS Mincho"/>
      <w:color w:val="C0000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8"/>
    <w:qFormat/>
    <w:uiPriority w:val="0"/>
    <w:pPr>
      <w:tabs>
        <w:tab w:val="left" w:pos="1259"/>
        <w:tab w:val="left" w:pos="1622"/>
      </w:tabs>
      <w:spacing w:after="160" w:line="259" w:lineRule="auto"/>
      <w:ind w:left="1627" w:hanging="697"/>
    </w:pPr>
    <w:rPr>
      <w:rFonts w:ascii="Arial" w:hAnsi="Arial" w:eastAsia="MS Mincho"/>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Char1"/>
    <w:basedOn w:val="58"/>
    <w:link w:val="25"/>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8"/>
    <w:qFormat/>
    <w:uiPriority w:val="0"/>
    <w:pPr>
      <w:tabs>
        <w:tab w:val="left" w:pos="1619"/>
      </w:tabs>
      <w:spacing w:before="60" w:after="160" w:line="259" w:lineRule="auto"/>
      <w:ind w:left="811" w:hanging="448"/>
    </w:pPr>
    <w:rPr>
      <w:rFonts w:ascii="Arial" w:hAnsi="Arial" w:eastAsia="MS Mincho"/>
      <w:b/>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Char"/>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tabs>
        <w:tab w:val="center" w:pos="4201"/>
        <w:tab w:val="right" w:leader="dot" w:pos="9298"/>
      </w:tabs>
      <w:autoSpaceDE w:val="0"/>
      <w:autoSpaceDN w:val="0"/>
      <w:spacing w:after="160" w:line="259" w:lineRule="auto"/>
    </w:pPr>
    <w:rPr>
      <w:rFonts w:ascii="宋体" w:eastAsiaTheme="minorEastAsia"/>
      <w:szCs w:val="20"/>
    </w:rPr>
  </w:style>
  <w:style w:type="paragraph" w:customStyle="1" w:styleId="198">
    <w:name w:val="参考文献、索引标题"/>
    <w:basedOn w:val="1"/>
    <w:next w:val="43"/>
    <w:qFormat/>
    <w:uiPriority w:val="0"/>
    <w:pPr>
      <w:keepNext/>
      <w:pageBreakBefore/>
      <w:shd w:val="clear" w:color="FFFFFF" w:fill="FFFFFF"/>
      <w:spacing w:before="640" w:after="200" w:line="259" w:lineRule="auto"/>
      <w:jc w:val="center"/>
      <w:outlineLvl w:val="0"/>
    </w:pPr>
    <w:rPr>
      <w:rFonts w:ascii="黑体" w:eastAsia="黑体"/>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overflowPunct w:val="0"/>
      <w:autoSpaceDE w:val="0"/>
      <w:autoSpaceDN w:val="0"/>
      <w:adjustRightInd w:val="0"/>
      <w:spacing w:after="160" w:line="259" w:lineRule="auto"/>
      <w:textAlignment w:val="baseline"/>
    </w:pPr>
    <w:rPr>
      <w:rFonts w:eastAsia="MS Mincho"/>
      <w:sz w:val="20"/>
      <w:szCs w:val="20"/>
      <w:lang w:val="en-GB" w:eastAsia="en-US"/>
    </w:rPr>
  </w:style>
  <w:style w:type="paragraph" w:customStyle="1" w:styleId="206">
    <w:name w:val="图表脚注说明"/>
    <w:basedOn w:val="1"/>
    <w:qFormat/>
    <w:uiPriority w:val="0"/>
    <w:pPr>
      <w:tabs>
        <w:tab w:val="left" w:pos="360"/>
      </w:tabs>
      <w:spacing w:after="160" w:line="259" w:lineRule="auto"/>
      <w:ind w:left="360" w:hanging="360"/>
    </w:pPr>
    <w:rPr>
      <w:rFonts w:ascii="宋体" w:eastAsiaTheme="minorEastAsia"/>
      <w:sz w:val="18"/>
      <w:szCs w:val="18"/>
    </w:rPr>
  </w:style>
  <w:style w:type="paragraph" w:customStyle="1" w:styleId="207">
    <w:name w:val="Proposal"/>
    <w:basedOn w:val="1"/>
    <w:qFormat/>
    <w:uiPriority w:val="0"/>
    <w:pPr>
      <w:tabs>
        <w:tab w:val="left" w:pos="1701"/>
      </w:tabs>
      <w:overflowPunct w:val="0"/>
      <w:autoSpaceDE w:val="0"/>
      <w:autoSpaceDN w:val="0"/>
      <w:adjustRightInd w:val="0"/>
      <w:spacing w:after="120" w:line="259" w:lineRule="auto"/>
      <w:ind w:left="1701" w:hanging="1701"/>
      <w:textAlignment w:val="baseline"/>
    </w:pPr>
    <w:rPr>
      <w:rFonts w:ascii="Arial" w:hAnsi="Arial" w:eastAsia="Times New Roman"/>
      <w:b/>
      <w:bCs/>
      <w:sz w:val="20"/>
      <w:szCs w:val="20"/>
      <w:lang w:val="en-GB"/>
    </w:rPr>
  </w:style>
  <w:style w:type="paragraph" w:customStyle="1" w:styleId="208">
    <w:name w:val="参考文献"/>
    <w:basedOn w:val="1"/>
    <w:next w:val="43"/>
    <w:qFormat/>
    <w:uiPriority w:val="0"/>
    <w:pPr>
      <w:keepNext/>
      <w:pageBreakBefore/>
      <w:shd w:val="clear" w:color="FFFFFF" w:fill="FFFFFF"/>
      <w:spacing w:before="640" w:after="200" w:line="259" w:lineRule="auto"/>
      <w:jc w:val="center"/>
      <w:outlineLvl w:val="0"/>
    </w:pPr>
    <w:rPr>
      <w:rFonts w:ascii="黑体" w:eastAsia="黑体"/>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overflowPunct w:val="0"/>
      <w:autoSpaceDE w:val="0"/>
      <w:autoSpaceDN w:val="0"/>
      <w:spacing w:after="180" w:line="259" w:lineRule="auto"/>
      <w:ind w:left="1135" w:hanging="284"/>
    </w:pPr>
    <w:rPr>
      <w:rFonts w:eastAsia="Times New Roman"/>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shd w:val="clear" w:color="FFFFFF" w:fill="FFFFFF"/>
      <w:tabs>
        <w:tab w:val="left" w:pos="360"/>
        <w:tab w:val="left" w:pos="432"/>
        <w:tab w:val="left" w:pos="6405"/>
      </w:tabs>
      <w:spacing w:before="640" w:after="280" w:line="259" w:lineRule="auto"/>
      <w:ind w:left="432" w:hanging="432"/>
      <w:jc w:val="center"/>
      <w:outlineLvl w:val="0"/>
    </w:pPr>
    <w:rPr>
      <w:rFonts w:ascii="黑体" w:eastAsia="黑体"/>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overflowPunct w:val="0"/>
      <w:autoSpaceDE w:val="0"/>
      <w:autoSpaceDN w:val="0"/>
      <w:adjustRightInd w:val="0"/>
      <w:spacing w:after="180" w:line="259" w:lineRule="auto"/>
      <w:ind w:left="1135" w:hanging="851"/>
      <w:textAlignment w:val="baseline"/>
    </w:pPr>
    <w:rPr>
      <w:rFonts w:eastAsiaTheme="minorEastAsia"/>
      <w:sz w:val="2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after="160" w:line="14" w:lineRule="exact"/>
      <w:ind w:left="811" w:hanging="448"/>
      <w:jc w:val="center"/>
      <w:outlineLvl w:val="0"/>
    </w:pPr>
    <w:rPr>
      <w:rFonts w:eastAsiaTheme="minorEastAsia"/>
      <w:color w:val="FFFFFF"/>
    </w:rPr>
  </w:style>
  <w:style w:type="paragraph" w:customStyle="1" w:styleId="223">
    <w:name w:val="附录图标题"/>
    <w:basedOn w:val="1"/>
    <w:next w:val="43"/>
    <w:qFormat/>
    <w:uiPriority w:val="0"/>
    <w:pPr>
      <w:tabs>
        <w:tab w:val="left" w:pos="363"/>
      </w:tabs>
      <w:spacing w:beforeLines="50" w:after="160" w:afterLines="50" w:line="259" w:lineRule="auto"/>
      <w:jc w:val="center"/>
    </w:pPr>
    <w:rPr>
      <w:rFonts w:ascii="黑体" w:eastAsia="黑体"/>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after="160" w:line="320" w:lineRule="exact"/>
      <w:ind w:left="400" w:leftChars="200" w:hanging="200" w:hangingChars="200"/>
      <w:textAlignment w:val="baseline"/>
    </w:pPr>
    <w:rPr>
      <w:rFonts w:ascii="宋体" w:eastAsiaTheme="minorEastAsia"/>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pPr>
      <w:spacing w:after="160" w:line="259" w:lineRule="auto"/>
    </w:pPr>
    <w:rPr>
      <w:rFonts w:eastAsiaTheme="minorEastAsia"/>
    </w:rPr>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tabs>
        <w:tab w:val="center" w:pos="4536"/>
        <w:tab w:val="right" w:pos="9072"/>
      </w:tabs>
      <w:overflowPunct w:val="0"/>
      <w:autoSpaceDE w:val="0"/>
      <w:autoSpaceDN w:val="0"/>
      <w:adjustRightInd w:val="0"/>
      <w:spacing w:after="180" w:line="259" w:lineRule="auto"/>
      <w:textAlignment w:val="baseline"/>
    </w:pPr>
    <w:rPr>
      <w:rFonts w:eastAsia="MS Mincho"/>
      <w:sz w:val="20"/>
      <w:szCs w:val="20"/>
    </w:rPr>
  </w:style>
  <w:style w:type="paragraph" w:customStyle="1" w:styleId="254">
    <w:name w:val="comments"/>
    <w:basedOn w:val="1"/>
    <w:qFormat/>
    <w:uiPriority w:val="0"/>
    <w:pPr>
      <w:spacing w:before="40" w:after="160" w:line="259" w:lineRule="auto"/>
    </w:pPr>
    <w:rPr>
      <w:rFonts w:ascii="Arial" w:hAnsi="Arial" w:eastAsia="Calibri" w:cs="Arial"/>
      <w:i/>
      <w:iCs/>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160" w:afterLines="50" w:line="259" w:lineRule="auto"/>
      <w:jc w:val="center"/>
    </w:pPr>
    <w:rPr>
      <w:rFonts w:ascii="黑体" w:eastAsia="黑体"/>
    </w:rPr>
  </w:style>
  <w:style w:type="paragraph" w:customStyle="1" w:styleId="258">
    <w:name w:val="附录图标号"/>
    <w:basedOn w:val="1"/>
    <w:qFormat/>
    <w:uiPriority w:val="0"/>
    <w:pPr>
      <w:keepNext/>
      <w:pageBreakBefore/>
      <w:tabs>
        <w:tab w:val="left" w:pos="0"/>
      </w:tabs>
      <w:spacing w:after="160" w:line="14" w:lineRule="exact"/>
      <w:ind w:firstLine="363"/>
      <w:jc w:val="center"/>
      <w:outlineLvl w:val="0"/>
    </w:pPr>
    <w:rPr>
      <w:rFonts w:eastAsiaTheme="minorEastAsia"/>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shd w:val="clear" w:color="FFFFFF" w:fill="FFFFFF"/>
      <w:spacing w:before="640" w:after="560" w:line="460" w:lineRule="exact"/>
      <w:jc w:val="center"/>
      <w:outlineLvl w:val="0"/>
    </w:pPr>
    <w:rPr>
      <w:rFonts w:ascii="黑体" w:eastAsia="黑体"/>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出段落 Char"/>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spacing w:after="180" w:line="259" w:lineRule="auto"/>
    </w:pPr>
    <w:rPr>
      <w:rFonts w:eastAsiaTheme="minorEastAsia"/>
      <w:i/>
      <w:color w:val="0000FF"/>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spacing w:after="160" w:line="259" w:lineRule="auto"/>
    </w:pPr>
    <w:rPr>
      <w:rFonts w:eastAsiaTheme="minorEastAsia"/>
    </w:rPr>
  </w:style>
  <w:style w:type="paragraph" w:customStyle="1" w:styleId="281">
    <w:name w:val="Pat Appl"/>
    <w:basedOn w:val="1"/>
    <w:qFormat/>
    <w:uiPriority w:val="0"/>
    <w:pPr>
      <w:tabs>
        <w:tab w:val="left" w:pos="1080"/>
      </w:tabs>
      <w:adjustRightInd w:val="0"/>
      <w:spacing w:after="160" w:line="360" w:lineRule="auto"/>
      <w:textAlignment w:val="baseline"/>
    </w:pPr>
    <w:rPr>
      <w:rFonts w:eastAsiaTheme="minorEastAsia"/>
      <w:bCs/>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 w:type="paragraph" w:customStyle="1" w:styleId="283">
    <w:name w:val="Source"/>
    <w:basedOn w:val="1"/>
    <w:qFormat/>
    <w:uiPriority w:val="0"/>
    <w:pPr>
      <w:spacing w:after="60" w:line="259" w:lineRule="auto"/>
      <w:ind w:left="1985" w:hanging="1985"/>
    </w:pPr>
    <w:rPr>
      <w:rFonts w:ascii="Arial" w:hAnsi="Arial" w:cs="Arial" w:eastAsiaTheme="minorEastAsia"/>
      <w:b/>
      <w:lang w:eastAsia="en-US"/>
    </w:rPr>
  </w:style>
  <w:style w:type="table" w:customStyle="1" w:styleId="284">
    <w:name w:val="网格型1"/>
    <w:basedOn w:val="5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修订1"/>
    <w:hidden/>
    <w:semiHidden/>
    <w:qFormat/>
    <w:uiPriority w:val="99"/>
    <w:rPr>
      <w:rFonts w:ascii="Times New Roman" w:hAnsi="Times New Roman" w:cs="Times New Roman" w:eastAsiaTheme="minorEastAsia"/>
      <w:kern w:val="2"/>
      <w:sz w:val="21"/>
      <w:szCs w:val="24"/>
      <w:lang w:val="en-US" w:eastAsia="zh-CN" w:bidi="ar-SA"/>
    </w:rPr>
  </w:style>
  <w:style w:type="character" w:customStyle="1" w:styleId="286">
    <w:name w:val="CR Cover Page Zchn"/>
    <w:basedOn w:val="58"/>
    <w:qFormat/>
    <w:uiPriority w:val="0"/>
    <w:rPr>
      <w:rFonts w:ascii="Arial" w:hAnsi="Arial" w:cs="Arial"/>
      <w:lang w:val="en-US" w:eastAsia="en-US"/>
    </w:rPr>
  </w:style>
  <w:style w:type="paragraph" w:customStyle="1" w:styleId="287">
    <w:name w:val="Default"/>
    <w:unhideWhenUsed/>
    <w:qFormat/>
    <w:uiPriority w:val="99"/>
    <w:pPr>
      <w:widowControl w:val="0"/>
      <w:autoSpaceDE w:val="0"/>
      <w:autoSpaceDN w:val="0"/>
      <w:adjustRightInd w:val="0"/>
    </w:pPr>
    <w:rPr>
      <w:rFonts w:hint="eastAsia" w:ascii="Segoe UI" w:hAnsi="Segoe UI" w:eastAsia="Segoe UI" w:cs="Times New Roman"/>
      <w:color w:val="000000"/>
      <w:sz w:val="24"/>
      <w:szCs w:val="24"/>
      <w:lang w:val="en-US" w:eastAsia="zh-CN" w:bidi="ar-SA"/>
    </w:rPr>
  </w:style>
  <w:style w:type="paragraph" w:customStyle="1" w:styleId="288">
    <w:name w:val="列出段落1"/>
    <w:basedOn w:val="1"/>
    <w:qFormat/>
    <w:uiPriority w:val="0"/>
    <w:pPr>
      <w:ind w:firstLine="420" w:firstLineChars="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0DFB6E-43D0-4F3F-871E-B570EF961C2A}">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4</Pages>
  <Words>1083</Words>
  <Characters>6176</Characters>
  <Lines>51</Lines>
  <Paragraphs>14</Paragraphs>
  <TotalTime>21</TotalTime>
  <ScaleCrop>false</ScaleCrop>
  <LinksUpToDate>false</LinksUpToDate>
  <CharactersWithSpaces>7245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2023-11-03T07:13:00Z</dcterms:created>
  <dc:creator>10033860</dc:creator>
  <cp:lastModifiedBy>ZTE_Wenting</cp:lastModifiedBy>
  <cp:lastPrinted>2113-01-01T00:00:00Z</cp:lastPrinted>
  <dcterms:modified xsi:type="dcterms:W3CDTF">2023-11-03T08:33:40Z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