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94034" w14:textId="0B49D0EC" w:rsidR="00C133BF" w:rsidRPr="00C133BF" w:rsidRDefault="00C133BF" w:rsidP="00C133BF">
      <w:pPr>
        <w:ind w:left="1800" w:hanging="1800"/>
        <w:rPr>
          <w:rFonts w:eastAsia="MS Mincho"/>
          <w:b/>
          <w:sz w:val="24"/>
          <w:szCs w:val="24"/>
          <w:lang w:val="de-DE" w:eastAsia="x-none"/>
        </w:rPr>
      </w:pPr>
      <w:r w:rsidRPr="00C133BF">
        <w:rPr>
          <w:rFonts w:eastAsia="MS Mincho"/>
          <w:b/>
          <w:sz w:val="24"/>
          <w:szCs w:val="24"/>
          <w:lang w:val="de-DE" w:eastAsia="x-none"/>
        </w:rPr>
        <w:t>3GPP TSG-RAN WG2 Meeting #124</w:t>
      </w:r>
      <w:r w:rsidRPr="00C133BF">
        <w:rPr>
          <w:rFonts w:eastAsia="MS Mincho"/>
          <w:b/>
          <w:sz w:val="24"/>
          <w:szCs w:val="24"/>
          <w:lang w:val="de-DE" w:eastAsia="x-none"/>
        </w:rPr>
        <w:tab/>
      </w:r>
      <w:r>
        <w:rPr>
          <w:rFonts w:eastAsia="MS Mincho"/>
          <w:b/>
          <w:sz w:val="24"/>
          <w:szCs w:val="24"/>
          <w:lang w:val="de-DE" w:eastAsia="x-none"/>
        </w:rPr>
        <w:t xml:space="preserve">                                                                  </w:t>
      </w:r>
      <w:r w:rsidRPr="00C133BF">
        <w:rPr>
          <w:rFonts w:eastAsia="MS Mincho"/>
          <w:b/>
          <w:sz w:val="24"/>
          <w:szCs w:val="24"/>
          <w:lang w:val="de-DE" w:eastAsia="x-none"/>
        </w:rPr>
        <w:t>R2-2</w:t>
      </w:r>
      <w:r w:rsidR="00513E32">
        <w:rPr>
          <w:rFonts w:eastAsia="MS Mincho"/>
          <w:b/>
          <w:sz w:val="24"/>
          <w:szCs w:val="24"/>
          <w:lang w:val="de-DE" w:eastAsia="x-none"/>
        </w:rPr>
        <w:t>313285</w:t>
      </w:r>
    </w:p>
    <w:p w14:paraId="6AD93AD2" w14:textId="7E81034C" w:rsidR="006E0825" w:rsidRDefault="00C133BF" w:rsidP="00C133BF">
      <w:pPr>
        <w:ind w:left="1800" w:hanging="1800"/>
        <w:rPr>
          <w:rFonts w:eastAsia="MS Mincho"/>
          <w:b/>
          <w:sz w:val="24"/>
          <w:szCs w:val="24"/>
          <w:lang w:val="de-DE" w:eastAsia="x-none"/>
        </w:rPr>
      </w:pPr>
      <w:r w:rsidRPr="00C133BF">
        <w:rPr>
          <w:rFonts w:eastAsia="MS Mincho"/>
          <w:b/>
          <w:sz w:val="24"/>
          <w:szCs w:val="24"/>
          <w:lang w:val="de-DE" w:eastAsia="x-none"/>
        </w:rPr>
        <w:t>Chicago, USA, Nov. 13th – 17th, 2023</w:t>
      </w:r>
    </w:p>
    <w:p w14:paraId="50C1D824" w14:textId="77777777" w:rsidR="00C133BF" w:rsidRDefault="00C133BF" w:rsidP="00C133BF">
      <w:pPr>
        <w:ind w:left="1800" w:hanging="1800"/>
        <w:rPr>
          <w:b/>
          <w:sz w:val="24"/>
          <w:szCs w:val="24"/>
        </w:rPr>
      </w:pPr>
    </w:p>
    <w:p w14:paraId="4ECEF67E" w14:textId="0FB7CA9B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B3B22">
        <w:rPr>
          <w:b/>
          <w:sz w:val="24"/>
          <w:szCs w:val="24"/>
        </w:rPr>
        <w:t>7</w:t>
      </w:r>
      <w:r w:rsidR="0023655D">
        <w:rPr>
          <w:b/>
          <w:sz w:val="24"/>
          <w:szCs w:val="24"/>
        </w:rPr>
        <w:t>.1</w:t>
      </w:r>
      <w:r w:rsidR="00D12A86">
        <w:rPr>
          <w:b/>
          <w:sz w:val="24"/>
          <w:szCs w:val="24"/>
        </w:rPr>
        <w:t>2</w:t>
      </w:r>
      <w:r w:rsidR="004627EF">
        <w:rPr>
          <w:b/>
          <w:sz w:val="24"/>
          <w:szCs w:val="24"/>
        </w:rPr>
        <w:t>.</w:t>
      </w:r>
      <w:r w:rsidR="00C133BF">
        <w:rPr>
          <w:b/>
          <w:sz w:val="24"/>
          <w:szCs w:val="24"/>
        </w:rPr>
        <w:t>2.5</w:t>
      </w:r>
    </w:p>
    <w:p w14:paraId="74D32287" w14:textId="60FF00CC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53DDD44A" w14:textId="2509B29D" w:rsidR="00D12A86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247F1">
        <w:rPr>
          <w:b/>
          <w:sz w:val="24"/>
          <w:szCs w:val="24"/>
        </w:rPr>
        <w:t>Mobile IAB</w:t>
      </w:r>
      <w:r w:rsidR="00C133BF">
        <w:rPr>
          <w:b/>
          <w:sz w:val="24"/>
          <w:szCs w:val="24"/>
        </w:rPr>
        <w:t xml:space="preserve"> UE Capabilities</w:t>
      </w:r>
    </w:p>
    <w:p w14:paraId="595ACB35" w14:textId="4D91224D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24F93EE5" w14:textId="576B99B1" w:rsidR="00B437E2" w:rsidRDefault="00B437E2" w:rsidP="00B437E2">
      <w:pPr>
        <w:rPr>
          <w:rFonts w:ascii="Calibri" w:eastAsia="Malgun Gothic" w:hAnsi="Calibri" w:cs="Batang"/>
          <w:lang w:val="en-GB" w:eastAsia="ko-KR"/>
        </w:rPr>
      </w:pPr>
      <w:bookmarkStart w:id="2" w:name="OLE_LINK41"/>
      <w:bookmarkStart w:id="3" w:name="OLE_LINK42"/>
      <w:bookmarkStart w:id="4" w:name="OLE_LINK83"/>
      <w:r>
        <w:rPr>
          <w:rFonts w:ascii="Calibri" w:eastAsia="Malgun Gothic" w:hAnsi="Calibri" w:cs="Batang"/>
          <w:lang w:val="en-GB" w:eastAsia="ko-KR"/>
        </w:rPr>
        <w:t>As part of</w:t>
      </w:r>
      <w:r w:rsidRPr="00C724F1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Rel-18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3F09DD">
        <w:rPr>
          <w:rFonts w:ascii="Calibri" w:hAnsi="Calibri" w:cs="Calibri"/>
        </w:rPr>
        <w:t>Mobile IAB</w:t>
      </w:r>
      <w:r w:rsidR="00F6461F">
        <w:rPr>
          <w:rFonts w:ascii="Calibri" w:hAnsi="Calibri" w:cs="Calibri"/>
        </w:rPr>
        <w:t xml:space="preserve"> for NR</w:t>
      </w:r>
      <w:r>
        <w:rPr>
          <w:rFonts w:ascii="Calibri" w:hAnsi="Calibri" w:cs="Calibri"/>
        </w:rPr>
        <w:t xml:space="preserve"> </w:t>
      </w:r>
      <w:r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>
        <w:rPr>
          <w:rFonts w:ascii="Calibri" w:eastAsia="Malgun Gothic" w:hAnsi="Calibri" w:cs="Batang"/>
          <w:lang w:val="en-GB" w:eastAsia="ko-KR"/>
        </w:rPr>
        <w:t xml:space="preserve">to specify enhancements </w:t>
      </w:r>
      <w:r w:rsidR="006D14F0">
        <w:rPr>
          <w:rFonts w:ascii="Calibri" w:eastAsia="Malgun Gothic" w:hAnsi="Calibri" w:cs="Batang"/>
          <w:lang w:val="en-GB" w:eastAsia="ko-KR"/>
        </w:rPr>
        <w:t>for the mobility of IAB nodes including the following objectives</w:t>
      </w:r>
      <w:r>
        <w:rPr>
          <w:rFonts w:ascii="Calibri" w:eastAsia="Malgun Gothic" w:hAnsi="Calibri" w:cs="Batang"/>
          <w:lang w:val="en-GB" w:eastAsia="ko-KR"/>
        </w:rPr>
        <w:t>:</w:t>
      </w:r>
    </w:p>
    <w:p w14:paraId="3E4B6BF0" w14:textId="77777777" w:rsidR="00F6461F" w:rsidRPr="0067702C" w:rsidRDefault="00F6461F" w:rsidP="00F6461F">
      <w:pPr>
        <w:pStyle w:val="maintext"/>
        <w:numPr>
          <w:ilvl w:val="0"/>
          <w:numId w:val="26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bookmarkStart w:id="5" w:name="OLE_LINK8"/>
      <w:bookmarkEnd w:id="2"/>
      <w:bookmarkEnd w:id="3"/>
      <w:r w:rsidRPr="0067702C">
        <w:rPr>
          <w:rFonts w:eastAsia="Times New Roman" w:cs="Times New Roman"/>
          <w:lang w:eastAsia="en-US"/>
        </w:rPr>
        <w:t xml:space="preserve">Enhancements for mobility of an IAB-node together with </w:t>
      </w:r>
      <w:proofErr w:type="gramStart"/>
      <w:r w:rsidRPr="0067702C">
        <w:rPr>
          <w:rFonts w:eastAsia="Times New Roman" w:cs="Times New Roman"/>
          <w:lang w:eastAsia="en-US"/>
        </w:rPr>
        <w:t>its</w:t>
      </w:r>
      <w:proofErr w:type="gramEnd"/>
      <w:r w:rsidRPr="0067702C">
        <w:rPr>
          <w:rFonts w:eastAsia="Times New Roman" w:cs="Times New Roman"/>
          <w:lang w:eastAsia="en-US"/>
        </w:rPr>
        <w:t xml:space="preserve"> served UEs</w:t>
      </w:r>
      <w:r>
        <w:rPr>
          <w:rFonts w:eastAsia="Times New Roman" w:cs="Times New Roman"/>
          <w:lang w:eastAsia="en-US"/>
        </w:rPr>
        <w:t>, including aspects related to group mobility</w:t>
      </w:r>
      <w:r w:rsidRPr="0067702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 xml:space="preserve">No optimizations for the targeting of surrounding UEs. </w:t>
      </w:r>
      <w:r w:rsidRPr="0067702C">
        <w:rPr>
          <w:rFonts w:eastAsia="Times New Roman" w:cs="Times New Roman"/>
          <w:lang w:eastAsia="en-US"/>
        </w:rPr>
        <w:t>[RAN3, RAN2]</w:t>
      </w:r>
    </w:p>
    <w:p w14:paraId="6E78A35C" w14:textId="77777777" w:rsidR="00F6461F" w:rsidRPr="00E71429" w:rsidRDefault="00F6461F" w:rsidP="00F6461F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 xml:space="preserve">Note: Solutions should avoid </w:t>
      </w:r>
      <w:r>
        <w:rPr>
          <w:rFonts w:eastAsia="Times New Roman" w:cs="Times New Roman"/>
          <w:i/>
          <w:iCs/>
          <w:lang w:eastAsia="en-US"/>
        </w:rPr>
        <w:t>touching</w:t>
      </w:r>
      <w:r w:rsidRPr="00E71429">
        <w:rPr>
          <w:rFonts w:eastAsia="Times New Roman" w:cs="Times New Roman"/>
          <w:i/>
          <w:iCs/>
          <w:lang w:eastAsia="en-US"/>
        </w:rPr>
        <w:t xml:space="preserve"> upon topics where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 discussions already occurred and</w:t>
      </w:r>
      <w:r>
        <w:rPr>
          <w:rFonts w:eastAsia="Times New Roman" w:cs="Times New Roman"/>
          <w:i/>
          <w:iCs/>
          <w:lang w:eastAsia="en-US"/>
        </w:rPr>
        <w:t xml:space="preserve"> </w:t>
      </w:r>
      <w:r w:rsidRPr="00E71429">
        <w:rPr>
          <w:rFonts w:eastAsia="Times New Roman" w:cs="Times New Roman"/>
          <w:i/>
          <w:iCs/>
          <w:lang w:eastAsia="en-US"/>
        </w:rPr>
        <w:t>where the topic was excluded from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</w:t>
      </w:r>
      <w:r>
        <w:rPr>
          <w:rFonts w:eastAsia="Times New Roman" w:cs="Times New Roman"/>
          <w:i/>
          <w:iCs/>
          <w:lang w:eastAsia="en-US"/>
        </w:rPr>
        <w:t>, except for enhancements that are specific to IAB-node mobility</w:t>
      </w:r>
      <w:r w:rsidRPr="00E71429">
        <w:rPr>
          <w:rFonts w:eastAsia="Times New Roman" w:cs="Times New Roman"/>
          <w:i/>
          <w:iCs/>
          <w:lang w:eastAsia="en-US"/>
        </w:rPr>
        <w:t>.</w:t>
      </w:r>
    </w:p>
    <w:bookmarkEnd w:id="5"/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37B5927C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6" w:name="OLE_LINK59"/>
      <w:r>
        <w:rPr>
          <w:rFonts w:ascii="Calibri" w:eastAsia="Malgun Gothic" w:hAnsi="Calibri" w:cs="Batang"/>
          <w:lang w:val="en-GB" w:eastAsia="ko-KR"/>
        </w:rPr>
        <w:t>This contribution</w:t>
      </w:r>
      <w:r w:rsidR="00506EF4">
        <w:rPr>
          <w:rFonts w:ascii="Calibri" w:eastAsia="Malgun Gothic" w:hAnsi="Calibri" w:cs="Batang"/>
          <w:lang w:val="en-GB" w:eastAsia="ko-KR"/>
        </w:rPr>
        <w:t xml:space="preserve"> discusses</w:t>
      </w:r>
      <w:r w:rsidR="002247F1">
        <w:rPr>
          <w:rFonts w:ascii="Calibri" w:eastAsia="Malgun Gothic" w:hAnsi="Calibri" w:cs="Batang"/>
          <w:lang w:val="en-GB" w:eastAsia="ko-KR"/>
        </w:rPr>
        <w:t xml:space="preserve"> </w:t>
      </w:r>
      <w:r w:rsidR="00F04233">
        <w:rPr>
          <w:rFonts w:ascii="Calibri" w:eastAsia="Malgun Gothic" w:hAnsi="Calibri" w:cs="Batang"/>
          <w:lang w:val="en-GB" w:eastAsia="ko-KR"/>
        </w:rPr>
        <w:t>UE capability signalling impacts for Mobile IAB nodes</w:t>
      </w:r>
      <w:r w:rsidR="000C1E0E">
        <w:rPr>
          <w:rFonts w:ascii="Calibri" w:eastAsia="Malgun Gothic" w:hAnsi="Calibri" w:cs="Batang"/>
          <w:lang w:val="en-GB" w:eastAsia="ko-KR"/>
        </w:rPr>
        <w:t>.</w:t>
      </w:r>
    </w:p>
    <w:bookmarkEnd w:id="4"/>
    <w:bookmarkEnd w:id="6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625C1483" w:rsidR="00346605" w:rsidRPr="00172743" w:rsidRDefault="007762F3" w:rsidP="00326FF6">
      <w:pPr>
        <w:pStyle w:val="Heading1"/>
      </w:pPr>
      <w:bookmarkStart w:id="7" w:name="OLE_LINK1"/>
      <w:r>
        <w:t xml:space="preserve">Mobile IAB </w:t>
      </w:r>
      <w:r w:rsidR="00C133BF">
        <w:t>Capabilities</w:t>
      </w:r>
    </w:p>
    <w:bookmarkEnd w:id="7"/>
    <w:p w14:paraId="1B97F488" w14:textId="7B01C700" w:rsidR="00A02FD3" w:rsidRDefault="00A02FD3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  <w:r>
        <w:rPr>
          <w:rFonts w:ascii="Calibri" w:eastAsia="Malgun Gothic" w:hAnsi="Calibri" w:cs="Batang"/>
          <w:b w:val="0"/>
          <w:bCs w:val="0"/>
          <w:lang w:eastAsia="ko-KR"/>
        </w:rPr>
        <w:t>An example of a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deployment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>of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vehicle-mounted mobile-IAB-nodes providing 5G coverage/capacity to onboard and/or surrounding UEs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is shown in Figure 1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>:</w:t>
      </w:r>
    </w:p>
    <w:p w14:paraId="0E3C48BC" w14:textId="39BEFFFB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6F6F160D" w14:textId="77777777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02502927" w14:textId="78C787D2" w:rsidR="0057056A" w:rsidRDefault="00BD6E29" w:rsidP="002801B8">
      <w:pPr>
        <w:pStyle w:val="Proposal"/>
        <w:spacing w:after="0"/>
        <w:jc w:val="center"/>
      </w:pPr>
      <w:r>
        <w:rPr>
          <w:rFonts w:ascii="Times" w:hAnsi="Times" w:cs="Times"/>
          <w:b w:val="0"/>
          <w:bCs w:val="0"/>
          <w:noProof/>
          <w:sz w:val="18"/>
          <w:szCs w:val="18"/>
        </w:rPr>
        <w:drawing>
          <wp:inline distT="0" distB="0" distL="0" distR="0" wp14:anchorId="014A7BD8" wp14:editId="31ECD328">
            <wp:extent cx="3422650" cy="18926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43" cy="191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7D75" w14:textId="5BD5B2D7" w:rsidR="00883BEB" w:rsidRDefault="00883BEB" w:rsidP="0057056A">
      <w:pPr>
        <w:pStyle w:val="Proposal"/>
        <w:spacing w:after="0"/>
        <w:ind w:left="1440" w:firstLine="0"/>
        <w:jc w:val="center"/>
      </w:pPr>
    </w:p>
    <w:p w14:paraId="303ACAEE" w14:textId="0A7DA61E" w:rsidR="00883BEB" w:rsidRPr="000514CC" w:rsidRDefault="00883BEB" w:rsidP="002801B8">
      <w:pPr>
        <w:pStyle w:val="Proposal"/>
        <w:spacing w:after="0"/>
        <w:jc w:val="center"/>
        <w:rPr>
          <w:rFonts w:ascii="Calibri" w:eastAsia="Malgun Gothic" w:hAnsi="Calibri" w:cs="Batang"/>
          <w:lang w:eastAsia="ko-KR"/>
        </w:rPr>
      </w:pPr>
      <w:r w:rsidRPr="000514CC">
        <w:rPr>
          <w:rFonts w:ascii="Calibri" w:eastAsia="Malgun Gothic" w:hAnsi="Calibri" w:cs="Batang"/>
          <w:lang w:eastAsia="ko-KR"/>
        </w:rPr>
        <w:t>Figure 1. Mobile IAB with Group Mobility</w:t>
      </w:r>
    </w:p>
    <w:p w14:paraId="62211DBB" w14:textId="77777777" w:rsidR="000F2D17" w:rsidRDefault="000F2D17" w:rsidP="00FF18E1">
      <w:pPr>
        <w:rPr>
          <w:rFonts w:ascii="Calibri" w:eastAsia="Malgun Gothic" w:hAnsi="Calibri" w:cs="Batang"/>
          <w:lang w:val="en-GB" w:eastAsia="ko-KR"/>
        </w:rPr>
      </w:pPr>
      <w:bookmarkStart w:id="8" w:name="OLE_LINK22"/>
    </w:p>
    <w:p w14:paraId="2CDAE6C0" w14:textId="086B9D3F" w:rsidR="00760B67" w:rsidRDefault="006A6273" w:rsidP="0057056A">
      <w:pPr>
        <w:rPr>
          <w:rFonts w:ascii="Calibri" w:eastAsia="Malgun Gothic" w:hAnsi="Calibri" w:cs="Batang"/>
          <w:lang w:val="en-GB" w:eastAsia="ko-KR"/>
        </w:rPr>
      </w:pPr>
      <w:bookmarkStart w:id="9" w:name="OLE_LINK24"/>
      <w:bookmarkEnd w:id="8"/>
      <w:r>
        <w:rPr>
          <w:rFonts w:ascii="Calibri" w:eastAsia="Malgun Gothic" w:hAnsi="Calibri" w:cs="Batang"/>
          <w:lang w:val="en-GB" w:eastAsia="ko-KR"/>
        </w:rPr>
        <w:t>During RAN2#123</w:t>
      </w:r>
      <w:r w:rsidR="00F04233">
        <w:rPr>
          <w:rFonts w:ascii="Calibri" w:eastAsia="Malgun Gothic" w:hAnsi="Calibri" w:cs="Batang"/>
          <w:lang w:val="en-GB" w:eastAsia="ko-KR"/>
        </w:rPr>
        <w:t>bis</w:t>
      </w:r>
      <w:r>
        <w:rPr>
          <w:rFonts w:ascii="Calibri" w:eastAsia="Malgun Gothic" w:hAnsi="Calibri" w:cs="Batang"/>
          <w:lang w:val="en-GB" w:eastAsia="ko-KR"/>
        </w:rPr>
        <w:t xml:space="preserve"> the following agreements were made:</w:t>
      </w:r>
    </w:p>
    <w:p w14:paraId="237C3681" w14:textId="77777777" w:rsidR="00F04233" w:rsidRDefault="00F04233" w:rsidP="00F04233">
      <w:pPr>
        <w:pStyle w:val="Agreement"/>
      </w:pPr>
      <w:r>
        <w:t>From R2 perspective It is not supported that Rel-18 mobile IAB</w:t>
      </w:r>
      <w:r w:rsidRPr="00A2563B">
        <w:t>-node concurrently operate</w:t>
      </w:r>
      <w:r>
        <w:t xml:space="preserve"> as a Rel-16/17 IAB-node, as </w:t>
      </w:r>
      <w:proofErr w:type="gramStart"/>
      <w:r>
        <w:t>e.g.</w:t>
      </w:r>
      <w:proofErr w:type="gramEnd"/>
      <w:r>
        <w:t xml:space="preserve"> mobile-IAB doesn’t support child IAB nodes. </w:t>
      </w:r>
    </w:p>
    <w:p w14:paraId="6F43CAAD" w14:textId="77777777" w:rsidR="00F04233" w:rsidRDefault="00F04233" w:rsidP="00F04233">
      <w:pPr>
        <w:pStyle w:val="Agreement"/>
      </w:pPr>
      <w:r>
        <w:t xml:space="preserve">This means that there are restrictions for the network in configuring concurrent use of R-18 </w:t>
      </w:r>
      <w:proofErr w:type="spellStart"/>
      <w:r>
        <w:t>mIAB</w:t>
      </w:r>
      <w:proofErr w:type="spellEnd"/>
      <w:r>
        <w:t xml:space="preserve"> feature(s) and rel-16/17 IAB features (details FFS). </w:t>
      </w:r>
    </w:p>
    <w:p w14:paraId="16C34A8F" w14:textId="77777777" w:rsidR="00F04233" w:rsidRDefault="00F04233" w:rsidP="00F04233">
      <w:pPr>
        <w:pStyle w:val="Agreement"/>
      </w:pPr>
      <w:r>
        <w:lastRenderedPageBreak/>
        <w:t xml:space="preserve">FFS if an IAB-node may send both MSG5 indications to the network, and the network decides (or if the IAB-node should decide). </w:t>
      </w:r>
    </w:p>
    <w:p w14:paraId="7E5FFDB1" w14:textId="77777777" w:rsidR="00F04233" w:rsidRDefault="00F04233" w:rsidP="00F04233">
      <w:pPr>
        <w:pStyle w:val="Agreement"/>
      </w:pPr>
      <w:r>
        <w:t xml:space="preserve">RAN2 assumes that the mobileIAB-NodeIndication-r18 in Msg5 implies a preference/intention, with the purpose to help </w:t>
      </w:r>
      <w:proofErr w:type="spellStart"/>
      <w:r>
        <w:t>gNB</w:t>
      </w:r>
      <w:proofErr w:type="spellEnd"/>
      <w:r>
        <w:t xml:space="preserve"> select core network node at initial registration.</w:t>
      </w:r>
    </w:p>
    <w:p w14:paraId="439462B1" w14:textId="77777777" w:rsidR="00F04233" w:rsidRPr="00A2563B" w:rsidRDefault="00F04233" w:rsidP="00F04233">
      <w:pPr>
        <w:pStyle w:val="Agreement"/>
      </w:pPr>
      <w:r>
        <w:t>RAN2 assumes that the MT Idle mode behaviours is reflected by a Cap wo signalling in 38306.</w:t>
      </w:r>
    </w:p>
    <w:p w14:paraId="2E9AEFA7" w14:textId="77777777" w:rsidR="00F04233" w:rsidRDefault="00F04233" w:rsidP="00F04233">
      <w:pPr>
        <w:pStyle w:val="Agreement"/>
      </w:pPr>
      <w:r>
        <w:t xml:space="preserve">FFS if a separate mobile-IAB capability (signalled) is introduced in Rel-18. </w:t>
      </w:r>
    </w:p>
    <w:p w14:paraId="54D805B6" w14:textId="77777777" w:rsidR="00F04233" w:rsidRPr="00F04233" w:rsidRDefault="00F04233" w:rsidP="00F04233">
      <w:pPr>
        <w:rPr>
          <w:lang w:val="en-GB" w:eastAsia="en-GB"/>
        </w:rPr>
      </w:pPr>
    </w:p>
    <w:p w14:paraId="56B5CF19" w14:textId="5056A9DA" w:rsidR="005B5543" w:rsidRDefault="00F04233" w:rsidP="006A6273">
      <w:pPr>
        <w:rPr>
          <w:rFonts w:ascii="Calibri" w:eastAsia="Malgun Gothic" w:hAnsi="Calibri" w:cs="Batang"/>
          <w:bCs/>
          <w:lang w:eastAsia="ko-KR"/>
        </w:rPr>
      </w:pPr>
      <w:r>
        <w:rPr>
          <w:rFonts w:ascii="Calibri" w:eastAsia="Malgun Gothic" w:hAnsi="Calibri" w:cs="Batang"/>
          <w:bCs/>
          <w:lang w:eastAsia="ko-KR"/>
        </w:rPr>
        <w:t>Given that a mobile IAB node utilizes many of the existing Rel-16/17 IAB features for operation of the access and backhaul links</w:t>
      </w:r>
      <w:r w:rsidR="007217CE">
        <w:rPr>
          <w:rFonts w:ascii="Calibri" w:eastAsia="Malgun Gothic" w:hAnsi="Calibri" w:cs="Batang"/>
          <w:bCs/>
          <w:lang w:eastAsia="ko-KR"/>
        </w:rPr>
        <w:t xml:space="preserve">, it could be expected that a UE capability report from a Rel-18 </w:t>
      </w:r>
      <w:proofErr w:type="spellStart"/>
      <w:r w:rsidR="007217CE">
        <w:rPr>
          <w:rFonts w:ascii="Calibri" w:eastAsia="Malgun Gothic" w:hAnsi="Calibri" w:cs="Batang"/>
          <w:bCs/>
          <w:lang w:eastAsia="ko-KR"/>
        </w:rPr>
        <w:t>mIAB</w:t>
      </w:r>
      <w:proofErr w:type="spellEnd"/>
      <w:r w:rsidR="007217CE">
        <w:rPr>
          <w:rFonts w:ascii="Calibri" w:eastAsia="Malgun Gothic" w:hAnsi="Calibri" w:cs="Batang"/>
          <w:bCs/>
          <w:lang w:eastAsia="ko-KR"/>
        </w:rPr>
        <w:t xml:space="preserve"> node could indicate support for many of the optional features specified for the stationary IAB nodes in Rel-16/17. </w:t>
      </w:r>
      <w:r w:rsidR="005B5543">
        <w:rPr>
          <w:rFonts w:ascii="Calibri" w:eastAsia="Malgun Gothic" w:hAnsi="Calibri" w:cs="Batang"/>
          <w:bCs/>
          <w:lang w:eastAsia="ko-KR"/>
        </w:rPr>
        <w:t>For example, a</w:t>
      </w:r>
      <w:r w:rsidR="007217CE">
        <w:rPr>
          <w:rFonts w:ascii="Calibri" w:eastAsia="Malgun Gothic" w:hAnsi="Calibri" w:cs="Batang"/>
          <w:bCs/>
          <w:lang w:eastAsia="ko-KR"/>
        </w:rPr>
        <w:t xml:space="preserve">lthough in the case of MR-DC and NR-DC features no </w:t>
      </w:r>
      <w:proofErr w:type="spellStart"/>
      <w:r w:rsidR="007217CE">
        <w:rPr>
          <w:rFonts w:ascii="Calibri" w:eastAsia="Malgun Gothic" w:hAnsi="Calibri" w:cs="Batang"/>
          <w:bCs/>
          <w:lang w:eastAsia="ko-KR"/>
        </w:rPr>
        <w:t>mIAB</w:t>
      </w:r>
      <w:proofErr w:type="spellEnd"/>
      <w:r w:rsidR="007217CE">
        <w:rPr>
          <w:rFonts w:ascii="Calibri" w:eastAsia="Malgun Gothic" w:hAnsi="Calibri" w:cs="Batang"/>
          <w:bCs/>
          <w:lang w:eastAsia="ko-KR"/>
        </w:rPr>
        <w:t xml:space="preserve">-specific optimizations were considered in Rel-18, the control plane reliability and overhead reduction still apply, and could be even more beneficial given IAB node mobility. </w:t>
      </w:r>
      <w:r w:rsidR="005B5543">
        <w:rPr>
          <w:rFonts w:ascii="Calibri" w:eastAsia="Malgun Gothic" w:hAnsi="Calibri" w:cs="Batang"/>
          <w:bCs/>
          <w:lang w:eastAsia="ko-KR"/>
        </w:rPr>
        <w:t xml:space="preserve">In addition, a network operator may deploy a </w:t>
      </w:r>
      <w:proofErr w:type="spellStart"/>
      <w:r w:rsidR="005B5543">
        <w:rPr>
          <w:rFonts w:ascii="Calibri" w:eastAsia="Malgun Gothic" w:hAnsi="Calibri" w:cs="Batang"/>
          <w:bCs/>
          <w:lang w:eastAsia="ko-KR"/>
        </w:rPr>
        <w:t>mIAB</w:t>
      </w:r>
      <w:proofErr w:type="spellEnd"/>
      <w:r w:rsidR="005B5543">
        <w:rPr>
          <w:rFonts w:ascii="Calibri" w:eastAsia="Malgun Gothic" w:hAnsi="Calibri" w:cs="Batang"/>
          <w:bCs/>
          <w:lang w:eastAsia="ko-KR"/>
        </w:rPr>
        <w:t xml:space="preserve"> node as a stationary node to provide temporary coverage in a disaster or special-event scenario. </w:t>
      </w:r>
    </w:p>
    <w:p w14:paraId="3B027B35" w14:textId="7F86C455" w:rsidR="00F509C2" w:rsidRPr="005B5543" w:rsidRDefault="00AB5B04" w:rsidP="0057056A">
      <w:pPr>
        <w:rPr>
          <w:rFonts w:ascii="Calibri" w:eastAsia="Malgun Gothic" w:hAnsi="Calibri" w:cs="Batang"/>
          <w:bCs/>
          <w:lang w:eastAsia="ko-KR"/>
        </w:rPr>
      </w:pPr>
      <w:r>
        <w:rPr>
          <w:rFonts w:ascii="Calibri" w:eastAsia="Malgun Gothic" w:hAnsi="Calibri" w:cs="Batang"/>
          <w:bCs/>
          <w:lang w:eastAsia="ko-KR"/>
        </w:rPr>
        <w:t xml:space="preserve">In this case, the </w:t>
      </w:r>
      <w:proofErr w:type="spellStart"/>
      <w:r>
        <w:rPr>
          <w:rFonts w:ascii="Calibri" w:eastAsia="Malgun Gothic" w:hAnsi="Calibri" w:cs="Batang"/>
          <w:bCs/>
          <w:lang w:eastAsia="ko-KR"/>
        </w:rPr>
        <w:t>mIAB</w:t>
      </w:r>
      <w:proofErr w:type="spellEnd"/>
      <w:r>
        <w:rPr>
          <w:rFonts w:ascii="Calibri" w:eastAsia="Malgun Gothic" w:hAnsi="Calibri" w:cs="Batang"/>
          <w:bCs/>
          <w:lang w:eastAsia="ko-KR"/>
        </w:rPr>
        <w:t xml:space="preserve"> implementation should have the same flexibility as IAB nodes of prior releases to select the set of features to indicate in the</w:t>
      </w:r>
      <w:r w:rsidR="005B5543">
        <w:rPr>
          <w:rFonts w:ascii="Calibri" w:eastAsia="Malgun Gothic" w:hAnsi="Calibri" w:cs="Batang"/>
          <w:bCs/>
          <w:lang w:eastAsia="ko-KR"/>
        </w:rPr>
        <w:t xml:space="preserve"> UE</w:t>
      </w:r>
      <w:r>
        <w:rPr>
          <w:rFonts w:ascii="Calibri" w:eastAsia="Malgun Gothic" w:hAnsi="Calibri" w:cs="Batang"/>
          <w:bCs/>
          <w:lang w:eastAsia="ko-KR"/>
        </w:rPr>
        <w:t xml:space="preserve"> capability report which are relevant for a given deployment scenario. Otherwise, as mentioned in the RAN2#123bis agreements, one solution would be for the node to </w:t>
      </w:r>
      <w:r w:rsidR="005B5543">
        <w:rPr>
          <w:rFonts w:ascii="Calibri" w:eastAsia="Malgun Gothic" w:hAnsi="Calibri" w:cs="Batang"/>
          <w:bCs/>
          <w:lang w:eastAsia="ko-KR"/>
        </w:rPr>
        <w:t>send</w:t>
      </w:r>
      <w:r>
        <w:rPr>
          <w:rFonts w:ascii="Calibri" w:eastAsia="Malgun Gothic" w:hAnsi="Calibri" w:cs="Batang"/>
          <w:bCs/>
          <w:lang w:eastAsia="ko-KR"/>
        </w:rPr>
        <w:t xml:space="preserve"> both </w:t>
      </w:r>
      <w:proofErr w:type="spellStart"/>
      <w:r>
        <w:rPr>
          <w:rFonts w:ascii="Calibri" w:eastAsia="Malgun Gothic" w:hAnsi="Calibri" w:cs="Batang"/>
          <w:bCs/>
          <w:lang w:eastAsia="ko-KR"/>
        </w:rPr>
        <w:t>mIAB</w:t>
      </w:r>
      <w:proofErr w:type="spellEnd"/>
      <w:r>
        <w:rPr>
          <w:rFonts w:ascii="Calibri" w:eastAsia="Malgun Gothic" w:hAnsi="Calibri" w:cs="Batang"/>
          <w:bCs/>
          <w:lang w:eastAsia="ko-KR"/>
        </w:rPr>
        <w:t xml:space="preserve"> and Rel-16/17 IAB M</w:t>
      </w:r>
      <w:r w:rsidR="005B5543">
        <w:rPr>
          <w:rFonts w:ascii="Calibri" w:eastAsia="Malgun Gothic" w:hAnsi="Calibri" w:cs="Batang"/>
          <w:bCs/>
          <w:lang w:eastAsia="ko-KR"/>
        </w:rPr>
        <w:t>sg</w:t>
      </w:r>
      <w:r>
        <w:rPr>
          <w:rFonts w:ascii="Calibri" w:eastAsia="Malgun Gothic" w:hAnsi="Calibri" w:cs="Batang"/>
          <w:bCs/>
          <w:lang w:eastAsia="ko-KR"/>
        </w:rPr>
        <w:t>5 indications, which could potential</w:t>
      </w:r>
      <w:r w:rsidR="005B5543">
        <w:rPr>
          <w:rFonts w:ascii="Calibri" w:eastAsia="Malgun Gothic" w:hAnsi="Calibri" w:cs="Batang"/>
          <w:bCs/>
          <w:lang w:eastAsia="ko-KR"/>
        </w:rPr>
        <w:t>ly</w:t>
      </w:r>
      <w:r>
        <w:rPr>
          <w:rFonts w:ascii="Calibri" w:eastAsia="Malgun Gothic" w:hAnsi="Calibri" w:cs="Batang"/>
          <w:bCs/>
          <w:lang w:eastAsia="ko-KR"/>
        </w:rPr>
        <w:t xml:space="preserve"> lead to many complex </w:t>
      </w:r>
      <w:r w:rsidR="005B5543">
        <w:rPr>
          <w:rFonts w:ascii="Calibri" w:eastAsia="Malgun Gothic" w:hAnsi="Calibri" w:cs="Batang"/>
          <w:bCs/>
          <w:lang w:eastAsia="ko-KR"/>
        </w:rPr>
        <w:t xml:space="preserve">scenarios for both </w:t>
      </w:r>
      <w:r>
        <w:rPr>
          <w:rFonts w:ascii="Calibri" w:eastAsia="Malgun Gothic" w:hAnsi="Calibri" w:cs="Batang"/>
          <w:bCs/>
          <w:lang w:eastAsia="ko-KR"/>
        </w:rPr>
        <w:t xml:space="preserve">IAB-MT and network (both RAN and CN) </w:t>
      </w:r>
      <w:r w:rsidR="005B5543">
        <w:rPr>
          <w:rFonts w:ascii="Calibri" w:eastAsia="Malgun Gothic" w:hAnsi="Calibri" w:cs="Batang"/>
          <w:bCs/>
          <w:lang w:eastAsia="ko-KR"/>
        </w:rPr>
        <w:t>behavior needing</w:t>
      </w:r>
      <w:r>
        <w:rPr>
          <w:rFonts w:ascii="Calibri" w:eastAsia="Malgun Gothic" w:hAnsi="Calibri" w:cs="Batang"/>
          <w:bCs/>
          <w:lang w:eastAsia="ko-KR"/>
        </w:rPr>
        <w:t xml:space="preserve"> to be addressed. Instead, a simpler approach would be to allow the node to </w:t>
      </w:r>
      <w:r w:rsidR="005B5543">
        <w:rPr>
          <w:rFonts w:ascii="Calibri" w:eastAsia="Malgun Gothic" w:hAnsi="Calibri" w:cs="Batang"/>
          <w:bCs/>
          <w:lang w:eastAsia="ko-KR"/>
        </w:rPr>
        <w:t>send</w:t>
      </w:r>
      <w:r>
        <w:rPr>
          <w:rFonts w:ascii="Calibri" w:eastAsia="Malgun Gothic" w:hAnsi="Calibri" w:cs="Batang"/>
          <w:bCs/>
          <w:lang w:eastAsia="ko-KR"/>
        </w:rPr>
        <w:t xml:space="preserve"> </w:t>
      </w:r>
      <w:r w:rsidR="005B5543">
        <w:rPr>
          <w:rFonts w:ascii="Calibri" w:eastAsia="Malgun Gothic" w:hAnsi="Calibri" w:cs="Batang"/>
          <w:bCs/>
          <w:lang w:eastAsia="ko-KR"/>
        </w:rPr>
        <w:t xml:space="preserve">either </w:t>
      </w:r>
      <w:r>
        <w:rPr>
          <w:rFonts w:ascii="Calibri" w:eastAsia="Malgun Gothic" w:hAnsi="Calibri" w:cs="Batang"/>
          <w:bCs/>
          <w:lang w:eastAsia="ko-KR"/>
        </w:rPr>
        <w:t>the legacy IAB node indication</w:t>
      </w:r>
      <w:r w:rsidR="007217CE">
        <w:rPr>
          <w:rFonts w:ascii="Calibri" w:eastAsia="Malgun Gothic" w:hAnsi="Calibri" w:cs="Batang"/>
          <w:bCs/>
          <w:lang w:eastAsia="ko-KR"/>
        </w:rPr>
        <w:t xml:space="preserve"> </w:t>
      </w:r>
      <w:r w:rsidR="005B5543" w:rsidRPr="005B5543">
        <w:rPr>
          <w:rFonts w:ascii="Calibri" w:eastAsia="Malgun Gothic" w:hAnsi="Calibri" w:cs="Batang"/>
          <w:bCs/>
          <w:lang w:eastAsia="ko-KR"/>
        </w:rPr>
        <w:t>iab-NodeIndication-r16</w:t>
      </w:r>
      <w:r w:rsidR="005B5543">
        <w:rPr>
          <w:rFonts w:ascii="Calibri" w:eastAsia="Malgun Gothic" w:hAnsi="Calibri" w:cs="Batang"/>
          <w:bCs/>
          <w:lang w:eastAsia="ko-KR"/>
        </w:rPr>
        <w:t>,</w:t>
      </w:r>
      <w:r w:rsidR="005B5543" w:rsidRPr="005B5543">
        <w:rPr>
          <w:rFonts w:ascii="Calibri" w:eastAsia="Malgun Gothic" w:hAnsi="Calibri" w:cs="Batang"/>
          <w:bCs/>
          <w:lang w:eastAsia="ko-KR"/>
        </w:rPr>
        <w:t xml:space="preserve"> </w:t>
      </w:r>
      <w:r>
        <w:rPr>
          <w:rFonts w:ascii="Calibri" w:eastAsia="Malgun Gothic" w:hAnsi="Calibri" w:cs="Batang"/>
          <w:bCs/>
          <w:lang w:eastAsia="ko-KR"/>
        </w:rPr>
        <w:t xml:space="preserve">if it only wishes to operate as a stationary Rel-16/17 IAB node or the Rel-18 mobile IAB node indication, </w:t>
      </w:r>
      <w:r w:rsidR="005B5543" w:rsidRPr="005B5543">
        <w:rPr>
          <w:rFonts w:ascii="Calibri" w:eastAsia="Malgun Gothic" w:hAnsi="Calibri" w:cs="Batang"/>
          <w:bCs/>
          <w:lang w:eastAsia="ko-KR"/>
        </w:rPr>
        <w:t>mobileIAB-NodeIndication-r18</w:t>
      </w:r>
      <w:r w:rsidR="005B5543">
        <w:rPr>
          <w:rFonts w:ascii="Calibri" w:eastAsia="Malgun Gothic" w:hAnsi="Calibri" w:cs="Batang"/>
          <w:bCs/>
          <w:lang w:eastAsia="ko-KR"/>
        </w:rPr>
        <w:t>,</w:t>
      </w:r>
      <w:r w:rsidR="005B5543" w:rsidRPr="005B5543">
        <w:rPr>
          <w:rFonts w:ascii="Calibri" w:eastAsia="Malgun Gothic" w:hAnsi="Calibri" w:cs="Batang"/>
          <w:bCs/>
          <w:lang w:eastAsia="ko-KR"/>
        </w:rPr>
        <w:t xml:space="preserve"> </w:t>
      </w:r>
      <w:r>
        <w:rPr>
          <w:rFonts w:ascii="Calibri" w:eastAsia="Malgun Gothic" w:hAnsi="Calibri" w:cs="Batang"/>
          <w:bCs/>
          <w:lang w:eastAsia="ko-KR"/>
        </w:rPr>
        <w:t xml:space="preserve">along with a set of Rel-16/17/18 IAB features that it supports. </w:t>
      </w:r>
    </w:p>
    <w:p w14:paraId="5EE7F344" w14:textId="757D105E" w:rsidR="00FF18E1" w:rsidRPr="005F3E2C" w:rsidRDefault="00FF18E1" w:rsidP="00FF18E1">
      <w:pPr>
        <w:rPr>
          <w:rFonts w:ascii="Calibri" w:eastAsia="Malgun Gothic" w:hAnsi="Calibri" w:cs="Batang"/>
          <w:b/>
          <w:bCs/>
          <w:lang w:val="en-GB" w:eastAsia="ko-KR"/>
        </w:rPr>
      </w:pPr>
      <w:bookmarkStart w:id="10" w:name="OLE_LINK16"/>
      <w:bookmarkEnd w:id="9"/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5B5543"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 w:rsidR="00AB5B04">
        <w:rPr>
          <w:rFonts w:ascii="Calibri" w:hAnsi="Calibri"/>
          <w:b/>
          <w:bCs/>
        </w:rPr>
        <w:t xml:space="preserve">A </w:t>
      </w:r>
      <w:proofErr w:type="spellStart"/>
      <w:r w:rsidR="00AB5B04">
        <w:rPr>
          <w:rFonts w:ascii="Calibri" w:hAnsi="Calibri"/>
          <w:b/>
          <w:bCs/>
        </w:rPr>
        <w:t>mIAB</w:t>
      </w:r>
      <w:proofErr w:type="spellEnd"/>
      <w:r w:rsidR="00AB5B04">
        <w:rPr>
          <w:rFonts w:ascii="Calibri" w:hAnsi="Calibri"/>
          <w:b/>
          <w:bCs/>
        </w:rPr>
        <w:t xml:space="preserve"> node should be able to indicate support for </w:t>
      </w:r>
      <w:r w:rsidR="005B5543">
        <w:rPr>
          <w:rFonts w:ascii="Calibri" w:hAnsi="Calibri"/>
          <w:b/>
          <w:bCs/>
        </w:rPr>
        <w:t xml:space="preserve">optional </w:t>
      </w:r>
      <w:r w:rsidR="00AB5B04">
        <w:rPr>
          <w:rFonts w:ascii="Calibri" w:hAnsi="Calibri"/>
          <w:b/>
          <w:bCs/>
        </w:rPr>
        <w:t xml:space="preserve">Rel-16/17 IAB features </w:t>
      </w:r>
      <w:r w:rsidR="005B5543">
        <w:rPr>
          <w:rFonts w:ascii="Calibri" w:hAnsi="Calibri"/>
          <w:b/>
          <w:bCs/>
        </w:rPr>
        <w:t xml:space="preserve">in its capability report </w:t>
      </w:r>
      <w:r w:rsidR="00AB5B04">
        <w:rPr>
          <w:rFonts w:ascii="Calibri" w:hAnsi="Calibri"/>
          <w:b/>
          <w:bCs/>
        </w:rPr>
        <w:t xml:space="preserve">without needing to </w:t>
      </w:r>
      <w:r w:rsidR="005B5543">
        <w:rPr>
          <w:rFonts w:ascii="Calibri" w:hAnsi="Calibri"/>
          <w:b/>
          <w:bCs/>
        </w:rPr>
        <w:t>send</w:t>
      </w:r>
      <w:r w:rsidR="00AB5B04">
        <w:rPr>
          <w:rFonts w:ascii="Calibri" w:hAnsi="Calibri"/>
          <w:b/>
          <w:bCs/>
        </w:rPr>
        <w:t xml:space="preserve"> </w:t>
      </w:r>
      <w:r w:rsidR="005B5543">
        <w:rPr>
          <w:rFonts w:ascii="Calibri" w:hAnsi="Calibri"/>
          <w:b/>
          <w:bCs/>
        </w:rPr>
        <w:t>iab</w:t>
      </w:r>
      <w:r w:rsidR="00AB5B04">
        <w:rPr>
          <w:rFonts w:ascii="Calibri" w:hAnsi="Calibri"/>
          <w:b/>
          <w:bCs/>
        </w:rPr>
        <w:t>-NodeIndication</w:t>
      </w:r>
      <w:r w:rsidR="005B5543">
        <w:rPr>
          <w:rFonts w:ascii="Calibri" w:hAnsi="Calibri"/>
          <w:b/>
          <w:bCs/>
        </w:rPr>
        <w:t>-r16</w:t>
      </w:r>
      <w:r w:rsidR="00AB5B04">
        <w:rPr>
          <w:rFonts w:ascii="Calibri" w:hAnsi="Calibri"/>
          <w:b/>
          <w:bCs/>
        </w:rPr>
        <w:t xml:space="preserve"> </w:t>
      </w:r>
      <w:r w:rsidR="005B5543">
        <w:rPr>
          <w:rFonts w:ascii="Calibri" w:hAnsi="Calibri"/>
          <w:b/>
          <w:bCs/>
        </w:rPr>
        <w:t>in addition to mobileIAB-NodeIndication-r18 in Msg5</w:t>
      </w:r>
      <w:r w:rsidR="00AB5B04">
        <w:rPr>
          <w:rFonts w:ascii="Calibri" w:hAnsi="Calibri"/>
          <w:b/>
          <w:bCs/>
        </w:rPr>
        <w:t xml:space="preserve">. </w:t>
      </w:r>
    </w:p>
    <w:bookmarkEnd w:id="10"/>
    <w:p w14:paraId="5C0339FC" w14:textId="77777777" w:rsidR="00B674C5" w:rsidRDefault="00B674C5" w:rsidP="001116B0">
      <w:pPr>
        <w:rPr>
          <w:rFonts w:ascii="Calibri" w:eastAsia="Malgun Gothic" w:hAnsi="Calibri" w:cs="Batang"/>
          <w:lang w:val="en-GB" w:eastAsia="ko-KR"/>
        </w:rPr>
      </w:pPr>
    </w:p>
    <w:p w14:paraId="608DAB06" w14:textId="54FF9AC5" w:rsidR="000F6423" w:rsidRPr="000C71DE" w:rsidRDefault="003A566A" w:rsidP="000C71DE">
      <w:pPr>
        <w:pStyle w:val="Heading1"/>
      </w:pPr>
      <w:r w:rsidRPr="00172743">
        <w:t>Conclusion</w:t>
      </w:r>
    </w:p>
    <w:p w14:paraId="17A757EC" w14:textId="57CBF2DB" w:rsidR="000C71DE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</w:t>
      </w:r>
      <w:r w:rsidR="000C71DE">
        <w:rPr>
          <w:rFonts w:ascii="Calibri" w:eastAsia="Malgun Gothic" w:hAnsi="Calibri" w:cs="Batang"/>
          <w:lang w:val="en-GB" w:eastAsia="ko-KR"/>
        </w:rPr>
        <w:t>contribution discusse</w:t>
      </w:r>
      <w:r>
        <w:rPr>
          <w:rFonts w:ascii="Calibri" w:eastAsia="Malgun Gothic" w:hAnsi="Calibri" w:cs="Batang"/>
          <w:lang w:val="en-GB" w:eastAsia="ko-KR"/>
        </w:rPr>
        <w:t>d</w:t>
      </w:r>
      <w:r w:rsidR="000C71DE">
        <w:rPr>
          <w:rFonts w:ascii="Calibri" w:eastAsia="Malgun Gothic" w:hAnsi="Calibri" w:cs="Batang"/>
          <w:lang w:val="en-GB" w:eastAsia="ko-KR"/>
        </w:rPr>
        <w:t xml:space="preserve"> </w:t>
      </w:r>
      <w:r w:rsidR="005B5543">
        <w:rPr>
          <w:rFonts w:ascii="Calibri" w:eastAsia="Malgun Gothic" w:hAnsi="Calibri" w:cs="Batang"/>
          <w:lang w:val="en-GB" w:eastAsia="ko-KR"/>
        </w:rPr>
        <w:t>the impact on UE capability signalling for mobile IAB nodes</w:t>
      </w:r>
      <w:r w:rsidR="000C71DE">
        <w:rPr>
          <w:rFonts w:ascii="Calibri" w:eastAsia="Malgun Gothic" w:hAnsi="Calibri" w:cs="Batang"/>
          <w:lang w:val="en-GB" w:eastAsia="ko-KR"/>
        </w:rPr>
        <w:t>. The following proposal w</w:t>
      </w:r>
      <w:r w:rsidR="002036C1">
        <w:rPr>
          <w:rFonts w:ascii="Calibri" w:eastAsia="Malgun Gothic" w:hAnsi="Calibri" w:cs="Batang"/>
          <w:lang w:val="en-GB" w:eastAsia="ko-KR"/>
        </w:rPr>
        <w:t>as</w:t>
      </w:r>
      <w:r w:rsidR="000C71DE">
        <w:rPr>
          <w:rFonts w:ascii="Calibri" w:eastAsia="Malgun Gothic" w:hAnsi="Calibri" w:cs="Batang"/>
          <w:lang w:val="en-GB" w:eastAsia="ko-KR"/>
        </w:rPr>
        <w:t xml:space="preserve"> made:</w:t>
      </w:r>
    </w:p>
    <w:p w14:paraId="7E5E3697" w14:textId="77777777" w:rsidR="009721F8" w:rsidRPr="00045AED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44B9B295" w14:textId="77777777" w:rsidR="005B5543" w:rsidRDefault="005B5543" w:rsidP="005B5543">
      <w:pPr>
        <w:rPr>
          <w:rFonts w:ascii="Calibri" w:hAnsi="Calibri"/>
          <w:b/>
          <w:bCs/>
        </w:rPr>
      </w:pPr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 xml:space="preserve">A </w:t>
      </w:r>
      <w:proofErr w:type="spellStart"/>
      <w:r>
        <w:rPr>
          <w:rFonts w:ascii="Calibri" w:hAnsi="Calibri"/>
          <w:b/>
          <w:bCs/>
        </w:rPr>
        <w:t>mIAB</w:t>
      </w:r>
      <w:proofErr w:type="spellEnd"/>
      <w:r>
        <w:rPr>
          <w:rFonts w:ascii="Calibri" w:hAnsi="Calibri"/>
          <w:b/>
          <w:bCs/>
        </w:rPr>
        <w:t xml:space="preserve"> node should be able to indicate support for optional Rel-16/17 IAB features in its capability report without needing to send iab-NodeIndication-r16 in addition to mobileIAB-NodeIndication-r18 in Msg5. </w:t>
      </w:r>
    </w:p>
    <w:p w14:paraId="3A906438" w14:textId="77777777" w:rsidR="005B5543" w:rsidRPr="005F3E2C" w:rsidRDefault="005B5543" w:rsidP="005B5543">
      <w:pPr>
        <w:rPr>
          <w:rFonts w:ascii="Calibri" w:eastAsia="Malgun Gothic" w:hAnsi="Calibri" w:cs="Batang"/>
          <w:b/>
          <w:bCs/>
          <w:lang w:val="en-GB" w:eastAsia="ko-KR"/>
        </w:rPr>
      </w:pPr>
    </w:p>
    <w:p w14:paraId="0BD12FC0" w14:textId="547F3D8C" w:rsidR="00FE6C15" w:rsidRPr="0076067D" w:rsidRDefault="00FE6C15" w:rsidP="0076067D">
      <w:pPr>
        <w:pStyle w:val="Heading1"/>
      </w:pPr>
      <w:r>
        <w:t>Reference</w:t>
      </w:r>
    </w:p>
    <w:p w14:paraId="38DD05DA" w14:textId="0E5C6281" w:rsidR="00B437E2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1" w:name="OLE_LINK51"/>
      <w:bookmarkStart w:id="12" w:name="OLE_LINK97"/>
      <w:r>
        <w:rPr>
          <w:rFonts w:cs="Times New Roman"/>
          <w:lang w:eastAsia="ko-KR"/>
        </w:rPr>
        <w:t>[1] RP-22</w:t>
      </w:r>
      <w:r w:rsidR="00F02678">
        <w:rPr>
          <w:rFonts w:cs="Times New Roman"/>
          <w:lang w:eastAsia="ko-KR"/>
        </w:rPr>
        <w:t>1815</w:t>
      </w:r>
      <w:r>
        <w:rPr>
          <w:rFonts w:cs="Times New Roman"/>
          <w:lang w:eastAsia="ko-KR"/>
        </w:rPr>
        <w:t xml:space="preserve"> </w:t>
      </w:r>
      <w:r w:rsidR="00F02678" w:rsidRPr="00F02678">
        <w:rPr>
          <w:rFonts w:cs="Times New Roman"/>
          <w:lang w:eastAsia="ko-KR"/>
        </w:rPr>
        <w:t>New WID on Mobile IAB</w:t>
      </w:r>
    </w:p>
    <w:bookmarkEnd w:id="11"/>
    <w:bookmarkEnd w:id="12"/>
    <w:p w14:paraId="6BCD9F0E" w14:textId="30409691" w:rsidR="00FE6C15" w:rsidRPr="0098270C" w:rsidRDefault="00FE6C15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66E63" w14:textId="77777777" w:rsidR="00855113" w:rsidRDefault="00855113" w:rsidP="00424124">
      <w:pPr>
        <w:spacing w:before="0" w:after="0"/>
      </w:pPr>
      <w:r>
        <w:separator/>
      </w:r>
    </w:p>
  </w:endnote>
  <w:endnote w:type="continuationSeparator" w:id="0">
    <w:p w14:paraId="07654B95" w14:textId="77777777" w:rsidR="00855113" w:rsidRDefault="00855113" w:rsidP="00424124">
      <w:pPr>
        <w:spacing w:before="0" w:after="0"/>
      </w:pPr>
      <w:r>
        <w:continuationSeparator/>
      </w:r>
    </w:p>
  </w:endnote>
  <w:endnote w:type="continuationNotice" w:id="1">
    <w:p w14:paraId="36EB0D2E" w14:textId="77777777" w:rsidR="00855113" w:rsidRDefault="0085511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E15A" w14:textId="77777777" w:rsidR="00855113" w:rsidRDefault="00855113" w:rsidP="00424124">
      <w:pPr>
        <w:spacing w:before="0" w:after="0"/>
      </w:pPr>
      <w:r>
        <w:separator/>
      </w:r>
    </w:p>
  </w:footnote>
  <w:footnote w:type="continuationSeparator" w:id="0">
    <w:p w14:paraId="689FA726" w14:textId="77777777" w:rsidR="00855113" w:rsidRDefault="00855113" w:rsidP="00424124">
      <w:pPr>
        <w:spacing w:before="0" w:after="0"/>
      </w:pPr>
      <w:r>
        <w:continuationSeparator/>
      </w:r>
    </w:p>
  </w:footnote>
  <w:footnote w:type="continuationNotice" w:id="1">
    <w:p w14:paraId="50766F1A" w14:textId="77777777" w:rsidR="00855113" w:rsidRDefault="0085511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966287">
    <w:abstractNumId w:val="14"/>
  </w:num>
  <w:num w:numId="2" w16cid:durableId="373965654">
    <w:abstractNumId w:val="5"/>
  </w:num>
  <w:num w:numId="3" w16cid:durableId="1327633833">
    <w:abstractNumId w:val="19"/>
  </w:num>
  <w:num w:numId="4" w16cid:durableId="1921672436">
    <w:abstractNumId w:val="0"/>
  </w:num>
  <w:num w:numId="5" w16cid:durableId="161509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979132">
    <w:abstractNumId w:val="13"/>
  </w:num>
  <w:num w:numId="7" w16cid:durableId="2123576136">
    <w:abstractNumId w:val="11"/>
  </w:num>
  <w:num w:numId="8" w16cid:durableId="2074306897">
    <w:abstractNumId w:val="9"/>
  </w:num>
  <w:num w:numId="9" w16cid:durableId="1300765730">
    <w:abstractNumId w:val="22"/>
  </w:num>
  <w:num w:numId="10" w16cid:durableId="1150637467">
    <w:abstractNumId w:val="3"/>
  </w:num>
  <w:num w:numId="11" w16cid:durableId="767892389">
    <w:abstractNumId w:val="12"/>
  </w:num>
  <w:num w:numId="12" w16cid:durableId="1666279620">
    <w:abstractNumId w:val="4"/>
  </w:num>
  <w:num w:numId="13" w16cid:durableId="1173177971">
    <w:abstractNumId w:val="23"/>
  </w:num>
  <w:num w:numId="14" w16cid:durableId="823811775">
    <w:abstractNumId w:val="15"/>
  </w:num>
  <w:num w:numId="15" w16cid:durableId="908926294">
    <w:abstractNumId w:val="17"/>
  </w:num>
  <w:num w:numId="16" w16cid:durableId="220360974">
    <w:abstractNumId w:val="8"/>
  </w:num>
  <w:num w:numId="17" w16cid:durableId="17127630">
    <w:abstractNumId w:val="16"/>
  </w:num>
  <w:num w:numId="18" w16cid:durableId="163085835">
    <w:abstractNumId w:val="25"/>
  </w:num>
  <w:num w:numId="19" w16cid:durableId="475685115">
    <w:abstractNumId w:val="7"/>
  </w:num>
  <w:num w:numId="20" w16cid:durableId="1870485266">
    <w:abstractNumId w:val="10"/>
  </w:num>
  <w:num w:numId="21" w16cid:durableId="1066032205">
    <w:abstractNumId w:val="18"/>
  </w:num>
  <w:num w:numId="22" w16cid:durableId="1062369861">
    <w:abstractNumId w:val="20"/>
  </w:num>
  <w:num w:numId="23" w16cid:durableId="1396467391">
    <w:abstractNumId w:val="26"/>
  </w:num>
  <w:num w:numId="24" w16cid:durableId="565188601">
    <w:abstractNumId w:val="2"/>
  </w:num>
  <w:num w:numId="25" w16cid:durableId="879174278">
    <w:abstractNumId w:val="6"/>
  </w:num>
  <w:num w:numId="26" w16cid:durableId="2145341437">
    <w:abstractNumId w:val="21"/>
  </w:num>
  <w:num w:numId="27" w16cid:durableId="397090750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783D"/>
    <w:rsid w:val="0001485D"/>
    <w:rsid w:val="000149EC"/>
    <w:rsid w:val="000208A6"/>
    <w:rsid w:val="00020F1A"/>
    <w:rsid w:val="00032D47"/>
    <w:rsid w:val="00034E1E"/>
    <w:rsid w:val="00035EAF"/>
    <w:rsid w:val="00043F30"/>
    <w:rsid w:val="00045AED"/>
    <w:rsid w:val="000463E4"/>
    <w:rsid w:val="0004664E"/>
    <w:rsid w:val="0004732B"/>
    <w:rsid w:val="000514CC"/>
    <w:rsid w:val="00051B4B"/>
    <w:rsid w:val="00051EBB"/>
    <w:rsid w:val="000550BC"/>
    <w:rsid w:val="00057E9B"/>
    <w:rsid w:val="000643FA"/>
    <w:rsid w:val="0006696B"/>
    <w:rsid w:val="00071942"/>
    <w:rsid w:val="000724AF"/>
    <w:rsid w:val="000730C9"/>
    <w:rsid w:val="0007575F"/>
    <w:rsid w:val="000757DA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1D40"/>
    <w:rsid w:val="000A1F74"/>
    <w:rsid w:val="000A36A9"/>
    <w:rsid w:val="000A540C"/>
    <w:rsid w:val="000B0720"/>
    <w:rsid w:val="000B58AF"/>
    <w:rsid w:val="000B6D99"/>
    <w:rsid w:val="000C1344"/>
    <w:rsid w:val="000C1E0E"/>
    <w:rsid w:val="000C21D0"/>
    <w:rsid w:val="000C42E2"/>
    <w:rsid w:val="000C57B9"/>
    <w:rsid w:val="000C71DE"/>
    <w:rsid w:val="000D38DC"/>
    <w:rsid w:val="000E0831"/>
    <w:rsid w:val="000E2126"/>
    <w:rsid w:val="000E29D8"/>
    <w:rsid w:val="000F2D17"/>
    <w:rsid w:val="000F6423"/>
    <w:rsid w:val="0010303E"/>
    <w:rsid w:val="001116B0"/>
    <w:rsid w:val="001120B1"/>
    <w:rsid w:val="0011327D"/>
    <w:rsid w:val="0011498C"/>
    <w:rsid w:val="00115E2D"/>
    <w:rsid w:val="00116DA6"/>
    <w:rsid w:val="00126BEC"/>
    <w:rsid w:val="001306D1"/>
    <w:rsid w:val="00133F21"/>
    <w:rsid w:val="00137E15"/>
    <w:rsid w:val="001417A8"/>
    <w:rsid w:val="00141C15"/>
    <w:rsid w:val="00145540"/>
    <w:rsid w:val="00151208"/>
    <w:rsid w:val="00153793"/>
    <w:rsid w:val="001547B6"/>
    <w:rsid w:val="00155C3C"/>
    <w:rsid w:val="00163E5F"/>
    <w:rsid w:val="0016445D"/>
    <w:rsid w:val="00164BF6"/>
    <w:rsid w:val="00166479"/>
    <w:rsid w:val="001677A3"/>
    <w:rsid w:val="00172743"/>
    <w:rsid w:val="00175301"/>
    <w:rsid w:val="00176A86"/>
    <w:rsid w:val="00177D08"/>
    <w:rsid w:val="00182F08"/>
    <w:rsid w:val="00196ED7"/>
    <w:rsid w:val="001A08AB"/>
    <w:rsid w:val="001A12F1"/>
    <w:rsid w:val="001A5A68"/>
    <w:rsid w:val="001A6212"/>
    <w:rsid w:val="001A75E0"/>
    <w:rsid w:val="001B0AF2"/>
    <w:rsid w:val="001B731B"/>
    <w:rsid w:val="001C10BE"/>
    <w:rsid w:val="001C22A7"/>
    <w:rsid w:val="001C2DBE"/>
    <w:rsid w:val="001C4ACE"/>
    <w:rsid w:val="001C699C"/>
    <w:rsid w:val="001D1016"/>
    <w:rsid w:val="001E0CE1"/>
    <w:rsid w:val="001E24F2"/>
    <w:rsid w:val="001E58CC"/>
    <w:rsid w:val="001E6F10"/>
    <w:rsid w:val="001F2A01"/>
    <w:rsid w:val="001F59ED"/>
    <w:rsid w:val="001F7209"/>
    <w:rsid w:val="002008F7"/>
    <w:rsid w:val="002036C1"/>
    <w:rsid w:val="00203DE4"/>
    <w:rsid w:val="002111DF"/>
    <w:rsid w:val="00211D37"/>
    <w:rsid w:val="00212204"/>
    <w:rsid w:val="00216763"/>
    <w:rsid w:val="00222269"/>
    <w:rsid w:val="00222811"/>
    <w:rsid w:val="002247F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5764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C72"/>
    <w:rsid w:val="002801B8"/>
    <w:rsid w:val="0029147A"/>
    <w:rsid w:val="00297225"/>
    <w:rsid w:val="002A005E"/>
    <w:rsid w:val="002A0270"/>
    <w:rsid w:val="002A189A"/>
    <w:rsid w:val="002A3B91"/>
    <w:rsid w:val="002A50E9"/>
    <w:rsid w:val="002A66E2"/>
    <w:rsid w:val="002B09B8"/>
    <w:rsid w:val="002B348B"/>
    <w:rsid w:val="002B7AEB"/>
    <w:rsid w:val="002C0488"/>
    <w:rsid w:val="002C4097"/>
    <w:rsid w:val="002C594E"/>
    <w:rsid w:val="002C63CE"/>
    <w:rsid w:val="002D39D1"/>
    <w:rsid w:val="002D3D42"/>
    <w:rsid w:val="002D479B"/>
    <w:rsid w:val="002D4DDC"/>
    <w:rsid w:val="002D6EC9"/>
    <w:rsid w:val="002D787B"/>
    <w:rsid w:val="002E04E4"/>
    <w:rsid w:val="002E188B"/>
    <w:rsid w:val="002E5135"/>
    <w:rsid w:val="002E5FB2"/>
    <w:rsid w:val="002F135B"/>
    <w:rsid w:val="002F4772"/>
    <w:rsid w:val="002F692C"/>
    <w:rsid w:val="00300C8C"/>
    <w:rsid w:val="00312373"/>
    <w:rsid w:val="00313A86"/>
    <w:rsid w:val="00315DC4"/>
    <w:rsid w:val="00317020"/>
    <w:rsid w:val="00317054"/>
    <w:rsid w:val="00320B4D"/>
    <w:rsid w:val="00321FC4"/>
    <w:rsid w:val="00326FF6"/>
    <w:rsid w:val="00327A22"/>
    <w:rsid w:val="00332BB8"/>
    <w:rsid w:val="0033513A"/>
    <w:rsid w:val="00341E9D"/>
    <w:rsid w:val="00342130"/>
    <w:rsid w:val="00343561"/>
    <w:rsid w:val="00346605"/>
    <w:rsid w:val="0035318F"/>
    <w:rsid w:val="00354C01"/>
    <w:rsid w:val="00355FF9"/>
    <w:rsid w:val="00361C2F"/>
    <w:rsid w:val="0036306A"/>
    <w:rsid w:val="00365A1F"/>
    <w:rsid w:val="003727DB"/>
    <w:rsid w:val="00383E05"/>
    <w:rsid w:val="003854FC"/>
    <w:rsid w:val="00386642"/>
    <w:rsid w:val="0039078B"/>
    <w:rsid w:val="00390912"/>
    <w:rsid w:val="00392176"/>
    <w:rsid w:val="003921C9"/>
    <w:rsid w:val="003921D6"/>
    <w:rsid w:val="003A0928"/>
    <w:rsid w:val="003A298A"/>
    <w:rsid w:val="003A553B"/>
    <w:rsid w:val="003A566A"/>
    <w:rsid w:val="003B1C07"/>
    <w:rsid w:val="003B1EC9"/>
    <w:rsid w:val="003B2DFA"/>
    <w:rsid w:val="003B3184"/>
    <w:rsid w:val="003B32A7"/>
    <w:rsid w:val="003B4548"/>
    <w:rsid w:val="003B4CFC"/>
    <w:rsid w:val="003B75E5"/>
    <w:rsid w:val="003C0238"/>
    <w:rsid w:val="003C03E8"/>
    <w:rsid w:val="003C2392"/>
    <w:rsid w:val="003C2E75"/>
    <w:rsid w:val="003C2F89"/>
    <w:rsid w:val="003D3004"/>
    <w:rsid w:val="003D523C"/>
    <w:rsid w:val="003E1304"/>
    <w:rsid w:val="003E35D4"/>
    <w:rsid w:val="003E3DEA"/>
    <w:rsid w:val="003E4685"/>
    <w:rsid w:val="003E7121"/>
    <w:rsid w:val="003F0731"/>
    <w:rsid w:val="003F09DD"/>
    <w:rsid w:val="003F2CAF"/>
    <w:rsid w:val="003F33B4"/>
    <w:rsid w:val="003F36B0"/>
    <w:rsid w:val="003F5CAC"/>
    <w:rsid w:val="004031E0"/>
    <w:rsid w:val="004032C1"/>
    <w:rsid w:val="0040372C"/>
    <w:rsid w:val="004047F5"/>
    <w:rsid w:val="00405F6D"/>
    <w:rsid w:val="0041692F"/>
    <w:rsid w:val="00424124"/>
    <w:rsid w:val="004261A0"/>
    <w:rsid w:val="00434212"/>
    <w:rsid w:val="0043652D"/>
    <w:rsid w:val="00440B51"/>
    <w:rsid w:val="00440F6E"/>
    <w:rsid w:val="0044351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77DA2"/>
    <w:rsid w:val="00480799"/>
    <w:rsid w:val="00480BBD"/>
    <w:rsid w:val="00481601"/>
    <w:rsid w:val="0048301B"/>
    <w:rsid w:val="004866E3"/>
    <w:rsid w:val="00492168"/>
    <w:rsid w:val="0049450F"/>
    <w:rsid w:val="004A250E"/>
    <w:rsid w:val="004A5ABE"/>
    <w:rsid w:val="004A6424"/>
    <w:rsid w:val="004A69D0"/>
    <w:rsid w:val="004A6A82"/>
    <w:rsid w:val="004B185B"/>
    <w:rsid w:val="004B22E2"/>
    <w:rsid w:val="004B2D38"/>
    <w:rsid w:val="004B3B22"/>
    <w:rsid w:val="004B6AA8"/>
    <w:rsid w:val="004B6E00"/>
    <w:rsid w:val="004B76EC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4800"/>
    <w:rsid w:val="004D780D"/>
    <w:rsid w:val="004D7CF8"/>
    <w:rsid w:val="004E26A1"/>
    <w:rsid w:val="004E4188"/>
    <w:rsid w:val="004E6BC0"/>
    <w:rsid w:val="004E6D3B"/>
    <w:rsid w:val="004F10C3"/>
    <w:rsid w:val="004F2986"/>
    <w:rsid w:val="004F3417"/>
    <w:rsid w:val="004F39D2"/>
    <w:rsid w:val="004F46BC"/>
    <w:rsid w:val="004F47DC"/>
    <w:rsid w:val="004F5864"/>
    <w:rsid w:val="005007E9"/>
    <w:rsid w:val="00504773"/>
    <w:rsid w:val="00504C05"/>
    <w:rsid w:val="00504E5F"/>
    <w:rsid w:val="00504E73"/>
    <w:rsid w:val="005055A6"/>
    <w:rsid w:val="00506EF4"/>
    <w:rsid w:val="00507060"/>
    <w:rsid w:val="0051179B"/>
    <w:rsid w:val="00513E32"/>
    <w:rsid w:val="0051424F"/>
    <w:rsid w:val="005174AE"/>
    <w:rsid w:val="00523623"/>
    <w:rsid w:val="005300F0"/>
    <w:rsid w:val="005339F7"/>
    <w:rsid w:val="00534C3F"/>
    <w:rsid w:val="00534DE7"/>
    <w:rsid w:val="005363F5"/>
    <w:rsid w:val="005425F7"/>
    <w:rsid w:val="00544843"/>
    <w:rsid w:val="0054560C"/>
    <w:rsid w:val="00545FD3"/>
    <w:rsid w:val="005505E6"/>
    <w:rsid w:val="0055464C"/>
    <w:rsid w:val="00561FB7"/>
    <w:rsid w:val="005622D6"/>
    <w:rsid w:val="0056238B"/>
    <w:rsid w:val="00563129"/>
    <w:rsid w:val="00565BDB"/>
    <w:rsid w:val="005666A4"/>
    <w:rsid w:val="0057056A"/>
    <w:rsid w:val="0057145F"/>
    <w:rsid w:val="005758E7"/>
    <w:rsid w:val="005778C8"/>
    <w:rsid w:val="0058120D"/>
    <w:rsid w:val="00586C5F"/>
    <w:rsid w:val="00591529"/>
    <w:rsid w:val="00596A83"/>
    <w:rsid w:val="00596F33"/>
    <w:rsid w:val="005A0E71"/>
    <w:rsid w:val="005A1A97"/>
    <w:rsid w:val="005A1CCB"/>
    <w:rsid w:val="005A1F9F"/>
    <w:rsid w:val="005B31EF"/>
    <w:rsid w:val="005B47BD"/>
    <w:rsid w:val="005B5543"/>
    <w:rsid w:val="005B6FA6"/>
    <w:rsid w:val="005C0F4C"/>
    <w:rsid w:val="005D2C51"/>
    <w:rsid w:val="005F1619"/>
    <w:rsid w:val="005F21BF"/>
    <w:rsid w:val="005F3E2C"/>
    <w:rsid w:val="005F613D"/>
    <w:rsid w:val="005F7630"/>
    <w:rsid w:val="005F7F36"/>
    <w:rsid w:val="006010E0"/>
    <w:rsid w:val="00603015"/>
    <w:rsid w:val="00605E31"/>
    <w:rsid w:val="0060603E"/>
    <w:rsid w:val="006167FF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64606"/>
    <w:rsid w:val="0067125A"/>
    <w:rsid w:val="00671E30"/>
    <w:rsid w:val="006756FB"/>
    <w:rsid w:val="0067724D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6273"/>
    <w:rsid w:val="006A63A8"/>
    <w:rsid w:val="006A7498"/>
    <w:rsid w:val="006B0776"/>
    <w:rsid w:val="006B16C1"/>
    <w:rsid w:val="006B1BE9"/>
    <w:rsid w:val="006C1C85"/>
    <w:rsid w:val="006C452E"/>
    <w:rsid w:val="006C48AC"/>
    <w:rsid w:val="006D14F0"/>
    <w:rsid w:val="006D6ABC"/>
    <w:rsid w:val="006E0825"/>
    <w:rsid w:val="006E1700"/>
    <w:rsid w:val="006E1CF4"/>
    <w:rsid w:val="006E790B"/>
    <w:rsid w:val="006F055C"/>
    <w:rsid w:val="006F5485"/>
    <w:rsid w:val="00702C40"/>
    <w:rsid w:val="0070754C"/>
    <w:rsid w:val="00707D20"/>
    <w:rsid w:val="00710F58"/>
    <w:rsid w:val="00714B77"/>
    <w:rsid w:val="00716F18"/>
    <w:rsid w:val="007217CE"/>
    <w:rsid w:val="00721AD7"/>
    <w:rsid w:val="007225EF"/>
    <w:rsid w:val="00722BA6"/>
    <w:rsid w:val="00723DC5"/>
    <w:rsid w:val="00727952"/>
    <w:rsid w:val="0073021A"/>
    <w:rsid w:val="007338D6"/>
    <w:rsid w:val="00733B22"/>
    <w:rsid w:val="00737F2A"/>
    <w:rsid w:val="00740B36"/>
    <w:rsid w:val="007410C9"/>
    <w:rsid w:val="00741B79"/>
    <w:rsid w:val="00747A6F"/>
    <w:rsid w:val="00751076"/>
    <w:rsid w:val="00751B56"/>
    <w:rsid w:val="007531BC"/>
    <w:rsid w:val="00755E5E"/>
    <w:rsid w:val="0075622F"/>
    <w:rsid w:val="0075696D"/>
    <w:rsid w:val="0076067D"/>
    <w:rsid w:val="00760B67"/>
    <w:rsid w:val="007677CC"/>
    <w:rsid w:val="007704B9"/>
    <w:rsid w:val="007762F3"/>
    <w:rsid w:val="00776EF2"/>
    <w:rsid w:val="007814F3"/>
    <w:rsid w:val="00782CDC"/>
    <w:rsid w:val="007839F9"/>
    <w:rsid w:val="00784132"/>
    <w:rsid w:val="007849BC"/>
    <w:rsid w:val="00786229"/>
    <w:rsid w:val="00791D57"/>
    <w:rsid w:val="00795A55"/>
    <w:rsid w:val="007977FF"/>
    <w:rsid w:val="007A2765"/>
    <w:rsid w:val="007B13E5"/>
    <w:rsid w:val="007B2F6B"/>
    <w:rsid w:val="007B473A"/>
    <w:rsid w:val="007B4C06"/>
    <w:rsid w:val="007B7394"/>
    <w:rsid w:val="007D0BB2"/>
    <w:rsid w:val="007D2C48"/>
    <w:rsid w:val="007D672A"/>
    <w:rsid w:val="007E2156"/>
    <w:rsid w:val="007E546F"/>
    <w:rsid w:val="007F0AF3"/>
    <w:rsid w:val="007F1928"/>
    <w:rsid w:val="007F3600"/>
    <w:rsid w:val="007F392E"/>
    <w:rsid w:val="007F39C0"/>
    <w:rsid w:val="007F6162"/>
    <w:rsid w:val="007F73FA"/>
    <w:rsid w:val="00801867"/>
    <w:rsid w:val="00807435"/>
    <w:rsid w:val="00807992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47C91"/>
    <w:rsid w:val="00850DCE"/>
    <w:rsid w:val="00853591"/>
    <w:rsid w:val="00854FBB"/>
    <w:rsid w:val="00855113"/>
    <w:rsid w:val="0086373E"/>
    <w:rsid w:val="008661BA"/>
    <w:rsid w:val="008671A6"/>
    <w:rsid w:val="00867D17"/>
    <w:rsid w:val="00871CA8"/>
    <w:rsid w:val="00872E80"/>
    <w:rsid w:val="00874586"/>
    <w:rsid w:val="00883BEB"/>
    <w:rsid w:val="00885004"/>
    <w:rsid w:val="00886B7B"/>
    <w:rsid w:val="00887AB4"/>
    <w:rsid w:val="008900D7"/>
    <w:rsid w:val="00894290"/>
    <w:rsid w:val="008A03FB"/>
    <w:rsid w:val="008A1A9D"/>
    <w:rsid w:val="008A25A1"/>
    <w:rsid w:val="008A5D14"/>
    <w:rsid w:val="008B0679"/>
    <w:rsid w:val="008B39B6"/>
    <w:rsid w:val="008B4455"/>
    <w:rsid w:val="008C1AFD"/>
    <w:rsid w:val="008C4B67"/>
    <w:rsid w:val="008D1AEF"/>
    <w:rsid w:val="008D3572"/>
    <w:rsid w:val="008D5DB8"/>
    <w:rsid w:val="008E48C2"/>
    <w:rsid w:val="008E526C"/>
    <w:rsid w:val="008E5C05"/>
    <w:rsid w:val="008F1CFE"/>
    <w:rsid w:val="008F1ED3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3491C"/>
    <w:rsid w:val="00941A13"/>
    <w:rsid w:val="009453B3"/>
    <w:rsid w:val="0094586E"/>
    <w:rsid w:val="00951766"/>
    <w:rsid w:val="00957CD1"/>
    <w:rsid w:val="00960F96"/>
    <w:rsid w:val="00961DB2"/>
    <w:rsid w:val="00962456"/>
    <w:rsid w:val="009721F8"/>
    <w:rsid w:val="0097292F"/>
    <w:rsid w:val="009741D9"/>
    <w:rsid w:val="00976583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3A43"/>
    <w:rsid w:val="009C4757"/>
    <w:rsid w:val="009C7547"/>
    <w:rsid w:val="009D46C1"/>
    <w:rsid w:val="009D5B40"/>
    <w:rsid w:val="009E0D02"/>
    <w:rsid w:val="009E33D4"/>
    <w:rsid w:val="009E4418"/>
    <w:rsid w:val="009E5838"/>
    <w:rsid w:val="00A0235E"/>
    <w:rsid w:val="00A024AB"/>
    <w:rsid w:val="00A02FD3"/>
    <w:rsid w:val="00A04526"/>
    <w:rsid w:val="00A07EAB"/>
    <w:rsid w:val="00A11704"/>
    <w:rsid w:val="00A1178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B31"/>
    <w:rsid w:val="00A35DBF"/>
    <w:rsid w:val="00A40CAD"/>
    <w:rsid w:val="00A411FE"/>
    <w:rsid w:val="00A41CF3"/>
    <w:rsid w:val="00A4200A"/>
    <w:rsid w:val="00A4674D"/>
    <w:rsid w:val="00A547CE"/>
    <w:rsid w:val="00A555A6"/>
    <w:rsid w:val="00A55FF3"/>
    <w:rsid w:val="00A603CE"/>
    <w:rsid w:val="00A64CF7"/>
    <w:rsid w:val="00A65FD7"/>
    <w:rsid w:val="00A706F5"/>
    <w:rsid w:val="00A7535D"/>
    <w:rsid w:val="00A7677A"/>
    <w:rsid w:val="00A80FA1"/>
    <w:rsid w:val="00A81AFF"/>
    <w:rsid w:val="00A81FEF"/>
    <w:rsid w:val="00A821EA"/>
    <w:rsid w:val="00A8721E"/>
    <w:rsid w:val="00A902EF"/>
    <w:rsid w:val="00A92495"/>
    <w:rsid w:val="00AA5109"/>
    <w:rsid w:val="00AA5160"/>
    <w:rsid w:val="00AA5899"/>
    <w:rsid w:val="00AA6DEA"/>
    <w:rsid w:val="00AB38F0"/>
    <w:rsid w:val="00AB5B04"/>
    <w:rsid w:val="00AB6418"/>
    <w:rsid w:val="00AB75A3"/>
    <w:rsid w:val="00AB7FC6"/>
    <w:rsid w:val="00AC05AE"/>
    <w:rsid w:val="00AD115D"/>
    <w:rsid w:val="00AD16AE"/>
    <w:rsid w:val="00AD30EE"/>
    <w:rsid w:val="00AD6C53"/>
    <w:rsid w:val="00AE72F4"/>
    <w:rsid w:val="00AF0A4B"/>
    <w:rsid w:val="00AF31FB"/>
    <w:rsid w:val="00AF4BBC"/>
    <w:rsid w:val="00AF637C"/>
    <w:rsid w:val="00AF65DE"/>
    <w:rsid w:val="00B03B66"/>
    <w:rsid w:val="00B04278"/>
    <w:rsid w:val="00B07458"/>
    <w:rsid w:val="00B11C29"/>
    <w:rsid w:val="00B12672"/>
    <w:rsid w:val="00B14ADC"/>
    <w:rsid w:val="00B15E6A"/>
    <w:rsid w:val="00B17FD9"/>
    <w:rsid w:val="00B2434D"/>
    <w:rsid w:val="00B24D29"/>
    <w:rsid w:val="00B313AA"/>
    <w:rsid w:val="00B34716"/>
    <w:rsid w:val="00B3707E"/>
    <w:rsid w:val="00B437E2"/>
    <w:rsid w:val="00B468FE"/>
    <w:rsid w:val="00B50950"/>
    <w:rsid w:val="00B548D4"/>
    <w:rsid w:val="00B55AB4"/>
    <w:rsid w:val="00B574FB"/>
    <w:rsid w:val="00B61A13"/>
    <w:rsid w:val="00B62196"/>
    <w:rsid w:val="00B6232D"/>
    <w:rsid w:val="00B648CA"/>
    <w:rsid w:val="00B66CC1"/>
    <w:rsid w:val="00B66FA5"/>
    <w:rsid w:val="00B674C5"/>
    <w:rsid w:val="00B747E3"/>
    <w:rsid w:val="00B74894"/>
    <w:rsid w:val="00B749FB"/>
    <w:rsid w:val="00B75800"/>
    <w:rsid w:val="00B75FF7"/>
    <w:rsid w:val="00B776DD"/>
    <w:rsid w:val="00B82B83"/>
    <w:rsid w:val="00B8611D"/>
    <w:rsid w:val="00B86A23"/>
    <w:rsid w:val="00B909F7"/>
    <w:rsid w:val="00B96A24"/>
    <w:rsid w:val="00BA1EB9"/>
    <w:rsid w:val="00BA550E"/>
    <w:rsid w:val="00BA677D"/>
    <w:rsid w:val="00BA6FDB"/>
    <w:rsid w:val="00BB02ED"/>
    <w:rsid w:val="00BB1D03"/>
    <w:rsid w:val="00BB3CBF"/>
    <w:rsid w:val="00BB5132"/>
    <w:rsid w:val="00BB606C"/>
    <w:rsid w:val="00BB65B4"/>
    <w:rsid w:val="00BC2778"/>
    <w:rsid w:val="00BC31F9"/>
    <w:rsid w:val="00BC5B30"/>
    <w:rsid w:val="00BC6F83"/>
    <w:rsid w:val="00BC704C"/>
    <w:rsid w:val="00BD34B4"/>
    <w:rsid w:val="00BD4EE7"/>
    <w:rsid w:val="00BD6E29"/>
    <w:rsid w:val="00BD70CD"/>
    <w:rsid w:val="00BE373F"/>
    <w:rsid w:val="00BF0B4F"/>
    <w:rsid w:val="00BF0E9C"/>
    <w:rsid w:val="00BF1232"/>
    <w:rsid w:val="00BF2C5D"/>
    <w:rsid w:val="00BF31E3"/>
    <w:rsid w:val="00BF5F1C"/>
    <w:rsid w:val="00C0471E"/>
    <w:rsid w:val="00C07731"/>
    <w:rsid w:val="00C078AC"/>
    <w:rsid w:val="00C133BF"/>
    <w:rsid w:val="00C147AA"/>
    <w:rsid w:val="00C17339"/>
    <w:rsid w:val="00C17E83"/>
    <w:rsid w:val="00C218A9"/>
    <w:rsid w:val="00C23997"/>
    <w:rsid w:val="00C2430C"/>
    <w:rsid w:val="00C40BE6"/>
    <w:rsid w:val="00C47EE0"/>
    <w:rsid w:val="00C517CE"/>
    <w:rsid w:val="00C53317"/>
    <w:rsid w:val="00C55337"/>
    <w:rsid w:val="00C55AFA"/>
    <w:rsid w:val="00C565E3"/>
    <w:rsid w:val="00C60F90"/>
    <w:rsid w:val="00C61EB9"/>
    <w:rsid w:val="00C63006"/>
    <w:rsid w:val="00C64B6B"/>
    <w:rsid w:val="00C6623E"/>
    <w:rsid w:val="00C67568"/>
    <w:rsid w:val="00C67B33"/>
    <w:rsid w:val="00C7007B"/>
    <w:rsid w:val="00C71871"/>
    <w:rsid w:val="00C724F1"/>
    <w:rsid w:val="00C732A6"/>
    <w:rsid w:val="00C735F1"/>
    <w:rsid w:val="00C8496B"/>
    <w:rsid w:val="00C913B6"/>
    <w:rsid w:val="00C91C5E"/>
    <w:rsid w:val="00C92DD7"/>
    <w:rsid w:val="00C92E44"/>
    <w:rsid w:val="00CA6EA3"/>
    <w:rsid w:val="00CB15A7"/>
    <w:rsid w:val="00CB3398"/>
    <w:rsid w:val="00CB367A"/>
    <w:rsid w:val="00CB37E9"/>
    <w:rsid w:val="00CB424D"/>
    <w:rsid w:val="00CB4E3D"/>
    <w:rsid w:val="00CB6D97"/>
    <w:rsid w:val="00CC09CE"/>
    <w:rsid w:val="00CC13A4"/>
    <w:rsid w:val="00CC18CA"/>
    <w:rsid w:val="00CC2B1A"/>
    <w:rsid w:val="00CC6426"/>
    <w:rsid w:val="00CD32A6"/>
    <w:rsid w:val="00CD32CA"/>
    <w:rsid w:val="00CD451E"/>
    <w:rsid w:val="00CD7021"/>
    <w:rsid w:val="00CE0C9D"/>
    <w:rsid w:val="00CE20E2"/>
    <w:rsid w:val="00CF0059"/>
    <w:rsid w:val="00CF29C8"/>
    <w:rsid w:val="00CF7730"/>
    <w:rsid w:val="00D11258"/>
    <w:rsid w:val="00D12496"/>
    <w:rsid w:val="00D12A86"/>
    <w:rsid w:val="00D134C5"/>
    <w:rsid w:val="00D20E5E"/>
    <w:rsid w:val="00D23CDC"/>
    <w:rsid w:val="00D26593"/>
    <w:rsid w:val="00D268EB"/>
    <w:rsid w:val="00D26CFF"/>
    <w:rsid w:val="00D274C6"/>
    <w:rsid w:val="00D435BA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25F"/>
    <w:rsid w:val="00D56786"/>
    <w:rsid w:val="00D61EAB"/>
    <w:rsid w:val="00D64528"/>
    <w:rsid w:val="00D645A9"/>
    <w:rsid w:val="00D701D3"/>
    <w:rsid w:val="00D7445F"/>
    <w:rsid w:val="00D74845"/>
    <w:rsid w:val="00D75292"/>
    <w:rsid w:val="00D85B0C"/>
    <w:rsid w:val="00D9137B"/>
    <w:rsid w:val="00D91E8D"/>
    <w:rsid w:val="00D92B1D"/>
    <w:rsid w:val="00D96F05"/>
    <w:rsid w:val="00DA44F8"/>
    <w:rsid w:val="00DA75DC"/>
    <w:rsid w:val="00DB0323"/>
    <w:rsid w:val="00DB1FA7"/>
    <w:rsid w:val="00DB3BFC"/>
    <w:rsid w:val="00DB5910"/>
    <w:rsid w:val="00DB6DB1"/>
    <w:rsid w:val="00DC0E31"/>
    <w:rsid w:val="00DC34C3"/>
    <w:rsid w:val="00DC3C53"/>
    <w:rsid w:val="00DC70D0"/>
    <w:rsid w:val="00DC7DD6"/>
    <w:rsid w:val="00DD3971"/>
    <w:rsid w:val="00DD47DD"/>
    <w:rsid w:val="00DD527A"/>
    <w:rsid w:val="00DE277A"/>
    <w:rsid w:val="00DE2A3F"/>
    <w:rsid w:val="00DE3A3E"/>
    <w:rsid w:val="00DE7EC3"/>
    <w:rsid w:val="00DF1113"/>
    <w:rsid w:val="00DF5F45"/>
    <w:rsid w:val="00E03E65"/>
    <w:rsid w:val="00E11CBA"/>
    <w:rsid w:val="00E13146"/>
    <w:rsid w:val="00E174FC"/>
    <w:rsid w:val="00E20070"/>
    <w:rsid w:val="00E20994"/>
    <w:rsid w:val="00E22124"/>
    <w:rsid w:val="00E261AD"/>
    <w:rsid w:val="00E324C0"/>
    <w:rsid w:val="00E40344"/>
    <w:rsid w:val="00E5306C"/>
    <w:rsid w:val="00E566CC"/>
    <w:rsid w:val="00E56C7E"/>
    <w:rsid w:val="00E576BD"/>
    <w:rsid w:val="00E57BE9"/>
    <w:rsid w:val="00E604D6"/>
    <w:rsid w:val="00E625D9"/>
    <w:rsid w:val="00E65978"/>
    <w:rsid w:val="00E67086"/>
    <w:rsid w:val="00E67A6E"/>
    <w:rsid w:val="00E75B4B"/>
    <w:rsid w:val="00E826B1"/>
    <w:rsid w:val="00E857E4"/>
    <w:rsid w:val="00E85B05"/>
    <w:rsid w:val="00E87CDE"/>
    <w:rsid w:val="00E9139D"/>
    <w:rsid w:val="00E92487"/>
    <w:rsid w:val="00E932BA"/>
    <w:rsid w:val="00E94123"/>
    <w:rsid w:val="00EA219F"/>
    <w:rsid w:val="00EA26E5"/>
    <w:rsid w:val="00EA3B02"/>
    <w:rsid w:val="00EA5A59"/>
    <w:rsid w:val="00EA6213"/>
    <w:rsid w:val="00EB0C39"/>
    <w:rsid w:val="00EB3301"/>
    <w:rsid w:val="00EB7F64"/>
    <w:rsid w:val="00EC476D"/>
    <w:rsid w:val="00EC5FCD"/>
    <w:rsid w:val="00EC66AA"/>
    <w:rsid w:val="00EE013E"/>
    <w:rsid w:val="00EE2068"/>
    <w:rsid w:val="00EE314D"/>
    <w:rsid w:val="00EE4A18"/>
    <w:rsid w:val="00EF093C"/>
    <w:rsid w:val="00EF1F69"/>
    <w:rsid w:val="00EF2787"/>
    <w:rsid w:val="00EF41A0"/>
    <w:rsid w:val="00EF61D1"/>
    <w:rsid w:val="00F00551"/>
    <w:rsid w:val="00F01D00"/>
    <w:rsid w:val="00F02678"/>
    <w:rsid w:val="00F04233"/>
    <w:rsid w:val="00F05333"/>
    <w:rsid w:val="00F15410"/>
    <w:rsid w:val="00F154D0"/>
    <w:rsid w:val="00F173D1"/>
    <w:rsid w:val="00F24880"/>
    <w:rsid w:val="00F261D6"/>
    <w:rsid w:val="00F26D45"/>
    <w:rsid w:val="00F27EFD"/>
    <w:rsid w:val="00F30C84"/>
    <w:rsid w:val="00F35704"/>
    <w:rsid w:val="00F35911"/>
    <w:rsid w:val="00F359EF"/>
    <w:rsid w:val="00F35DD7"/>
    <w:rsid w:val="00F37513"/>
    <w:rsid w:val="00F42D43"/>
    <w:rsid w:val="00F44535"/>
    <w:rsid w:val="00F465CD"/>
    <w:rsid w:val="00F509C2"/>
    <w:rsid w:val="00F54103"/>
    <w:rsid w:val="00F57965"/>
    <w:rsid w:val="00F60351"/>
    <w:rsid w:val="00F60640"/>
    <w:rsid w:val="00F6398D"/>
    <w:rsid w:val="00F6461F"/>
    <w:rsid w:val="00F66A95"/>
    <w:rsid w:val="00F70A83"/>
    <w:rsid w:val="00F70D9A"/>
    <w:rsid w:val="00F70F29"/>
    <w:rsid w:val="00F71810"/>
    <w:rsid w:val="00F72ABE"/>
    <w:rsid w:val="00F72B1B"/>
    <w:rsid w:val="00F74326"/>
    <w:rsid w:val="00F75873"/>
    <w:rsid w:val="00F7596C"/>
    <w:rsid w:val="00F765DB"/>
    <w:rsid w:val="00F77BAA"/>
    <w:rsid w:val="00F77E12"/>
    <w:rsid w:val="00F80CBC"/>
    <w:rsid w:val="00F814DE"/>
    <w:rsid w:val="00F84ED2"/>
    <w:rsid w:val="00F90045"/>
    <w:rsid w:val="00F925FE"/>
    <w:rsid w:val="00F976CC"/>
    <w:rsid w:val="00FA0472"/>
    <w:rsid w:val="00FA28D1"/>
    <w:rsid w:val="00FA41E9"/>
    <w:rsid w:val="00FA6558"/>
    <w:rsid w:val="00FB2665"/>
    <w:rsid w:val="00FB27A4"/>
    <w:rsid w:val="00FB485F"/>
    <w:rsid w:val="00FC293E"/>
    <w:rsid w:val="00FC46AF"/>
    <w:rsid w:val="00FC79A8"/>
    <w:rsid w:val="00FD18A1"/>
    <w:rsid w:val="00FD489B"/>
    <w:rsid w:val="00FD530D"/>
    <w:rsid w:val="00FD791D"/>
    <w:rsid w:val="00FE0217"/>
    <w:rsid w:val="00FE6C15"/>
    <w:rsid w:val="00FF02B6"/>
    <w:rsid w:val="00FF0F79"/>
    <w:rsid w:val="00FF18E1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D17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  <w:style w:type="paragraph" w:customStyle="1" w:styleId="B1">
    <w:name w:val="B1"/>
    <w:basedOn w:val="Normal"/>
    <w:link w:val="B10"/>
    <w:qFormat/>
    <w:rsid w:val="00FB27A4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FB27A4"/>
    <w:rPr>
      <w:rFonts w:ascii="Times New Roman" w:eastAsia="DengXian" w:hAnsi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977FF"/>
    <w:pPr>
      <w:numPr>
        <w:numId w:val="27"/>
      </w:numPr>
      <w:spacing w:after="0"/>
      <w:jc w:val="left"/>
    </w:pPr>
    <w:rPr>
      <w:rFonts w:eastAsia="MS Mincho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A627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i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6A6273"/>
  </w:style>
  <w:style w:type="character" w:customStyle="1" w:styleId="outlook-search-highlight">
    <w:name w:val="outlook-search-highlight"/>
    <w:basedOn w:val="DefaultParagraphFont"/>
    <w:rsid w:val="006A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4108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2023-11-03T04:11:00Z</dcterms:created>
  <dcterms:modified xsi:type="dcterms:W3CDTF">2023-11-03T04:11:00Z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