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5E1A4AD1"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F42493">
        <w:rPr>
          <w:bCs/>
          <w:noProof w:val="0"/>
          <w:sz w:val="24"/>
          <w:szCs w:val="24"/>
        </w:rPr>
        <w:t>4</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w:t>
      </w:r>
      <w:r w:rsidR="00B669E9">
        <w:rPr>
          <w:bCs/>
          <w:noProof w:val="0"/>
          <w:sz w:val="24"/>
          <w:szCs w:val="24"/>
        </w:rPr>
        <w:t>1</w:t>
      </w:r>
      <w:r w:rsidR="00336C0F">
        <w:rPr>
          <w:bCs/>
          <w:noProof w:val="0"/>
          <w:sz w:val="24"/>
          <w:szCs w:val="24"/>
        </w:rPr>
        <w:t>2860</w:t>
      </w:r>
    </w:p>
    <w:p w14:paraId="11776FA6" w14:textId="31B5261E" w:rsidR="00A209D6" w:rsidRPr="00465587" w:rsidRDefault="00F42493" w:rsidP="00A209D6">
      <w:pPr>
        <w:pStyle w:val="Header"/>
        <w:tabs>
          <w:tab w:val="right" w:pos="9639"/>
        </w:tabs>
        <w:rPr>
          <w:rFonts w:eastAsia="SimSun"/>
          <w:bCs/>
          <w:sz w:val="24"/>
          <w:szCs w:val="24"/>
          <w:lang w:eastAsia="zh-CN"/>
        </w:rPr>
      </w:pPr>
      <w:r>
        <w:rPr>
          <w:rFonts w:eastAsia="SimSun"/>
          <w:bCs/>
          <w:sz w:val="24"/>
          <w:szCs w:val="24"/>
          <w:lang w:eastAsia="zh-CN"/>
        </w:rPr>
        <w:t>Chicago</w:t>
      </w:r>
      <w:r w:rsidR="00537809" w:rsidRPr="002240E0">
        <w:rPr>
          <w:rFonts w:eastAsia="SimSun"/>
          <w:bCs/>
          <w:sz w:val="24"/>
          <w:szCs w:val="24"/>
          <w:lang w:eastAsia="zh-CN"/>
        </w:rPr>
        <w:t xml:space="preserve">, </w:t>
      </w:r>
      <w:r>
        <w:rPr>
          <w:rFonts w:eastAsia="SimSun"/>
          <w:bCs/>
          <w:sz w:val="24"/>
          <w:szCs w:val="24"/>
          <w:lang w:eastAsia="zh-CN"/>
        </w:rPr>
        <w:t>USA</w:t>
      </w:r>
      <w:r w:rsidR="00537809" w:rsidRPr="002240E0">
        <w:rPr>
          <w:rFonts w:eastAsia="SimSun"/>
          <w:bCs/>
          <w:sz w:val="24"/>
          <w:szCs w:val="24"/>
          <w:lang w:eastAsia="zh-CN"/>
        </w:rPr>
        <w:t xml:space="preserve">, </w:t>
      </w:r>
      <w:r>
        <w:rPr>
          <w:rFonts w:eastAsia="SimSun"/>
          <w:bCs/>
          <w:sz w:val="24"/>
          <w:szCs w:val="24"/>
          <w:lang w:eastAsia="zh-CN"/>
        </w:rPr>
        <w:t>13</w:t>
      </w:r>
      <w:r w:rsidR="0018542A">
        <w:rPr>
          <w:rFonts w:eastAsia="SimSun"/>
          <w:bCs/>
          <w:sz w:val="24"/>
          <w:szCs w:val="24"/>
          <w:lang w:eastAsia="zh-CN"/>
        </w:rPr>
        <w:t xml:space="preserve"> </w:t>
      </w:r>
      <w:r w:rsidR="00537809" w:rsidRPr="002240E0">
        <w:rPr>
          <w:rFonts w:eastAsia="SimSun"/>
          <w:bCs/>
          <w:sz w:val="24"/>
          <w:szCs w:val="24"/>
          <w:lang w:eastAsia="zh-CN"/>
        </w:rPr>
        <w:t xml:space="preserve">– </w:t>
      </w:r>
      <w:r w:rsidR="004E7553">
        <w:rPr>
          <w:rFonts w:eastAsia="SimSun"/>
          <w:bCs/>
          <w:sz w:val="24"/>
          <w:szCs w:val="24"/>
          <w:lang w:eastAsia="zh-CN"/>
        </w:rPr>
        <w:t>1</w:t>
      </w:r>
      <w:r>
        <w:rPr>
          <w:rFonts w:eastAsia="SimSun"/>
          <w:bCs/>
          <w:sz w:val="24"/>
          <w:szCs w:val="24"/>
          <w:lang w:eastAsia="zh-CN"/>
        </w:rPr>
        <w:t>7</w:t>
      </w:r>
      <w:r w:rsidR="00537809" w:rsidRPr="002240E0">
        <w:rPr>
          <w:rFonts w:eastAsia="SimSun"/>
          <w:bCs/>
          <w:sz w:val="24"/>
          <w:szCs w:val="24"/>
          <w:lang w:eastAsia="zh-CN"/>
        </w:rPr>
        <w:t xml:space="preserve"> </w:t>
      </w:r>
      <w:r>
        <w:rPr>
          <w:rFonts w:eastAsia="SimSun"/>
          <w:bCs/>
          <w:sz w:val="24"/>
          <w:szCs w:val="24"/>
          <w:lang w:eastAsia="zh-CN"/>
        </w:rPr>
        <w:t>November</w:t>
      </w:r>
      <w:r w:rsidR="00537809" w:rsidRPr="002240E0">
        <w:rPr>
          <w:rFonts w:eastAsia="SimSun"/>
          <w:bCs/>
          <w:sz w:val="24"/>
          <w:szCs w:val="24"/>
          <w:lang w:eastAsia="zh-CN"/>
        </w:rPr>
        <w:t xml:space="preserve"> 202</w:t>
      </w:r>
      <w:r w:rsidR="00537809">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1CA9A0A7"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C314B">
        <w:rPr>
          <w:rFonts w:cs="Arial"/>
          <w:b/>
          <w:bCs/>
          <w:sz w:val="24"/>
          <w:lang w:eastAsia="ja-JP"/>
        </w:rPr>
        <w:t>7.6.3.1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0B2F3A9D"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93379" w:rsidRPr="00B93379">
        <w:rPr>
          <w:rFonts w:ascii="Arial" w:hAnsi="Arial" w:cs="Arial"/>
          <w:b/>
          <w:bCs/>
          <w:sz w:val="24"/>
        </w:rPr>
        <w:t>Further analysis on open issues for IoT-NTN Mobility Enhancements</w:t>
      </w:r>
    </w:p>
    <w:p w14:paraId="25F387E8" w14:textId="5CF000E9"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DC314B" w:rsidRPr="00DC314B">
        <w:rPr>
          <w:rFonts w:ascii="Arial" w:hAnsi="Arial" w:cs="Arial"/>
          <w:b/>
          <w:bCs/>
          <w:sz w:val="24"/>
        </w:rPr>
        <w:t>IoT_NTN_enh</w:t>
      </w:r>
      <w:proofErr w:type="spellEnd"/>
      <w:r w:rsidR="00DC314B" w:rsidRPr="00DC314B">
        <w:rPr>
          <w:rFonts w:ascii="Arial" w:hAnsi="Arial" w:cs="Arial"/>
          <w:b/>
          <w:bCs/>
          <w:sz w:val="24"/>
        </w:rPr>
        <w:t xml:space="preserve">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6646BB2" w14:textId="194A4FB3" w:rsidR="00DC314B" w:rsidRPr="00707782" w:rsidRDefault="00DC314B" w:rsidP="00DC314B">
      <w:r w:rsidRPr="00707782">
        <w:t xml:space="preserve">Rel-18 WID </w:t>
      </w:r>
      <w:r>
        <w:fldChar w:fldCharType="begin"/>
      </w:r>
      <w:r>
        <w:instrText xml:space="preserve"> REF _Ref134620793 \w \h </w:instrText>
      </w:r>
      <w:r>
        <w:fldChar w:fldCharType="separate"/>
      </w:r>
      <w:r>
        <w:t>[1]</w:t>
      </w:r>
      <w:r>
        <w:fldChar w:fldCharType="end"/>
      </w:r>
      <w:r w:rsidRPr="00707782">
        <w:t xml:space="preserve"> for IoT-NTN enhancements includes one objective for mobility enhancements as given below.</w:t>
      </w:r>
    </w:p>
    <w:tbl>
      <w:tblPr>
        <w:tblStyle w:val="TableGrid"/>
        <w:tblW w:w="0" w:type="auto"/>
        <w:tblLook w:val="04A0" w:firstRow="1" w:lastRow="0" w:firstColumn="1" w:lastColumn="0" w:noHBand="0" w:noVBand="1"/>
      </w:tblPr>
      <w:tblGrid>
        <w:gridCol w:w="9631"/>
      </w:tblGrid>
      <w:tr w:rsidR="00DC314B" w14:paraId="05BB2996" w14:textId="77777777" w:rsidTr="00DC314B">
        <w:tc>
          <w:tcPr>
            <w:tcW w:w="9631" w:type="dxa"/>
          </w:tcPr>
          <w:p w14:paraId="4A6DF556" w14:textId="77777777" w:rsidR="00DC314B" w:rsidRPr="00707782" w:rsidRDefault="00DC314B" w:rsidP="00DC314B">
            <w:pPr>
              <w:jc w:val="both"/>
            </w:pPr>
            <w:r w:rsidRPr="00707782">
              <w:t>Mobility Enhancements:</w:t>
            </w:r>
          </w:p>
          <w:p w14:paraId="7769C6EB" w14:textId="77777777" w:rsidR="00DC314B" w:rsidRPr="00707782" w:rsidRDefault="00DC314B" w:rsidP="00DC314B">
            <w:pPr>
              <w:ind w:left="284" w:hanging="284"/>
              <w:jc w:val="both"/>
            </w:pPr>
            <w:r w:rsidRPr="00707782">
              <w:t>-</w:t>
            </w:r>
            <w:r>
              <w:t xml:space="preserve">  </w:t>
            </w:r>
            <w:r w:rsidRPr="00707782">
              <w:t xml:space="preserve">Support of neighbour cell measurements and corresponding </w:t>
            </w:r>
            <w:proofErr w:type="gramStart"/>
            <w:r w:rsidRPr="00707782">
              <w:t>measurement</w:t>
            </w:r>
            <w:proofErr w:type="gramEnd"/>
            <w:r w:rsidRPr="00707782">
              <w:t xml:space="preserve"> triggering before RLF, using Rel-17 (TN) NB-IoT, eMTC as a baseline.</w:t>
            </w:r>
          </w:p>
          <w:p w14:paraId="10C236C0" w14:textId="30012E0B" w:rsidR="00DC314B" w:rsidRDefault="00DC314B" w:rsidP="00DC314B">
            <w:r w:rsidRPr="00707782">
              <w:t>-</w:t>
            </w:r>
            <w:r>
              <w:t xml:space="preserve">  </w:t>
            </w:r>
            <w:r w:rsidRPr="00707782">
              <w:t>Re-use the solutions introduced in Rel-17 NR NTN for mobility enhancements for eMTC, with minimum necessary changes to adapt them to eMTC.</w:t>
            </w:r>
          </w:p>
        </w:tc>
      </w:tr>
    </w:tbl>
    <w:p w14:paraId="01B5D7C5" w14:textId="77777777" w:rsidR="00DC314B" w:rsidRDefault="00DC314B" w:rsidP="00DC314B"/>
    <w:p w14:paraId="63480573" w14:textId="1FD42B45" w:rsidR="00DC314B" w:rsidRDefault="00DC314B" w:rsidP="00DC314B">
      <w:r w:rsidRPr="00707782">
        <w:t xml:space="preserve">Following are the </w:t>
      </w:r>
      <w:r>
        <w:t>RAN2 agreements in previous meetings related to IoT-NTN</w:t>
      </w:r>
      <w:r w:rsidR="00B20A9F">
        <w:t xml:space="preserve"> (see </w:t>
      </w:r>
      <w:r w:rsidR="00B20A9F">
        <w:fldChar w:fldCharType="begin"/>
      </w:r>
      <w:r w:rsidR="00B20A9F">
        <w:instrText xml:space="preserve"> REF _Ref134620819 \w \h </w:instrText>
      </w:r>
      <w:r w:rsidR="00B20A9F">
        <w:fldChar w:fldCharType="separate"/>
      </w:r>
      <w:r w:rsidR="00B20A9F">
        <w:t>[2]</w:t>
      </w:r>
      <w:r w:rsidR="00B20A9F">
        <w:fldChar w:fldCharType="end"/>
      </w:r>
      <w:r w:rsidR="00B20A9F">
        <w:t xml:space="preserve"> and </w:t>
      </w:r>
      <w:r w:rsidR="00B20A9F">
        <w:fldChar w:fldCharType="begin"/>
      </w:r>
      <w:r w:rsidR="00B20A9F">
        <w:instrText xml:space="preserve"> REF _Ref149656003 \w \h </w:instrText>
      </w:r>
      <w:r w:rsidR="00B20A9F">
        <w:fldChar w:fldCharType="separate"/>
      </w:r>
      <w:r w:rsidR="00B20A9F">
        <w:t>[3]</w:t>
      </w:r>
      <w:r w:rsidR="00B20A9F">
        <w:fldChar w:fldCharType="end"/>
      </w:r>
      <w:r w:rsidR="00B20A9F">
        <w:t>)</w:t>
      </w:r>
      <w:r>
        <w:t>:</w:t>
      </w:r>
    </w:p>
    <w:tbl>
      <w:tblPr>
        <w:tblStyle w:val="TableGrid"/>
        <w:tblW w:w="0" w:type="auto"/>
        <w:tblLook w:val="04A0" w:firstRow="1" w:lastRow="0" w:firstColumn="1" w:lastColumn="0" w:noHBand="0" w:noVBand="1"/>
      </w:tblPr>
      <w:tblGrid>
        <w:gridCol w:w="9631"/>
      </w:tblGrid>
      <w:tr w:rsidR="00DC314B" w14:paraId="32D34672" w14:textId="77777777" w:rsidTr="00DC314B">
        <w:tc>
          <w:tcPr>
            <w:tcW w:w="9631" w:type="dxa"/>
          </w:tcPr>
          <w:p w14:paraId="780F2987" w14:textId="77777777" w:rsidR="00DC314B" w:rsidRPr="00DA0C86" w:rsidRDefault="00DC314B" w:rsidP="00DC314B">
            <w:pPr>
              <w:rPr>
                <w:b/>
                <w:bCs/>
              </w:rPr>
            </w:pPr>
            <w:r w:rsidRPr="00DA0C86">
              <w:rPr>
                <w:b/>
                <w:bCs/>
              </w:rPr>
              <w:t>RAN2#123bis</w:t>
            </w:r>
          </w:p>
          <w:p w14:paraId="78B91168" w14:textId="77777777" w:rsidR="00DC314B" w:rsidRDefault="00DC314B" w:rsidP="00DC314B">
            <w:r w:rsidRPr="00DA0C86">
              <w:rPr>
                <w:highlight w:val="green"/>
              </w:rPr>
              <w:t>Agreements:</w:t>
            </w:r>
          </w:p>
          <w:p w14:paraId="6EDDBC3D" w14:textId="77777777" w:rsidR="00DC314B" w:rsidRDefault="00DC314B" w:rsidP="00DC314B">
            <w:r>
              <w:t xml:space="preserve">1. Upon absence of satellite IDs for intra-frequency, the UE assumes Rel-17 behavior for intra-frequency measurements, </w:t>
            </w:r>
            <w:proofErr w:type="gramStart"/>
            <w:r>
              <w:t>i.e.</w:t>
            </w:r>
            <w:proofErr w:type="gramEnd"/>
            <w:r>
              <w:t xml:space="preserve"> measurement according to UE implementation. </w:t>
            </w:r>
          </w:p>
          <w:p w14:paraId="4B8B5AEF" w14:textId="77777777" w:rsidR="00DC314B" w:rsidRDefault="00DC314B" w:rsidP="00DC314B">
            <w:r>
              <w:t xml:space="preserve">2. Upon absence of satellite IDs for inter-frequency, the UE assumes Rel-17 behavior for inter-frequency measurements, </w:t>
            </w:r>
            <w:proofErr w:type="gramStart"/>
            <w:r>
              <w:t>i.e.</w:t>
            </w:r>
            <w:proofErr w:type="gramEnd"/>
            <w:r>
              <w:t xml:space="preserve"> measurement according to UE implementation. </w:t>
            </w:r>
          </w:p>
          <w:p w14:paraId="3C2C5685" w14:textId="77777777" w:rsidR="00DC314B" w:rsidRDefault="00DC314B" w:rsidP="00DC314B">
            <w:r>
              <w:t xml:space="preserve">3. RAN2 understands that if </w:t>
            </w:r>
            <w:proofErr w:type="spellStart"/>
            <w:r>
              <w:t>SIBxx</w:t>
            </w:r>
            <w:proofErr w:type="spellEnd"/>
            <w:r>
              <w:t xml:space="preserve"> is present, then satellite IDs in either SIB3, SIB5 or both SIB3 and SIB5 should be present (up to NW implementation, no spec impact)</w:t>
            </w:r>
          </w:p>
          <w:p w14:paraId="0C00020A" w14:textId="77777777" w:rsidR="00DC314B" w:rsidRDefault="00DC314B" w:rsidP="00DC314B">
            <w:r>
              <w:t>4. Satellite assistance information is provided per frequency, and not associated with PCIs. The satellite IDs for intra-frequency measurements are in SIB3 as in the current running CR (no need to place them into SIB4).</w:t>
            </w:r>
          </w:p>
          <w:p w14:paraId="775AE550" w14:textId="77777777" w:rsidR="00DC314B" w:rsidRDefault="00DC314B" w:rsidP="00DC314B">
            <w:r>
              <w:t>5. Introduce satellite ID for serving satellite (in SIB31) as well. RAN2 does not consider implicitly reusing serving satellite assistance information.</w:t>
            </w:r>
          </w:p>
          <w:p w14:paraId="751C2A4A" w14:textId="77777777" w:rsidR="00DC314B" w:rsidRDefault="00DC314B" w:rsidP="00DC314B">
            <w:r>
              <w:t>6. t-</w:t>
            </w:r>
            <w:proofErr w:type="spellStart"/>
            <w:r>
              <w:t>ServiceStartNeigh</w:t>
            </w:r>
            <w:proofErr w:type="spellEnd"/>
            <w:r>
              <w:t xml:space="preserve"> is signalled per satellite.</w:t>
            </w:r>
          </w:p>
          <w:p w14:paraId="548F5F61" w14:textId="77777777" w:rsidR="00DC314B" w:rsidRDefault="00DC314B" w:rsidP="00DC314B">
            <w:r>
              <w:t>7. Separate reference locations are introduced for earth-quasi fixed cells and earth-moving cells.</w:t>
            </w:r>
          </w:p>
          <w:p w14:paraId="1B4AE7E1" w14:textId="77777777" w:rsidR="00DC314B" w:rsidRDefault="00DC314B" w:rsidP="00DC314B">
            <w:r w:rsidRPr="00DA0C86">
              <w:rPr>
                <w:highlight w:val="darkYellow"/>
              </w:rPr>
              <w:t>Working assumption:</w:t>
            </w:r>
            <w:r>
              <w:t xml:space="preserve"> </w:t>
            </w:r>
          </w:p>
          <w:p w14:paraId="61130C7F" w14:textId="23AE5BD6" w:rsidR="00DC314B" w:rsidRDefault="00DC314B" w:rsidP="00DC314B">
            <w:r>
              <w:t>1. Adopt the same decision as for NR NTN to discriminate whether a frequency is for TN or NTN.</w:t>
            </w:r>
          </w:p>
        </w:tc>
      </w:tr>
    </w:tbl>
    <w:p w14:paraId="5407FAA6" w14:textId="77777777" w:rsidR="00A932D1" w:rsidRDefault="00A932D1" w:rsidP="009339CB"/>
    <w:p w14:paraId="4854EE57" w14:textId="18AAE90F" w:rsidR="009339CB" w:rsidRDefault="007930E2" w:rsidP="009339CB">
      <w:r>
        <w:t xml:space="preserve">Furthermore, in </w:t>
      </w:r>
      <w:r w:rsidR="00D52142">
        <w:fldChar w:fldCharType="begin"/>
      </w:r>
      <w:r w:rsidR="00D52142">
        <w:instrText xml:space="preserve"> REF _Ref149656071 \w \h </w:instrText>
      </w:r>
      <w:r w:rsidR="00D52142">
        <w:fldChar w:fldCharType="separate"/>
      </w:r>
      <w:r w:rsidR="00D52142">
        <w:t>[4]</w:t>
      </w:r>
      <w:r w:rsidR="00D52142">
        <w:fldChar w:fldCharType="end"/>
      </w:r>
      <w:r w:rsidR="00D52142">
        <w:t>, the following open issues</w:t>
      </w:r>
      <w:r w:rsidR="00A53EDA">
        <w:t xml:space="preserve"> </w:t>
      </w:r>
      <w:r w:rsidR="0072027D">
        <w:t>were</w:t>
      </w:r>
      <w:r w:rsidR="00A53EDA">
        <w:t xml:space="preserve"> listed</w:t>
      </w:r>
      <w:r w:rsidR="00DB03B2">
        <w:t xml:space="preserve"> regarding mobility and </w:t>
      </w:r>
      <w:proofErr w:type="spellStart"/>
      <w:r w:rsidR="00DB03B2">
        <w:t>SIBxx</w:t>
      </w:r>
      <w:proofErr w:type="spellEnd"/>
      <w:r w:rsidR="00DB03B2">
        <w:t xml:space="preserve"> acquisition</w:t>
      </w:r>
      <w:r w:rsidR="00A53EDA">
        <w:t>:</w:t>
      </w:r>
    </w:p>
    <w:tbl>
      <w:tblPr>
        <w:tblStyle w:val="TableGrid"/>
        <w:tblW w:w="0" w:type="auto"/>
        <w:tblLook w:val="04A0" w:firstRow="1" w:lastRow="0" w:firstColumn="1" w:lastColumn="0" w:noHBand="0" w:noVBand="1"/>
      </w:tblPr>
      <w:tblGrid>
        <w:gridCol w:w="9631"/>
      </w:tblGrid>
      <w:tr w:rsidR="00DB03B2" w14:paraId="476349F1" w14:textId="77777777" w:rsidTr="00DB03B2">
        <w:tc>
          <w:tcPr>
            <w:tcW w:w="9631" w:type="dxa"/>
          </w:tcPr>
          <w:p w14:paraId="0E4195AC" w14:textId="59EE1B44" w:rsidR="00A53EDA" w:rsidRDefault="00A53EDA" w:rsidP="00A53EDA">
            <w:r w:rsidRPr="00A53EDA">
              <w:rPr>
                <w:b/>
                <w:bCs/>
              </w:rPr>
              <w:lastRenderedPageBreak/>
              <w:t>Issue 2-1</w:t>
            </w:r>
            <w:r>
              <w:t xml:space="preserve">: Regarding RLF based measurement enhancements for eMTC UEs in RRC_CONNECTED, which frequencies to measure (frequencies in </w:t>
            </w:r>
            <w:proofErr w:type="spellStart"/>
            <w:r>
              <w:t>MeasObjects</w:t>
            </w:r>
            <w:proofErr w:type="spellEnd"/>
            <w:r>
              <w:t>, or frequencies in SIB, or both), whether measurement report will be triggered.</w:t>
            </w:r>
          </w:p>
          <w:p w14:paraId="0517A022" w14:textId="77777777" w:rsidR="00A53EDA" w:rsidRDefault="00A53EDA" w:rsidP="00A53EDA">
            <w:r w:rsidRPr="00A53EDA">
              <w:rPr>
                <w:b/>
                <w:bCs/>
              </w:rPr>
              <w:t>Issue 2-2</w:t>
            </w:r>
            <w:r>
              <w:t>: Whether time/</w:t>
            </w:r>
            <w:proofErr w:type="gramStart"/>
            <w:r>
              <w:t>location based</w:t>
            </w:r>
            <w:proofErr w:type="gramEnd"/>
            <w:r>
              <w:t xml:space="preserve"> CHO can be configured simultaneously for the same target cell</w:t>
            </w:r>
          </w:p>
          <w:p w14:paraId="6749607A" w14:textId="1784303D" w:rsidR="00A53EDA" w:rsidRDefault="00A53EDA" w:rsidP="00A53EDA">
            <w:r w:rsidRPr="00A53EDA">
              <w:rPr>
                <w:b/>
                <w:bCs/>
              </w:rPr>
              <w:t>Issue 2-3</w:t>
            </w:r>
            <w:r>
              <w:t>: Whether to allow joint configuration among time/location/RSRP-based measurements in RRC Idle/Connected, and if allowed, the intended UE behaviour.</w:t>
            </w:r>
          </w:p>
          <w:p w14:paraId="51B16A30" w14:textId="77777777" w:rsidR="00A53EDA" w:rsidRDefault="00A53EDA" w:rsidP="00A53EDA">
            <w:r w:rsidRPr="00A53EDA">
              <w:rPr>
                <w:b/>
                <w:bCs/>
              </w:rPr>
              <w:t>Issue 2-4</w:t>
            </w:r>
            <w:r>
              <w:t xml:space="preserve">: Regarding reacquisition of </w:t>
            </w:r>
            <w:proofErr w:type="spellStart"/>
            <w:r>
              <w:t>SIBxx</w:t>
            </w:r>
            <w:proofErr w:type="spellEnd"/>
            <w:r>
              <w:t xml:space="preserve"> during T318, clarify the intended behavior.</w:t>
            </w:r>
          </w:p>
          <w:p w14:paraId="372FF7E4" w14:textId="7EE568E7" w:rsidR="00A53EDA" w:rsidRDefault="00A53EDA" w:rsidP="00A53EDA">
            <w:r w:rsidRPr="00A53EDA">
              <w:rPr>
                <w:b/>
                <w:bCs/>
              </w:rPr>
              <w:t>Issue 2-5</w:t>
            </w:r>
            <w:r>
              <w:t xml:space="preserve">: How to solve the case where T318 is stopped before successful acquisition of </w:t>
            </w:r>
            <w:proofErr w:type="spellStart"/>
            <w:r>
              <w:t>SIBxx</w:t>
            </w:r>
            <w:proofErr w:type="spellEnd"/>
            <w:r>
              <w:t>.</w:t>
            </w:r>
          </w:p>
          <w:p w14:paraId="2AD84F34" w14:textId="69BC3AEF" w:rsidR="00DB03B2" w:rsidRDefault="00A53EDA" w:rsidP="00A53EDA">
            <w:r w:rsidRPr="00A53EDA">
              <w:rPr>
                <w:b/>
                <w:bCs/>
              </w:rPr>
              <w:t>Issue 2-6</w:t>
            </w:r>
            <w:r>
              <w:t>: Whether satellite IDs in SIB31/SIB32/</w:t>
            </w:r>
            <w:proofErr w:type="spellStart"/>
            <w:r>
              <w:t>SIBxx</w:t>
            </w:r>
            <w:proofErr w:type="spellEnd"/>
            <w:r>
              <w:t xml:space="preserve"> are unique.</w:t>
            </w:r>
          </w:p>
        </w:tc>
      </w:tr>
    </w:tbl>
    <w:p w14:paraId="211D1508" w14:textId="77777777" w:rsidR="00DB03B2" w:rsidRDefault="00DB03B2" w:rsidP="009339CB"/>
    <w:p w14:paraId="166355B8" w14:textId="4F9D555D" w:rsidR="00A53EDA" w:rsidRDefault="00A53EDA" w:rsidP="009339CB">
      <w:r>
        <w:t xml:space="preserve">This contribution discusses the list of open issues above and some </w:t>
      </w:r>
      <w:r w:rsidR="009849BE">
        <w:t>topics that were left untreated in previous meetings.</w:t>
      </w:r>
    </w:p>
    <w:p w14:paraId="7D484B6E" w14:textId="7EAA29F2" w:rsidR="009339CB" w:rsidRPr="006E13D1" w:rsidRDefault="009339CB" w:rsidP="009339CB">
      <w:pPr>
        <w:pStyle w:val="Heading1"/>
      </w:pPr>
      <w:r w:rsidRPr="006E13D1">
        <w:t>2</w:t>
      </w:r>
      <w:r w:rsidRPr="006E13D1">
        <w:tab/>
      </w:r>
      <w:r w:rsidR="00947BC0">
        <w:t>Discussion</w:t>
      </w:r>
    </w:p>
    <w:p w14:paraId="5D474687" w14:textId="718F75E0" w:rsidR="00C54D9E" w:rsidRDefault="009339CB" w:rsidP="00C54D9E">
      <w:pPr>
        <w:pStyle w:val="Heading2"/>
      </w:pPr>
      <w:r>
        <w:t>2</w:t>
      </w:r>
      <w:r w:rsidRPr="006E13D1">
        <w:t>.1</w:t>
      </w:r>
      <w:r w:rsidRPr="006E13D1">
        <w:tab/>
      </w:r>
      <w:r w:rsidR="00A769C9">
        <w:t>List of open issues</w:t>
      </w:r>
    </w:p>
    <w:p w14:paraId="3D9D198C" w14:textId="54D0F0F2" w:rsidR="00D90A96" w:rsidRDefault="00D90A96" w:rsidP="00D90A96">
      <w:pPr>
        <w:pStyle w:val="Heading2"/>
      </w:pPr>
      <w:r>
        <w:t>2.1.1</w:t>
      </w:r>
      <w:r>
        <w:tab/>
        <w:t xml:space="preserve">Issue 1: </w:t>
      </w:r>
      <w:proofErr w:type="spellStart"/>
      <w:r>
        <w:t>SIBxx</w:t>
      </w:r>
      <w:proofErr w:type="spellEnd"/>
      <w:r>
        <w:t xml:space="preserve"> re-</w:t>
      </w:r>
      <w:r w:rsidR="00947BC0">
        <w:t>acquisition</w:t>
      </w:r>
      <w:r>
        <w:t xml:space="preserve"> in connected mode</w:t>
      </w:r>
    </w:p>
    <w:p w14:paraId="6FA94DFA" w14:textId="2FE8D958" w:rsidR="00550FCF" w:rsidRPr="00550FCF" w:rsidRDefault="00C9684E" w:rsidP="00550FCF">
      <w:r>
        <w:t>This section treats the following open issues:</w:t>
      </w:r>
    </w:p>
    <w:tbl>
      <w:tblPr>
        <w:tblStyle w:val="TableGrid"/>
        <w:tblW w:w="0" w:type="auto"/>
        <w:tblLook w:val="04A0" w:firstRow="1" w:lastRow="0" w:firstColumn="1" w:lastColumn="0" w:noHBand="0" w:noVBand="1"/>
      </w:tblPr>
      <w:tblGrid>
        <w:gridCol w:w="9631"/>
      </w:tblGrid>
      <w:tr w:rsidR="00DA3E67" w14:paraId="1904D3BA" w14:textId="77777777" w:rsidTr="00DA3E67">
        <w:tc>
          <w:tcPr>
            <w:tcW w:w="9631" w:type="dxa"/>
          </w:tcPr>
          <w:p w14:paraId="575D79F3" w14:textId="043D98E1" w:rsidR="00DA3E67" w:rsidRDefault="00DA3E67" w:rsidP="00DA3E67">
            <w:r w:rsidRPr="00A53EDA">
              <w:rPr>
                <w:b/>
                <w:bCs/>
              </w:rPr>
              <w:t>Issue 2-4</w:t>
            </w:r>
            <w:r>
              <w:t xml:space="preserve">: Regarding reacquisition of </w:t>
            </w:r>
            <w:proofErr w:type="spellStart"/>
            <w:r>
              <w:t>SIBxx</w:t>
            </w:r>
            <w:proofErr w:type="spellEnd"/>
            <w:r>
              <w:t xml:space="preserve"> during T318, clarify the intended </w:t>
            </w:r>
            <w:r w:rsidR="00947BC0">
              <w:t>behaviour</w:t>
            </w:r>
            <w:r>
              <w:t>.</w:t>
            </w:r>
          </w:p>
          <w:p w14:paraId="13ADAB59" w14:textId="01EA79CE" w:rsidR="00F32DC5" w:rsidRDefault="00F32DC5" w:rsidP="00F32DC5">
            <w:pPr>
              <w:ind w:left="284"/>
            </w:pPr>
            <w:r>
              <w:t xml:space="preserve">- Option 1: UE acquires </w:t>
            </w:r>
            <w:proofErr w:type="spellStart"/>
            <w:r>
              <w:t>SIBxx</w:t>
            </w:r>
            <w:proofErr w:type="spellEnd"/>
            <w:r>
              <w:t xml:space="preserve"> during T318 if the stored </w:t>
            </w:r>
            <w:proofErr w:type="spellStart"/>
            <w:r>
              <w:t>SIBxx</w:t>
            </w:r>
            <w:proofErr w:type="spellEnd"/>
            <w:r>
              <w:t xml:space="preserve"> has expired (as in the current CR).</w:t>
            </w:r>
          </w:p>
          <w:p w14:paraId="089337CC" w14:textId="45D11A4B" w:rsidR="00F32DC5" w:rsidRDefault="00F32DC5" w:rsidP="00F32DC5">
            <w:pPr>
              <w:ind w:left="284"/>
            </w:pPr>
            <w:r>
              <w:t xml:space="preserve">- Option 2: Keep the possibility that UE does not acquire </w:t>
            </w:r>
            <w:proofErr w:type="spellStart"/>
            <w:r>
              <w:t>SIBxx</w:t>
            </w:r>
            <w:proofErr w:type="spellEnd"/>
            <w:r>
              <w:t xml:space="preserve"> even if the stored </w:t>
            </w:r>
            <w:proofErr w:type="spellStart"/>
            <w:r>
              <w:t>SIBxx</w:t>
            </w:r>
            <w:proofErr w:type="spellEnd"/>
            <w:r>
              <w:t xml:space="preserve"> expires.</w:t>
            </w:r>
          </w:p>
          <w:p w14:paraId="1C33E431" w14:textId="4CA1E438" w:rsidR="00DA3E67" w:rsidRDefault="00F32DC5" w:rsidP="00F32DC5">
            <w:pPr>
              <w:ind w:left="284"/>
            </w:pPr>
            <w:r>
              <w:t xml:space="preserve">- Option 3: Allow the UE to acquire </w:t>
            </w:r>
            <w:proofErr w:type="spellStart"/>
            <w:r>
              <w:t>SIBxx</w:t>
            </w:r>
            <w:proofErr w:type="spellEnd"/>
            <w:r>
              <w:t xml:space="preserve"> even if the stored </w:t>
            </w:r>
            <w:proofErr w:type="spellStart"/>
            <w:r>
              <w:t>SIBxx</w:t>
            </w:r>
            <w:proofErr w:type="spellEnd"/>
            <w:r>
              <w:t xml:space="preserve"> has not expired (e.g</w:t>
            </w:r>
            <w:r w:rsidR="00947BC0">
              <w:t>.,</w:t>
            </w:r>
            <w:r>
              <w:t xml:space="preserve"> close to expiry).</w:t>
            </w:r>
          </w:p>
          <w:p w14:paraId="537D0B74" w14:textId="77777777" w:rsidR="00DA3E67" w:rsidRDefault="00DA3E67" w:rsidP="00765F95">
            <w:r w:rsidRPr="00A53EDA">
              <w:rPr>
                <w:b/>
                <w:bCs/>
              </w:rPr>
              <w:t>Issue 2-5</w:t>
            </w:r>
            <w:r>
              <w:t xml:space="preserve">: How to solve the case where T318 is stopped before successful acquisition of </w:t>
            </w:r>
            <w:proofErr w:type="spellStart"/>
            <w:r>
              <w:t>SIBxx</w:t>
            </w:r>
            <w:proofErr w:type="spellEnd"/>
            <w:r>
              <w:t>.</w:t>
            </w:r>
          </w:p>
          <w:p w14:paraId="2BD562E0" w14:textId="2C30ED70" w:rsidR="00CA5D4A" w:rsidRDefault="00CA5D4A" w:rsidP="00CA5D4A">
            <w:pPr>
              <w:ind w:left="284"/>
            </w:pPr>
            <w:r>
              <w:t xml:space="preserve">- Option 1: UE stops T318 when both SIB31 and </w:t>
            </w:r>
            <w:proofErr w:type="spellStart"/>
            <w:r>
              <w:t>SIBxx</w:t>
            </w:r>
            <w:proofErr w:type="spellEnd"/>
            <w:r>
              <w:t xml:space="preserve"> have been acquired.</w:t>
            </w:r>
          </w:p>
          <w:p w14:paraId="7F448925" w14:textId="77777777" w:rsidR="00550FCF" w:rsidRDefault="00CA5D4A" w:rsidP="00550FCF">
            <w:pPr>
              <w:ind w:left="284"/>
            </w:pPr>
            <w:r>
              <w:t>- FFS whether to clarify in the spec that RLF is not triggered if T318 expires and SIB31 has been obtained.</w:t>
            </w:r>
          </w:p>
          <w:p w14:paraId="713F008B" w14:textId="354A5250" w:rsidR="00F32DC5" w:rsidRDefault="00CA5D4A" w:rsidP="00550FCF">
            <w:pPr>
              <w:ind w:left="284"/>
            </w:pPr>
            <w:r>
              <w:t>- Other solutions.</w:t>
            </w:r>
          </w:p>
        </w:tc>
      </w:tr>
    </w:tbl>
    <w:p w14:paraId="7DBEDF01" w14:textId="03698127" w:rsidR="00F84E8F" w:rsidRDefault="00F84E8F" w:rsidP="00765F95"/>
    <w:p w14:paraId="76D0D3A1" w14:textId="1E4A8B26" w:rsidR="00F84E8F" w:rsidRDefault="00F84E8F" w:rsidP="00C9684E">
      <w:pPr>
        <w:jc w:val="both"/>
      </w:pPr>
      <w:r>
        <w:t xml:space="preserve">The SIBXX provides additional NTN-specific information about the </w:t>
      </w:r>
      <w:r w:rsidR="00947BC0">
        <w:t>neighbour</w:t>
      </w:r>
      <w:r>
        <w:t xml:space="preserve"> cells that helps to improve the </w:t>
      </w:r>
      <w:r w:rsidR="00947BC0">
        <w:t>neighbour</w:t>
      </w:r>
      <w:r>
        <w:t xml:space="preserve">-cell measurements in idle mode and connected mode.  If the additional information is not available for neighbour-cell frequency the UE will continue to measure the </w:t>
      </w:r>
      <w:r w:rsidR="001D6395">
        <w:t>neighbour</w:t>
      </w:r>
      <w:r>
        <w:t xml:space="preserve"> cells using Rel-17 UE behaviour. As this SIB modification is not linked to the value tag and system information modification is not supported, it is </w:t>
      </w:r>
      <w:r w:rsidR="001D6395">
        <w:t>up to</w:t>
      </w:r>
      <w:r>
        <w:t xml:space="preserve"> UE to acquire this SIB at appropriate time prior to starting neighbour-cell measurements. It</w:t>
      </w:r>
      <w:r w:rsidR="00D7509D">
        <w:t xml:space="preserve"> does not</w:t>
      </w:r>
      <w:r>
        <w:t xml:space="preserve"> need </w:t>
      </w:r>
      <w:r w:rsidR="00D7509D">
        <w:t>to</w:t>
      </w:r>
      <w:r>
        <w:t xml:space="preserve"> acquire this SIBXX on entering the cell. Moreover</w:t>
      </w:r>
      <w:r w:rsidR="00D7509D">
        <w:t>,</w:t>
      </w:r>
      <w:r>
        <w:t xml:space="preserve"> the purpose of this SIBXX is linked to neighbour-cell measurements UE can decide to acquire this SIB in idle mode and connected mode depending on its decision to start neighbour cell measurements. It need not be linked to SIB31 acquisition and its associated validity timer whose purpose is completely different from SIBXX.</w:t>
      </w:r>
    </w:p>
    <w:p w14:paraId="3EA0474C" w14:textId="2884C14C" w:rsidR="00F84E8F" w:rsidRDefault="00F84E8F" w:rsidP="00C9684E">
      <w:pPr>
        <w:jc w:val="both"/>
        <w:rPr>
          <w:b/>
          <w:bCs/>
        </w:rPr>
      </w:pPr>
      <w:r w:rsidRPr="00F84E8F">
        <w:rPr>
          <w:b/>
          <w:bCs/>
        </w:rPr>
        <w:t xml:space="preserve">Observation 1:  SIBXX acquisition and validity need not be linked to SIB31 acquisition and related timers as both SIB are used by UE for different purpose and triggering </w:t>
      </w:r>
      <w:r>
        <w:rPr>
          <w:b/>
          <w:bCs/>
        </w:rPr>
        <w:t>conditions</w:t>
      </w:r>
      <w:r w:rsidRPr="00F84E8F">
        <w:rPr>
          <w:b/>
          <w:bCs/>
        </w:rPr>
        <w:t xml:space="preserve"> and need to acquire also differs completely.</w:t>
      </w:r>
    </w:p>
    <w:p w14:paraId="59F2AAA5" w14:textId="363A3E2B" w:rsidR="00F84E8F" w:rsidRDefault="00F84E8F" w:rsidP="00C9684E">
      <w:pPr>
        <w:jc w:val="both"/>
      </w:pPr>
      <w:r>
        <w:t xml:space="preserve">If UE implementation </w:t>
      </w:r>
      <w:r w:rsidR="0043088B">
        <w:t xml:space="preserve">can </w:t>
      </w:r>
      <w:r>
        <w:t>acquire SIBXX it may also decide to acquire this SIB prior to entering connected mode for eMTC if the UE is expected to do neighbour cell measurements as part of connected mode measurement configuration. In such case, the UE can start validity timer when it has acquired SIBXX in idle mode. The validity timer value can be same as T317.</w:t>
      </w:r>
      <w:r w:rsidR="009C571B">
        <w:t xml:space="preserve">  On expiry of this new timer UE can start acquisition of SIBXX in connected mode and that need not be linked to any timer such as T318. Because for value </w:t>
      </w:r>
      <w:proofErr w:type="gramStart"/>
      <w:r w:rsidR="009C571B">
        <w:t>tag based</w:t>
      </w:r>
      <w:proofErr w:type="gramEnd"/>
      <w:r w:rsidR="009C571B">
        <w:t xml:space="preserve"> system information the connected mode UE start the SIB acquisition on receiving the system information modification notification and acquire the same in the modification period. There is no UE specific timer specified to complete the SIB re-acquisition. Same </w:t>
      </w:r>
      <w:r w:rsidR="0043088B">
        <w:t>behaviour</w:t>
      </w:r>
      <w:r w:rsidR="009C571B">
        <w:t xml:space="preserve"> can be followed for SIBXX.</w:t>
      </w:r>
    </w:p>
    <w:p w14:paraId="7CCD0F36" w14:textId="14CDCB16" w:rsidR="009C571B" w:rsidRDefault="009C571B" w:rsidP="00C9684E">
      <w:pPr>
        <w:jc w:val="both"/>
        <w:rPr>
          <w:b/>
          <w:bCs/>
        </w:rPr>
      </w:pPr>
      <w:r w:rsidRPr="009C571B">
        <w:rPr>
          <w:b/>
          <w:bCs/>
        </w:rPr>
        <w:lastRenderedPageBreak/>
        <w:t xml:space="preserve">Proposal 1: If the UE successfully acquire SIBXX in IDLE mode, UE </w:t>
      </w:r>
      <w:r w:rsidR="0050684D">
        <w:rPr>
          <w:b/>
          <w:bCs/>
        </w:rPr>
        <w:t xml:space="preserve">may </w:t>
      </w:r>
      <w:r w:rsidRPr="009C571B">
        <w:rPr>
          <w:b/>
          <w:bCs/>
        </w:rPr>
        <w:t>start Timer T3XX with value equivalent to T317.</w:t>
      </w:r>
    </w:p>
    <w:p w14:paraId="5FBC3E69" w14:textId="64960C3C" w:rsidR="009C571B" w:rsidRPr="009C571B" w:rsidRDefault="009C571B" w:rsidP="00C9684E">
      <w:pPr>
        <w:jc w:val="both"/>
        <w:rPr>
          <w:b/>
          <w:bCs/>
        </w:rPr>
      </w:pPr>
      <w:r>
        <w:rPr>
          <w:b/>
          <w:bCs/>
        </w:rPr>
        <w:t>Proposal 2: UE may start SIBXX acquisition in connected mode if Timer T3XXX expires in connected mode. In this case no additional timer is started to monitor the completion of SIBXX acquisition.</w:t>
      </w:r>
    </w:p>
    <w:p w14:paraId="276728D9" w14:textId="22423EDF" w:rsidR="00F84E8F" w:rsidRDefault="009C571B" w:rsidP="00C9684E">
      <w:pPr>
        <w:jc w:val="both"/>
      </w:pPr>
      <w:r>
        <w:t>In case of NB-IOT, the neighbour cell measurement triggering is linked to serving cell measurements. So</w:t>
      </w:r>
      <w:r w:rsidR="00D804CA">
        <w:t>,</w:t>
      </w:r>
      <w:r>
        <w:t xml:space="preserve"> the UE need not acquire SIBXX prior to entering connected mode.  The UE can acquire this SIBXX only if the serving cell radio condition degrades and neighbour cell measurements to be started. In this case, UE need to acquire SIBXX based on its UE implementation and need not be linked to T317. If it is linked to T317, if the radio condition degrades but T317 did not expire, the UE will not acquire SIBXX. </w:t>
      </w:r>
    </w:p>
    <w:p w14:paraId="05BF1063" w14:textId="08FE166E" w:rsidR="009C571B" w:rsidRPr="009C571B" w:rsidRDefault="009C571B" w:rsidP="00C9684E">
      <w:pPr>
        <w:jc w:val="both"/>
        <w:rPr>
          <w:b/>
          <w:bCs/>
        </w:rPr>
      </w:pPr>
      <w:r w:rsidRPr="009C571B">
        <w:rPr>
          <w:b/>
          <w:bCs/>
        </w:rPr>
        <w:t xml:space="preserve">Proposal 3: If the UE did not have valid SIBXX when entering </w:t>
      </w:r>
      <w:r w:rsidR="006F31D8">
        <w:rPr>
          <w:b/>
          <w:bCs/>
        </w:rPr>
        <w:t xml:space="preserve">the </w:t>
      </w:r>
      <w:r w:rsidRPr="009C571B">
        <w:rPr>
          <w:b/>
          <w:bCs/>
        </w:rPr>
        <w:t xml:space="preserve">connected mode, it is </w:t>
      </w:r>
      <w:r w:rsidR="00D804CA" w:rsidRPr="009C571B">
        <w:rPr>
          <w:b/>
          <w:bCs/>
        </w:rPr>
        <w:t>up to</w:t>
      </w:r>
      <w:r w:rsidRPr="009C571B">
        <w:rPr>
          <w:b/>
          <w:bCs/>
        </w:rPr>
        <w:t xml:space="preserve"> UE implementation to acquire SIBXX at </w:t>
      </w:r>
      <w:r w:rsidR="0050684D">
        <w:rPr>
          <w:b/>
          <w:bCs/>
        </w:rPr>
        <w:t xml:space="preserve">the </w:t>
      </w:r>
      <w:r w:rsidRPr="009C571B">
        <w:rPr>
          <w:b/>
          <w:bCs/>
        </w:rPr>
        <w:t xml:space="preserve">appropriate time prior to starting </w:t>
      </w:r>
      <w:r w:rsidR="00D804CA">
        <w:rPr>
          <w:b/>
          <w:bCs/>
        </w:rPr>
        <w:t>neighbour</w:t>
      </w:r>
      <w:r w:rsidRPr="009C571B">
        <w:rPr>
          <w:b/>
          <w:bCs/>
        </w:rPr>
        <w:t xml:space="preserve"> cell measurements.</w:t>
      </w:r>
      <w:r>
        <w:rPr>
          <w:b/>
          <w:bCs/>
        </w:rPr>
        <w:t xml:space="preserve"> In this case it should not rely </w:t>
      </w:r>
      <w:r w:rsidR="00C75C2B">
        <w:rPr>
          <w:b/>
          <w:bCs/>
        </w:rPr>
        <w:t>on</w:t>
      </w:r>
      <w:r>
        <w:rPr>
          <w:b/>
          <w:bCs/>
        </w:rPr>
        <w:t xml:space="preserve"> or wait for </w:t>
      </w:r>
      <w:r w:rsidR="0050684D">
        <w:rPr>
          <w:b/>
          <w:bCs/>
        </w:rPr>
        <w:t xml:space="preserve">the </w:t>
      </w:r>
      <w:r>
        <w:rPr>
          <w:b/>
          <w:bCs/>
        </w:rPr>
        <w:t>T317 expiry.</w:t>
      </w:r>
    </w:p>
    <w:p w14:paraId="26E8687C" w14:textId="30277937" w:rsidR="00F84E8F" w:rsidRDefault="009C571B" w:rsidP="00C9684E">
      <w:pPr>
        <w:jc w:val="both"/>
      </w:pPr>
      <w:r>
        <w:t xml:space="preserve">If RAN2 could not agree for P1 and P2 which is </w:t>
      </w:r>
      <w:r w:rsidR="0050684D">
        <w:t xml:space="preserve">a </w:t>
      </w:r>
      <w:r>
        <w:t>clean solution that can be used for any new SIBXX which are linked to validity time, we propose to leave this SIBXX acquisition completely to UE implementation.</w:t>
      </w:r>
    </w:p>
    <w:p w14:paraId="5B27CDFE" w14:textId="72F70169" w:rsidR="009C571B" w:rsidRPr="0050684D" w:rsidRDefault="009C571B" w:rsidP="00C9684E">
      <w:pPr>
        <w:jc w:val="both"/>
        <w:rPr>
          <w:b/>
          <w:bCs/>
        </w:rPr>
      </w:pPr>
      <w:r w:rsidRPr="0050684D">
        <w:rPr>
          <w:b/>
          <w:bCs/>
        </w:rPr>
        <w:t xml:space="preserve">Proposal 4: If </w:t>
      </w:r>
      <w:r w:rsidR="0050684D">
        <w:rPr>
          <w:b/>
          <w:bCs/>
        </w:rPr>
        <w:t xml:space="preserve">the </w:t>
      </w:r>
      <w:r w:rsidR="0050684D" w:rsidRPr="0050684D">
        <w:rPr>
          <w:b/>
          <w:bCs/>
        </w:rPr>
        <w:t xml:space="preserve">introduction of new validity timer of SIBXX </w:t>
      </w:r>
      <w:r w:rsidR="009D4B67">
        <w:rPr>
          <w:b/>
          <w:bCs/>
        </w:rPr>
        <w:t>(same value as T317)</w:t>
      </w:r>
      <w:r w:rsidR="006F31D8">
        <w:rPr>
          <w:b/>
          <w:bCs/>
        </w:rPr>
        <w:t xml:space="preserve"> </w:t>
      </w:r>
      <w:r w:rsidR="0050684D" w:rsidRPr="0050684D">
        <w:rPr>
          <w:b/>
          <w:bCs/>
        </w:rPr>
        <w:t xml:space="preserve">is not </w:t>
      </w:r>
      <w:proofErr w:type="gramStart"/>
      <w:r w:rsidR="0050684D" w:rsidRPr="0050684D">
        <w:rPr>
          <w:b/>
          <w:bCs/>
        </w:rPr>
        <w:t xml:space="preserve">agreed, </w:t>
      </w:r>
      <w:r w:rsidR="006F31D8">
        <w:rPr>
          <w:b/>
          <w:bCs/>
        </w:rPr>
        <w:t xml:space="preserve"> </w:t>
      </w:r>
      <w:r w:rsidR="0050684D" w:rsidRPr="0050684D">
        <w:rPr>
          <w:b/>
          <w:bCs/>
        </w:rPr>
        <w:t>we</w:t>
      </w:r>
      <w:proofErr w:type="gramEnd"/>
      <w:r w:rsidR="0050684D" w:rsidRPr="0050684D">
        <w:rPr>
          <w:b/>
          <w:bCs/>
        </w:rPr>
        <w:t xml:space="preserve"> propose to leave </w:t>
      </w:r>
      <w:r w:rsidR="0050684D">
        <w:rPr>
          <w:b/>
          <w:bCs/>
        </w:rPr>
        <w:t xml:space="preserve">the </w:t>
      </w:r>
      <w:r w:rsidR="0050684D" w:rsidRPr="0050684D">
        <w:rPr>
          <w:b/>
          <w:bCs/>
        </w:rPr>
        <w:t>SIBXX acquisition to UE implementation without any link to T317 which is not related to the functionality associated with SIBXX.</w:t>
      </w:r>
    </w:p>
    <w:p w14:paraId="389839C9" w14:textId="6737F155" w:rsidR="00765F95" w:rsidRPr="00765F95" w:rsidRDefault="00765F95" w:rsidP="00765F95"/>
    <w:p w14:paraId="7930215C" w14:textId="3767BFCA" w:rsidR="00D90A96" w:rsidRDefault="00D90A96" w:rsidP="00D90A96">
      <w:pPr>
        <w:pStyle w:val="Heading2"/>
      </w:pPr>
      <w:r>
        <w:t>2.1.2</w:t>
      </w:r>
      <w:r>
        <w:tab/>
        <w:t>Issue 2: Joint configuration of new triggering conditions</w:t>
      </w:r>
    </w:p>
    <w:p w14:paraId="5C267535" w14:textId="3A845EF8" w:rsidR="004C69E8" w:rsidRPr="004C69E8" w:rsidRDefault="004C69E8" w:rsidP="004C69E8">
      <w:r>
        <w:t>T</w:t>
      </w:r>
      <w:r w:rsidR="00841F37">
        <w:t>he issues</w:t>
      </w:r>
      <w:r w:rsidR="00C9684E">
        <w:t xml:space="preserve"> below</w:t>
      </w:r>
      <w:r w:rsidR="00841F37">
        <w:t xml:space="preserve"> were left open for discussion regarding the </w:t>
      </w:r>
      <w:r w:rsidR="00B10A29">
        <w:t xml:space="preserve">joint configuration of time- and location-based triggers for CHO and </w:t>
      </w:r>
      <w:r w:rsidR="005D71ED">
        <w:t>measurements:</w:t>
      </w:r>
    </w:p>
    <w:tbl>
      <w:tblPr>
        <w:tblStyle w:val="TableGrid"/>
        <w:tblW w:w="0" w:type="auto"/>
        <w:tblLook w:val="04A0" w:firstRow="1" w:lastRow="0" w:firstColumn="1" w:lastColumn="0" w:noHBand="0" w:noVBand="1"/>
      </w:tblPr>
      <w:tblGrid>
        <w:gridCol w:w="9631"/>
      </w:tblGrid>
      <w:tr w:rsidR="00EE5B18" w14:paraId="26EA0C42" w14:textId="77777777" w:rsidTr="00EE5B18">
        <w:tc>
          <w:tcPr>
            <w:tcW w:w="9631" w:type="dxa"/>
          </w:tcPr>
          <w:p w14:paraId="7BE4F77F" w14:textId="4E82BC4B" w:rsidR="00EE5B18" w:rsidRDefault="00EE5B18" w:rsidP="00EE5B18">
            <w:r w:rsidRPr="00A53EDA">
              <w:rPr>
                <w:b/>
                <w:bCs/>
              </w:rPr>
              <w:t>Issue 2-2</w:t>
            </w:r>
            <w:r>
              <w:t>: Whether time/location</w:t>
            </w:r>
            <w:r w:rsidR="00C75C2B">
              <w:t>-</w:t>
            </w:r>
            <w:r>
              <w:t>based CHO can be configured simultaneously for the same target cell</w:t>
            </w:r>
            <w:r w:rsidR="00527CEF">
              <w:t>.</w:t>
            </w:r>
          </w:p>
          <w:p w14:paraId="6015299B" w14:textId="52A02A53" w:rsidR="00EE5B18" w:rsidRDefault="00EE5B18" w:rsidP="00EE5B18">
            <w:r w:rsidRPr="00A53EDA">
              <w:rPr>
                <w:b/>
                <w:bCs/>
              </w:rPr>
              <w:t>Issue 2-3</w:t>
            </w:r>
            <w:r>
              <w:t>: Whether to allow joint configuration among time/location/RSRP-based measurements in RRC Idle/Connected, and if allowed, the intended UE behaviour.</w:t>
            </w:r>
          </w:p>
        </w:tc>
      </w:tr>
    </w:tbl>
    <w:p w14:paraId="3977C80D" w14:textId="77777777" w:rsidR="00EE5B18" w:rsidRDefault="00EE5B18" w:rsidP="00EE5B18"/>
    <w:p w14:paraId="6035DECF" w14:textId="77777777" w:rsidR="00413765" w:rsidRDefault="00C709CA" w:rsidP="00C709CA">
      <w:pPr>
        <w:jc w:val="both"/>
      </w:pPr>
      <w:r>
        <w:t xml:space="preserve">For EFC and EMC deployments, it was agreed that IoT UEs can acquire the serving cell reference location and a distance threshold for cell measurement initiation. </w:t>
      </w:r>
      <w:r w:rsidR="00DD66CB">
        <w:t>Namely</w:t>
      </w:r>
      <w:r>
        <w:t xml:space="preserve"> for EFC, location-based triggers can be beneficial for IoT UEs moving away from </w:t>
      </w:r>
      <w:r w:rsidR="00156834">
        <w:t xml:space="preserve">the </w:t>
      </w:r>
      <w:r>
        <w:t xml:space="preserve">serving cell. A UE </w:t>
      </w:r>
      <w:r w:rsidR="00156834">
        <w:t>at</w:t>
      </w:r>
      <w:r>
        <w:t xml:space="preserve"> cell edge and moving towards a</w:t>
      </w:r>
      <w:r w:rsidR="00156834">
        <w:t xml:space="preserve"> neighbour</w:t>
      </w:r>
      <w:r>
        <w:t xml:space="preserve"> cell, could evaluate </w:t>
      </w:r>
      <w:r w:rsidR="00B652D7">
        <w:t>the</w:t>
      </w:r>
      <w:r>
        <w:t xml:space="preserve"> distance to the serving cell’s reference location and determine </w:t>
      </w:r>
      <w:r w:rsidR="001D5C9B">
        <w:t>whether initiate measurements</w:t>
      </w:r>
      <w:r w:rsidR="00B652D7">
        <w:t>/</w:t>
      </w:r>
      <w:r w:rsidR="001D5C9B">
        <w:t>CHO execution</w:t>
      </w:r>
      <w:r>
        <w:t>.</w:t>
      </w:r>
    </w:p>
    <w:p w14:paraId="32902BF0" w14:textId="16C467C6" w:rsidR="00C709CA" w:rsidRDefault="00C709CA" w:rsidP="00C709CA">
      <w:pPr>
        <w:jc w:val="both"/>
        <w:rPr>
          <w:b/>
          <w:bCs/>
        </w:rPr>
      </w:pPr>
      <w:r w:rsidRPr="0064797E">
        <w:rPr>
          <w:b/>
          <w:bCs/>
        </w:rPr>
        <w:t xml:space="preserve">Proposal </w:t>
      </w:r>
      <w:r w:rsidR="00310649">
        <w:rPr>
          <w:b/>
          <w:bCs/>
        </w:rPr>
        <w:t>5</w:t>
      </w:r>
      <w:r w:rsidRPr="0064797E">
        <w:rPr>
          <w:b/>
          <w:bCs/>
        </w:rPr>
        <w:t xml:space="preserve">: </w:t>
      </w:r>
      <w:r w:rsidR="00413765">
        <w:rPr>
          <w:b/>
          <w:bCs/>
        </w:rPr>
        <w:t>IoT UEs</w:t>
      </w:r>
      <w:r>
        <w:rPr>
          <w:b/>
          <w:bCs/>
        </w:rPr>
        <w:t xml:space="preserve"> </w:t>
      </w:r>
      <w:r w:rsidR="002D68EA">
        <w:rPr>
          <w:b/>
          <w:bCs/>
        </w:rPr>
        <w:t>can</w:t>
      </w:r>
      <w:r w:rsidR="003F2615">
        <w:rPr>
          <w:b/>
          <w:bCs/>
        </w:rPr>
        <w:t xml:space="preserve"> be configured</w:t>
      </w:r>
      <w:r w:rsidR="002D68EA">
        <w:rPr>
          <w:b/>
          <w:bCs/>
        </w:rPr>
        <w:t xml:space="preserve"> simultaneously</w:t>
      </w:r>
      <w:r>
        <w:rPr>
          <w:b/>
          <w:bCs/>
        </w:rPr>
        <w:t xml:space="preserve"> </w:t>
      </w:r>
      <w:r w:rsidR="003F2615">
        <w:rPr>
          <w:b/>
          <w:bCs/>
        </w:rPr>
        <w:t xml:space="preserve">with </w:t>
      </w:r>
      <w:r>
        <w:rPr>
          <w:b/>
          <w:bCs/>
        </w:rPr>
        <w:t>time-based and location-based triggers.</w:t>
      </w:r>
    </w:p>
    <w:p w14:paraId="242448D9" w14:textId="12891D68" w:rsidR="003F2615" w:rsidRDefault="001D243D" w:rsidP="00C709CA">
      <w:pPr>
        <w:jc w:val="both"/>
      </w:pPr>
      <w:r>
        <w:t xml:space="preserve">In our understanding, UEs configured with both conditions should trigger CHO/measurements when at least one of the conditions is met. </w:t>
      </w:r>
      <w:r w:rsidR="003F2615">
        <w:t>For instance, in case of EFC</w:t>
      </w:r>
      <w:r w:rsidR="00413765">
        <w:t>,</w:t>
      </w:r>
      <w:r w:rsidR="003F2615">
        <w:t xml:space="preserve"> a UE </w:t>
      </w:r>
      <w:r w:rsidR="00B35A8F">
        <w:t xml:space="preserve">which is only configured with a location-based trigger cannot determine </w:t>
      </w:r>
      <w:r w:rsidR="002B6464">
        <w:t xml:space="preserve">when </w:t>
      </w:r>
      <w:r w:rsidR="00B35A8F">
        <w:t xml:space="preserve">the cell </w:t>
      </w:r>
      <w:r>
        <w:t>end</w:t>
      </w:r>
      <w:r w:rsidR="002B6464">
        <w:t>s</w:t>
      </w:r>
      <w:r>
        <w:t xml:space="preserve"> the coverage.</w:t>
      </w:r>
      <w:r w:rsidR="00D7637B">
        <w:t xml:space="preserve"> </w:t>
      </w:r>
      <w:r w:rsidR="00D4723C">
        <w:t xml:space="preserve">However, </w:t>
      </w:r>
      <w:r w:rsidR="00D7637B">
        <w:t xml:space="preserve">if </w:t>
      </w:r>
      <w:r w:rsidR="00D4723C">
        <w:t>the same UE</w:t>
      </w:r>
      <w:r w:rsidR="00D7637B">
        <w:t xml:space="preserve"> is configured with both conditions</w:t>
      </w:r>
      <w:r w:rsidR="00D4723C">
        <w:t>, it</w:t>
      </w:r>
      <w:r w:rsidR="00D7637B">
        <w:t xml:space="preserve"> can evaluate its own position within the cell together with the remaining coverage time.</w:t>
      </w:r>
      <w:r>
        <w:t xml:space="preserve"> </w:t>
      </w:r>
    </w:p>
    <w:p w14:paraId="406353A6" w14:textId="7E141B5A" w:rsidR="005D71ED" w:rsidRPr="00030AF3" w:rsidRDefault="00D4723C" w:rsidP="00EE5B18">
      <w:pPr>
        <w:rPr>
          <w:b/>
          <w:bCs/>
        </w:rPr>
      </w:pPr>
      <w:r w:rsidRPr="00030AF3">
        <w:rPr>
          <w:b/>
          <w:bCs/>
        </w:rPr>
        <w:t xml:space="preserve">Proposal </w:t>
      </w:r>
      <w:r w:rsidR="00310649">
        <w:rPr>
          <w:b/>
          <w:bCs/>
        </w:rPr>
        <w:t>6</w:t>
      </w:r>
      <w:r w:rsidRPr="00030AF3">
        <w:rPr>
          <w:b/>
          <w:bCs/>
        </w:rPr>
        <w:t xml:space="preserve">: </w:t>
      </w:r>
      <w:r w:rsidR="0079733B" w:rsidRPr="00030AF3">
        <w:rPr>
          <w:b/>
          <w:bCs/>
        </w:rPr>
        <w:t>UEs configured with</w:t>
      </w:r>
      <w:r w:rsidR="00926A4C" w:rsidRPr="00030AF3">
        <w:rPr>
          <w:b/>
          <w:bCs/>
        </w:rPr>
        <w:t xml:space="preserve"> time-</w:t>
      </w:r>
      <w:r w:rsidR="00D051AD" w:rsidRPr="00030AF3">
        <w:rPr>
          <w:b/>
          <w:bCs/>
        </w:rPr>
        <w:t xml:space="preserve"> and </w:t>
      </w:r>
      <w:r w:rsidR="00926A4C" w:rsidRPr="00030AF3">
        <w:rPr>
          <w:b/>
          <w:bCs/>
        </w:rPr>
        <w:t>location-based conditions should</w:t>
      </w:r>
      <w:r w:rsidR="0079733B" w:rsidRPr="00030AF3">
        <w:rPr>
          <w:b/>
          <w:bCs/>
        </w:rPr>
        <w:t xml:space="preserve"> </w:t>
      </w:r>
      <w:r w:rsidRPr="00030AF3">
        <w:rPr>
          <w:b/>
          <w:bCs/>
        </w:rPr>
        <w:t>trigger CHO/measurements</w:t>
      </w:r>
      <w:r w:rsidR="00030AF3" w:rsidRPr="00030AF3">
        <w:rPr>
          <w:b/>
          <w:bCs/>
        </w:rPr>
        <w:t xml:space="preserve"> when at least one of the conditions is met.</w:t>
      </w:r>
      <w:r w:rsidRPr="00030AF3">
        <w:rPr>
          <w:b/>
          <w:bCs/>
        </w:rPr>
        <w:t xml:space="preserve"> </w:t>
      </w:r>
    </w:p>
    <w:p w14:paraId="2D968D72" w14:textId="77777777" w:rsidR="00EE5B18" w:rsidRPr="00EE5B18" w:rsidRDefault="00EE5B18" w:rsidP="00EE5B18"/>
    <w:p w14:paraId="0DD6373F" w14:textId="347BAC40" w:rsidR="00D90A96" w:rsidRPr="00D90A96" w:rsidRDefault="00D90A96" w:rsidP="00D90A96">
      <w:pPr>
        <w:pStyle w:val="Heading2"/>
      </w:pPr>
      <w:r>
        <w:t>2.1.4</w:t>
      </w:r>
      <w:r>
        <w:tab/>
        <w:t xml:space="preserve">Issue </w:t>
      </w:r>
      <w:r w:rsidR="00021124">
        <w:t>3</w:t>
      </w:r>
      <w:r>
        <w:t xml:space="preserve"> Connected mode measurement triggering for RLF enhancements in </w:t>
      </w:r>
      <w:proofErr w:type="gramStart"/>
      <w:r>
        <w:t>eMTC</w:t>
      </w:r>
      <w:proofErr w:type="gramEnd"/>
    </w:p>
    <w:tbl>
      <w:tblPr>
        <w:tblStyle w:val="TableGrid"/>
        <w:tblW w:w="0" w:type="auto"/>
        <w:tblLook w:val="04A0" w:firstRow="1" w:lastRow="0" w:firstColumn="1" w:lastColumn="0" w:noHBand="0" w:noVBand="1"/>
      </w:tblPr>
      <w:tblGrid>
        <w:gridCol w:w="9631"/>
      </w:tblGrid>
      <w:tr w:rsidR="00EE5B18" w14:paraId="544794AA" w14:textId="77777777" w:rsidTr="00EE5B18">
        <w:tc>
          <w:tcPr>
            <w:tcW w:w="9631" w:type="dxa"/>
          </w:tcPr>
          <w:p w14:paraId="0D85778A" w14:textId="01B4C0F3" w:rsidR="00EE5B18" w:rsidRDefault="00EE5B18" w:rsidP="00C54D9E">
            <w:r w:rsidRPr="00A53EDA">
              <w:rPr>
                <w:b/>
                <w:bCs/>
              </w:rPr>
              <w:t>Issue 2-1</w:t>
            </w:r>
            <w:r>
              <w:t xml:space="preserve">: Regarding RLF based measurement enhancements for eMTC UEs in RRC_CONNECTED, which frequencies to measure (frequencies in </w:t>
            </w:r>
            <w:proofErr w:type="spellStart"/>
            <w:r>
              <w:t>MeasObjects</w:t>
            </w:r>
            <w:proofErr w:type="spellEnd"/>
            <w:r>
              <w:t>, or frequencies in SIB, or both), whether measurement report will be triggered.</w:t>
            </w:r>
          </w:p>
        </w:tc>
      </w:tr>
    </w:tbl>
    <w:p w14:paraId="2DCDAA0F" w14:textId="77777777" w:rsidR="00C963B7" w:rsidRDefault="00C963B7" w:rsidP="00C54D9E"/>
    <w:p w14:paraId="7C06F246" w14:textId="6CA4BAA2" w:rsidR="00F861FF" w:rsidRDefault="00F861FF" w:rsidP="00C9684E">
      <w:pPr>
        <w:jc w:val="both"/>
      </w:pPr>
      <w:r>
        <w:lastRenderedPageBreak/>
        <w:t>The connected mode measurement triggering for RLF enhancements was not supported in Rel-17 for eMTC. It was supported in Rel-18 to allow the eMTC UE also to have the benefits for RLF enhancements when the NW did not configure explicit connected mode measurements. The issue related to configuring this feature along with connected mode measurements was raised in earlier meetings also and it was concluded that UE is not expected to be configured with connected mode measurements and the configurations related to measurement triggering for RLF enhancements.</w:t>
      </w:r>
    </w:p>
    <w:p w14:paraId="2E6D3B0C" w14:textId="5E8995E2" w:rsidR="00F861FF" w:rsidRDefault="00F861FF" w:rsidP="00C9684E">
      <w:pPr>
        <w:jc w:val="both"/>
        <w:rPr>
          <w:b/>
          <w:bCs/>
        </w:rPr>
      </w:pPr>
      <w:r w:rsidRPr="00F861FF">
        <w:rPr>
          <w:b/>
          <w:bCs/>
        </w:rPr>
        <w:t xml:space="preserve">Proposal </w:t>
      </w:r>
      <w:r w:rsidR="00310649">
        <w:rPr>
          <w:b/>
          <w:bCs/>
        </w:rPr>
        <w:t>7</w:t>
      </w:r>
      <w:r w:rsidRPr="00F861FF">
        <w:rPr>
          <w:b/>
          <w:bCs/>
        </w:rPr>
        <w:t xml:space="preserve">: </w:t>
      </w:r>
      <w:r>
        <w:rPr>
          <w:b/>
          <w:bCs/>
        </w:rPr>
        <w:t>RLF-based</w:t>
      </w:r>
      <w:r w:rsidRPr="00F861FF">
        <w:rPr>
          <w:b/>
          <w:bCs/>
        </w:rPr>
        <w:t xml:space="preserve"> measurement enhancements and connected mode measurements are not </w:t>
      </w:r>
      <w:r w:rsidR="0024003B">
        <w:rPr>
          <w:b/>
          <w:bCs/>
        </w:rPr>
        <w:t xml:space="preserve">expected to be </w:t>
      </w:r>
      <w:r w:rsidRPr="00F861FF">
        <w:rPr>
          <w:b/>
          <w:bCs/>
        </w:rPr>
        <w:t>configured simultaneously for the UE.</w:t>
      </w:r>
    </w:p>
    <w:p w14:paraId="0F945F7A" w14:textId="624C07DE" w:rsidR="00F861FF" w:rsidRDefault="00F861FF" w:rsidP="00C9684E">
      <w:pPr>
        <w:jc w:val="both"/>
      </w:pPr>
      <w:r>
        <w:t>If P</w:t>
      </w:r>
      <w:r w:rsidR="00310649">
        <w:t>7</w:t>
      </w:r>
      <w:r>
        <w:t xml:space="preserve"> is not acceptable and then impacts to event-based measurement triggering due to connected mode triggering configurations needs to be studied. In this case delay in event-based measurement triggering or CHO execution due to configurations for measurement triggering needs to be analysed in RAN4.</w:t>
      </w:r>
    </w:p>
    <w:p w14:paraId="3A8138E4" w14:textId="72954135" w:rsidR="00F861FF" w:rsidRDefault="00F861FF" w:rsidP="00C9684E">
      <w:pPr>
        <w:jc w:val="both"/>
        <w:rPr>
          <w:b/>
          <w:bCs/>
        </w:rPr>
      </w:pPr>
      <w:r w:rsidRPr="00F861FF">
        <w:rPr>
          <w:b/>
          <w:bCs/>
        </w:rPr>
        <w:t xml:space="preserve">Proposal </w:t>
      </w:r>
      <w:r w:rsidR="00310649">
        <w:rPr>
          <w:b/>
          <w:bCs/>
        </w:rPr>
        <w:t>8</w:t>
      </w:r>
      <w:r w:rsidRPr="00F861FF">
        <w:rPr>
          <w:b/>
          <w:bCs/>
        </w:rPr>
        <w:t xml:space="preserve">: If </w:t>
      </w:r>
      <w:r>
        <w:rPr>
          <w:b/>
          <w:bCs/>
        </w:rPr>
        <w:t>RLF-based</w:t>
      </w:r>
      <w:r w:rsidRPr="00F861FF">
        <w:rPr>
          <w:b/>
          <w:bCs/>
        </w:rPr>
        <w:t xml:space="preserve"> measurement enhancements are allowed to be configured along with connected mode measurements, the delay impact to connected mode measurement triggering needs to be </w:t>
      </w:r>
      <w:r w:rsidR="00C75C2B">
        <w:rPr>
          <w:b/>
          <w:bCs/>
        </w:rPr>
        <w:t>analysed</w:t>
      </w:r>
      <w:r w:rsidRPr="00F861FF">
        <w:rPr>
          <w:b/>
          <w:bCs/>
        </w:rPr>
        <w:t xml:space="preserve"> in RAN4.</w:t>
      </w:r>
    </w:p>
    <w:p w14:paraId="0C8FA47C" w14:textId="642F72DD" w:rsidR="00F861FF" w:rsidRDefault="00F861FF" w:rsidP="00C9684E">
      <w:pPr>
        <w:jc w:val="both"/>
      </w:pPr>
      <w:r>
        <w:t>In NB-IoT, the connected mode measurement triggering for RLF enhancement is not linked to any specific frequencies. It is up</w:t>
      </w:r>
      <w:r w:rsidR="00C9684E">
        <w:t xml:space="preserve"> </w:t>
      </w:r>
      <w:r>
        <w:t>to UE implementation to start intra and inter-frequency measurements using the natural gaps until RLF declaration. We propose to follow the same approach for eMTC</w:t>
      </w:r>
      <w:r w:rsidR="0024003B">
        <w:t xml:space="preserve"> that it is </w:t>
      </w:r>
      <w:r w:rsidR="00C75C2B">
        <w:t>up to</w:t>
      </w:r>
      <w:r w:rsidR="0024003B">
        <w:t xml:space="preserve"> UE implementation to decide on the frequencies to measure for RLF enhancements once the triggering condition is met.</w:t>
      </w:r>
    </w:p>
    <w:p w14:paraId="4350B7BA" w14:textId="0B567E73" w:rsidR="00F861FF" w:rsidRPr="00D90A96" w:rsidRDefault="0024003B" w:rsidP="00C9684E">
      <w:pPr>
        <w:jc w:val="both"/>
      </w:pPr>
      <w:r w:rsidRPr="0024003B">
        <w:rPr>
          <w:b/>
          <w:bCs/>
        </w:rPr>
        <w:t xml:space="preserve">Proposal </w:t>
      </w:r>
      <w:r w:rsidR="00310649">
        <w:rPr>
          <w:b/>
          <w:bCs/>
        </w:rPr>
        <w:t>9</w:t>
      </w:r>
      <w:r w:rsidRPr="0024003B">
        <w:rPr>
          <w:b/>
          <w:bCs/>
        </w:rPr>
        <w:t xml:space="preserve">: The Target frequencies/cells to be measured for RLF enhancement is left to UE implementation </w:t>
      </w:r>
      <w:proofErr w:type="gramStart"/>
      <w:r w:rsidRPr="0024003B">
        <w:rPr>
          <w:b/>
          <w:bCs/>
        </w:rPr>
        <w:t>similar to</w:t>
      </w:r>
      <w:proofErr w:type="gramEnd"/>
      <w:r w:rsidRPr="0024003B">
        <w:rPr>
          <w:b/>
          <w:bCs/>
        </w:rPr>
        <w:t xml:space="preserve"> NB-IoT.</w:t>
      </w:r>
    </w:p>
    <w:p w14:paraId="6327A5E6" w14:textId="5E923CF3" w:rsidR="009339CB" w:rsidRDefault="009339CB" w:rsidP="009339CB">
      <w:pPr>
        <w:pStyle w:val="Heading2"/>
      </w:pPr>
      <w:r w:rsidRPr="00D90A96">
        <w:t>2.2</w:t>
      </w:r>
      <w:r w:rsidRPr="00D90A96">
        <w:tab/>
      </w:r>
      <w:r w:rsidR="00C963B7" w:rsidRPr="00D90A96">
        <w:t>Additional open issues</w:t>
      </w:r>
    </w:p>
    <w:p w14:paraId="3A104CE3" w14:textId="6261577B" w:rsidR="000D3FD6" w:rsidRDefault="002478A3" w:rsidP="002D0C08">
      <w:pPr>
        <w:pStyle w:val="Heading2"/>
      </w:pPr>
      <w:r>
        <w:t>2.2.1</w:t>
      </w:r>
      <w:r w:rsidR="003D5086">
        <w:tab/>
      </w:r>
      <w:r>
        <w:t>Measurem</w:t>
      </w:r>
      <w:r w:rsidR="0088778B">
        <w:t>ents relaxation</w:t>
      </w:r>
      <w:r w:rsidR="003E7BC4">
        <w:t xml:space="preserve"> for IoT NTN</w:t>
      </w:r>
    </w:p>
    <w:p w14:paraId="677A46F7" w14:textId="194A37E7" w:rsidR="00D611FA" w:rsidRDefault="00D611FA" w:rsidP="00D611FA">
      <w:pPr>
        <w:jc w:val="both"/>
        <w:rPr>
          <w:lang w:val="en-US"/>
        </w:rPr>
      </w:pPr>
      <w:r>
        <w:rPr>
          <w:lang w:val="en-US"/>
        </w:rPr>
        <w:t xml:space="preserve">In RAN2#121-bis meeting, it was agreed that for moving cells, the UE can propagate over time the trajectory of the serving cell based on satellite ephemeris and </w:t>
      </w:r>
      <w:proofErr w:type="spellStart"/>
      <w:r>
        <w:rPr>
          <w:lang w:val="en-US"/>
        </w:rPr>
        <w:t>epochTime</w:t>
      </w:r>
      <w:proofErr w:type="spellEnd"/>
      <w:r>
        <w:rPr>
          <w:lang w:val="en-US"/>
        </w:rPr>
        <w:t xml:space="preserve"> (similarly as in NR-NTN). The agreement allows the UE to estimate how the serving cell’s reference location moves during the time that the UE is camping in that cell and solves the issue of the cell reference location becoming outdated. In our view, we think that this knowledge could be further exploited. </w:t>
      </w:r>
      <w:r>
        <w:rPr>
          <w:lang w:val="en-US"/>
        </w:rPr>
        <w:fldChar w:fldCharType="begin"/>
      </w:r>
      <w:r>
        <w:rPr>
          <w:lang w:val="en-US"/>
        </w:rPr>
        <w:instrText xml:space="preserve"> REF _Ref142552354 \h </w:instrText>
      </w:r>
      <w:r>
        <w:rPr>
          <w:lang w:val="en-US"/>
        </w:rPr>
      </w:r>
      <w:r>
        <w:rPr>
          <w:lang w:val="en-US"/>
        </w:rPr>
        <w:fldChar w:fldCharType="separate"/>
      </w:r>
      <w:r>
        <w:t xml:space="preserve">Figure </w:t>
      </w:r>
      <w:r>
        <w:rPr>
          <w:noProof/>
        </w:rPr>
        <w:t>1</w:t>
      </w:r>
      <w:r>
        <w:rPr>
          <w:lang w:val="en-US"/>
        </w:rPr>
        <w:fldChar w:fldCharType="end"/>
      </w:r>
      <w:r>
        <w:rPr>
          <w:lang w:val="en-US"/>
        </w:rPr>
        <w:t xml:space="preserve"> show</w:t>
      </w:r>
      <w:r w:rsidR="00F021CE">
        <w:rPr>
          <w:lang w:val="en-US"/>
        </w:rPr>
        <w:t>s</w:t>
      </w:r>
      <w:r>
        <w:rPr>
          <w:lang w:val="en-US"/>
        </w:rPr>
        <w:t xml:space="preserve"> an example on how the</w:t>
      </w:r>
      <w:r w:rsidR="00C90F2D">
        <w:rPr>
          <w:lang w:val="en-US"/>
        </w:rPr>
        <w:t xml:space="preserve"> cell movement</w:t>
      </w:r>
      <w:r>
        <w:rPr>
          <w:lang w:val="en-US"/>
        </w:rPr>
        <w:t xml:space="preserve"> can be used. </w:t>
      </w:r>
      <w:r w:rsidR="00691553">
        <w:rPr>
          <w:lang w:val="en-US"/>
        </w:rPr>
        <w:t>T</w:t>
      </w:r>
      <w:r>
        <w:rPr>
          <w:lang w:val="en-US"/>
        </w:rPr>
        <w:t>he UE could determine not only</w:t>
      </w:r>
      <w:r w:rsidRPr="003C5EBA">
        <w:rPr>
          <w:lang w:val="en-US"/>
        </w:rPr>
        <w:t xml:space="preserve"> </w:t>
      </w:r>
      <w:r>
        <w:rPr>
          <w:lang w:val="en-US"/>
        </w:rPr>
        <w:t xml:space="preserve">when to start neighbor cell measurements but also when to relax or pause serving cell measurements. This mobility issue was barely addressed in </w:t>
      </w:r>
      <w:r w:rsidR="00E81F22">
        <w:rPr>
          <w:lang w:val="en-US"/>
        </w:rPr>
        <w:t xml:space="preserve">previous </w:t>
      </w:r>
      <w:r>
        <w:rPr>
          <w:lang w:val="en-US"/>
        </w:rPr>
        <w:t>RAN2 meeting</w:t>
      </w:r>
      <w:r w:rsidR="00E81F22">
        <w:rPr>
          <w:lang w:val="en-US"/>
        </w:rPr>
        <w:t>s</w:t>
      </w:r>
      <w:r w:rsidR="00C75C2B">
        <w:rPr>
          <w:lang w:val="en-US"/>
        </w:rPr>
        <w:t>,</w:t>
      </w:r>
      <w:r>
        <w:rPr>
          <w:lang w:val="en-US"/>
        </w:rPr>
        <w:t xml:space="preserve"> and the details </w:t>
      </w:r>
      <w:r w:rsidRPr="003C5EBA">
        <w:rPr>
          <w:lang w:val="en-US"/>
        </w:rPr>
        <w:t>were left open</w:t>
      </w:r>
      <w:r>
        <w:rPr>
          <w:lang w:val="en-US"/>
        </w:rPr>
        <w:t xml:space="preserve"> </w:t>
      </w:r>
      <w:r w:rsidRPr="003C5EBA">
        <w:rPr>
          <w:lang w:val="en-US"/>
        </w:rPr>
        <w:t>to UE implementation</w:t>
      </w:r>
      <w:r>
        <w:rPr>
          <w:lang w:val="en-US"/>
        </w:rPr>
        <w:t xml:space="preserve">. The specification should define </w:t>
      </w:r>
      <w:r w:rsidRPr="003C5EBA">
        <w:rPr>
          <w:lang w:val="en-US"/>
        </w:rPr>
        <w:t>when the UE relaxes serving cell and starts neighbor cells measurements given that UE’s power consumption is a critical feature for</w:t>
      </w:r>
      <w:r>
        <w:rPr>
          <w:lang w:val="en-US"/>
        </w:rPr>
        <w:t xml:space="preserve"> </w:t>
      </w:r>
      <w:r w:rsidRPr="003C5EBA">
        <w:rPr>
          <w:lang w:val="en-US"/>
        </w:rPr>
        <w:t>IoT</w:t>
      </w:r>
      <w:r>
        <w:rPr>
          <w:lang w:val="en-US"/>
        </w:rPr>
        <w:t>-</w:t>
      </w:r>
      <w:r w:rsidRPr="003C5EBA">
        <w:rPr>
          <w:lang w:val="en-US"/>
        </w:rPr>
        <w:t>NTN.</w:t>
      </w:r>
    </w:p>
    <w:p w14:paraId="59016BB6" w14:textId="70F8F78F" w:rsidR="00D611FA" w:rsidRDefault="00D611FA" w:rsidP="00D611FA">
      <w:pPr>
        <w:jc w:val="both"/>
        <w:rPr>
          <w:b/>
          <w:bCs/>
          <w:lang w:val="en-US"/>
        </w:rPr>
      </w:pPr>
      <w:r w:rsidRPr="004A300F">
        <w:rPr>
          <w:b/>
          <w:bCs/>
          <w:lang w:val="en-US"/>
        </w:rPr>
        <w:t xml:space="preserve">Observation </w:t>
      </w:r>
      <w:r w:rsidR="00310649">
        <w:rPr>
          <w:b/>
          <w:bCs/>
          <w:lang w:val="en-US"/>
        </w:rPr>
        <w:t>2</w:t>
      </w:r>
      <w:r w:rsidRPr="004A300F">
        <w:rPr>
          <w:b/>
          <w:bCs/>
          <w:lang w:val="en-US"/>
        </w:rPr>
        <w:t>: For Earth-moving cells, even though the UE can derive the movement of the serving cell, it is not specified whether the UE could</w:t>
      </w:r>
      <w:r>
        <w:rPr>
          <w:b/>
          <w:bCs/>
          <w:lang w:val="en-US"/>
        </w:rPr>
        <w:t xml:space="preserve"> </w:t>
      </w:r>
      <w:r w:rsidRPr="004A300F">
        <w:rPr>
          <w:b/>
          <w:bCs/>
          <w:lang w:val="en-US"/>
        </w:rPr>
        <w:t>relax measurements based on that</w:t>
      </w:r>
      <w:r w:rsidRPr="003C5EBA">
        <w:rPr>
          <w:b/>
          <w:bCs/>
          <w:lang w:val="en-US"/>
        </w:rPr>
        <w:t xml:space="preserve"> estimation</w:t>
      </w:r>
      <w:r w:rsidRPr="004A300F">
        <w:rPr>
          <w:b/>
          <w:bCs/>
          <w:lang w:val="en-US"/>
        </w:rPr>
        <w:t>.</w:t>
      </w:r>
    </w:p>
    <w:p w14:paraId="268E1A3B" w14:textId="76250B64" w:rsidR="00D611FA" w:rsidRDefault="00D611FA" w:rsidP="00D611FA">
      <w:pPr>
        <w:jc w:val="both"/>
        <w:rPr>
          <w:b/>
          <w:bCs/>
          <w:lang w:val="en-US"/>
        </w:rPr>
      </w:pPr>
      <w:r w:rsidRPr="00AF057C">
        <w:rPr>
          <w:b/>
          <w:bCs/>
          <w:lang w:val="en-US"/>
        </w:rPr>
        <w:t xml:space="preserve">Proposal </w:t>
      </w:r>
      <w:r w:rsidR="00310649">
        <w:rPr>
          <w:b/>
          <w:bCs/>
          <w:lang w:val="en-US"/>
        </w:rPr>
        <w:t>10</w:t>
      </w:r>
      <w:r w:rsidRPr="00AF057C">
        <w:rPr>
          <w:b/>
          <w:bCs/>
          <w:lang w:val="en-US"/>
        </w:rPr>
        <w:t xml:space="preserve">: For Earth-moving cells, the UE can relax serving cell measurements and </w:t>
      </w:r>
      <w:r w:rsidR="002A062E">
        <w:rPr>
          <w:b/>
          <w:bCs/>
          <w:lang w:val="en-US"/>
        </w:rPr>
        <w:t>trigger</w:t>
      </w:r>
      <w:r w:rsidRPr="00AF057C">
        <w:rPr>
          <w:b/>
          <w:bCs/>
          <w:lang w:val="en-US"/>
        </w:rPr>
        <w:t xml:space="preserve"> neighbor cell measurements based on the trajectory of the serving cell.</w:t>
      </w:r>
    </w:p>
    <w:p w14:paraId="34911F9A" w14:textId="77777777" w:rsidR="00D611FA" w:rsidRDefault="00D611FA" w:rsidP="00D611FA">
      <w:pPr>
        <w:jc w:val="both"/>
        <w:rPr>
          <w:b/>
          <w:bCs/>
          <w:lang w:val="en-US"/>
        </w:rPr>
      </w:pPr>
    </w:p>
    <w:p w14:paraId="3E762C70" w14:textId="77777777" w:rsidR="00D611FA" w:rsidRDefault="00D611FA" w:rsidP="00D611FA">
      <w:pPr>
        <w:keepNext/>
        <w:jc w:val="center"/>
      </w:pPr>
      <w:r>
        <w:rPr>
          <w:b/>
          <w:bCs/>
          <w:noProof/>
          <w:lang w:val="en-US"/>
        </w:rPr>
        <w:drawing>
          <wp:inline distT="0" distB="0" distL="0" distR="0" wp14:anchorId="01A2368C" wp14:editId="47135241">
            <wp:extent cx="5289717" cy="1986760"/>
            <wp:effectExtent l="0" t="0" r="0" b="0"/>
            <wp:docPr id="3" name="Picture 3" descr="A graph of cell measureme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aph of cell measurements&#10;&#10;Description automatically generated"/>
                    <pic:cNvPicPr/>
                  </pic:nvPicPr>
                  <pic:blipFill>
                    <a:blip r:embed="rId13"/>
                    <a:stretch>
                      <a:fillRect/>
                    </a:stretch>
                  </pic:blipFill>
                  <pic:spPr>
                    <a:xfrm>
                      <a:off x="0" y="0"/>
                      <a:ext cx="5289717" cy="1986760"/>
                    </a:xfrm>
                    <a:prstGeom prst="rect">
                      <a:avLst/>
                    </a:prstGeom>
                  </pic:spPr>
                </pic:pic>
              </a:graphicData>
            </a:graphic>
          </wp:inline>
        </w:drawing>
      </w:r>
    </w:p>
    <w:p w14:paraId="5693A831" w14:textId="3F5CB4DF" w:rsidR="00D611FA" w:rsidRPr="004A300F" w:rsidRDefault="00D611FA" w:rsidP="00D611FA">
      <w:pPr>
        <w:pStyle w:val="Caption"/>
        <w:jc w:val="center"/>
        <w:rPr>
          <w:b/>
          <w:bCs/>
          <w:lang w:val="en-US"/>
        </w:rPr>
      </w:pPr>
      <w:bookmarkStart w:id="0" w:name="_Ref142552354"/>
      <w:r>
        <w:t xml:space="preserve">Figure </w:t>
      </w:r>
      <w:fldSimple w:instr=" SEQ Figure \* ARABIC ">
        <w:r>
          <w:rPr>
            <w:noProof/>
          </w:rPr>
          <w:t>1</w:t>
        </w:r>
      </w:fldSimple>
      <w:bookmarkEnd w:id="0"/>
      <w:r w:rsidR="00D220E4">
        <w:t xml:space="preserve"> Relaxation of </w:t>
      </w:r>
      <w:r>
        <w:t xml:space="preserve">cell measurements </w:t>
      </w:r>
      <w:r w:rsidR="004D1E65">
        <w:t>based</w:t>
      </w:r>
      <w:r>
        <w:t xml:space="preserve"> on end</w:t>
      </w:r>
      <w:r w:rsidR="005049D4">
        <w:t>-</w:t>
      </w:r>
      <w:r>
        <w:t>of</w:t>
      </w:r>
      <w:r w:rsidR="005049D4">
        <w:t>-</w:t>
      </w:r>
      <w:r>
        <w:t>coverage.</w:t>
      </w:r>
    </w:p>
    <w:p w14:paraId="79A84207" w14:textId="455BAECB" w:rsidR="00D611FA" w:rsidRDefault="00D611FA" w:rsidP="00D611FA">
      <w:pPr>
        <w:jc w:val="both"/>
        <w:rPr>
          <w:lang w:val="en-US"/>
        </w:rPr>
      </w:pPr>
      <w:r>
        <w:rPr>
          <w:lang w:val="en-US"/>
        </w:rPr>
        <w:lastRenderedPageBreak/>
        <w:t>For Earth-fixed cells, it was agreed that the UE could use t-</w:t>
      </w:r>
      <w:proofErr w:type="spellStart"/>
      <w:r>
        <w:rPr>
          <w:lang w:val="en-US"/>
        </w:rPr>
        <w:t>ServiceStart</w:t>
      </w:r>
      <w:proofErr w:type="spellEnd"/>
      <w:r>
        <w:rPr>
          <w:lang w:val="en-US"/>
        </w:rPr>
        <w:t xml:space="preserve"> to determine when to start measurements of the </w:t>
      </w:r>
      <w:r w:rsidRPr="003C5EBA">
        <w:rPr>
          <w:lang w:val="en-US"/>
        </w:rPr>
        <w:t>target cell</w:t>
      </w:r>
      <w:r>
        <w:rPr>
          <w:lang w:val="en-US"/>
        </w:rPr>
        <w:t xml:space="preserve"> (if t-</w:t>
      </w:r>
      <w:proofErr w:type="spellStart"/>
      <w:r>
        <w:rPr>
          <w:lang w:val="en-US"/>
        </w:rPr>
        <w:t>ServiceStart</w:t>
      </w:r>
      <w:proofErr w:type="spellEnd"/>
      <w:r>
        <w:rPr>
          <w:lang w:val="en-US"/>
        </w:rPr>
        <w:t xml:space="preserve"> is available and valid)</w:t>
      </w:r>
      <w:r w:rsidRPr="003C5EBA">
        <w:rPr>
          <w:lang w:val="en-US"/>
        </w:rPr>
        <w:t>.</w:t>
      </w:r>
      <w:r>
        <w:rPr>
          <w:lang w:val="en-US"/>
        </w:rPr>
        <w:t xml:space="preserve"> However, similarly as in Earth-moving cells</w:t>
      </w:r>
      <w:r w:rsidRPr="003C5EBA">
        <w:rPr>
          <w:lang w:val="en-US"/>
        </w:rPr>
        <w:t xml:space="preserve">, </w:t>
      </w:r>
      <w:r>
        <w:rPr>
          <w:lang w:val="en-US"/>
        </w:rPr>
        <w:t xml:space="preserve">nothing was agreed on how this parameter could be used for serving cell measurements. </w:t>
      </w:r>
      <w:r w:rsidR="00640F52">
        <w:rPr>
          <w:lang w:val="en-US"/>
        </w:rPr>
        <w:t>I</w:t>
      </w:r>
      <w:r w:rsidRPr="003C5EBA">
        <w:rPr>
          <w:lang w:val="en-US"/>
        </w:rPr>
        <w:t>f the UE is aware of</w:t>
      </w:r>
      <w:r>
        <w:rPr>
          <w:lang w:val="en-US"/>
        </w:rPr>
        <w:t xml:space="preserve"> when the </w:t>
      </w:r>
      <w:r w:rsidRPr="003C5EBA">
        <w:rPr>
          <w:lang w:val="en-US"/>
        </w:rPr>
        <w:t>target cell becomes available, the UE could relax</w:t>
      </w:r>
      <w:r>
        <w:rPr>
          <w:lang w:val="en-US"/>
        </w:rPr>
        <w:t xml:space="preserve"> serving cell measurements </w:t>
      </w:r>
      <w:r w:rsidR="00C22648">
        <w:rPr>
          <w:lang w:val="en-US"/>
        </w:rPr>
        <w:t>based on</w:t>
      </w:r>
      <w:r w:rsidRPr="003C5EBA">
        <w:rPr>
          <w:lang w:val="en-US"/>
        </w:rPr>
        <w:t xml:space="preserve"> t-</w:t>
      </w:r>
      <w:proofErr w:type="spellStart"/>
      <w:r w:rsidRPr="003C5EBA">
        <w:rPr>
          <w:lang w:val="en-US"/>
        </w:rPr>
        <w:t>ServiceStart</w:t>
      </w:r>
      <w:proofErr w:type="spellEnd"/>
      <w:r w:rsidRPr="003C5EBA">
        <w:rPr>
          <w:lang w:val="en-US"/>
        </w:rPr>
        <w:t>.</w:t>
      </w:r>
      <w:r>
        <w:rPr>
          <w:lang w:val="en-US"/>
        </w:rPr>
        <w:t xml:space="preserve"> For that reason, we propose the following:</w:t>
      </w:r>
    </w:p>
    <w:p w14:paraId="4B3265DA" w14:textId="52899053" w:rsidR="00D611FA" w:rsidRPr="00D611FA" w:rsidRDefault="00D611FA" w:rsidP="00D611FA">
      <w:r w:rsidRPr="003324C1">
        <w:rPr>
          <w:b/>
          <w:bCs/>
          <w:lang w:val="en-US" w:eastAsia="en-GB"/>
        </w:rPr>
        <w:t xml:space="preserve">Proposal </w:t>
      </w:r>
      <w:r w:rsidR="00310649">
        <w:rPr>
          <w:b/>
          <w:bCs/>
          <w:lang w:val="en-US" w:eastAsia="en-GB"/>
        </w:rPr>
        <w:t>11</w:t>
      </w:r>
      <w:r w:rsidRPr="003324C1">
        <w:rPr>
          <w:b/>
          <w:bCs/>
          <w:lang w:val="en-US" w:eastAsia="en-GB"/>
        </w:rPr>
        <w:t>:</w:t>
      </w:r>
      <w:r w:rsidRPr="003324C1">
        <w:rPr>
          <w:b/>
          <w:lang w:val="en-US" w:eastAsia="en-GB"/>
        </w:rPr>
        <w:t xml:space="preserve"> </w:t>
      </w:r>
      <w:r w:rsidRPr="004A300F">
        <w:rPr>
          <w:b/>
          <w:bCs/>
          <w:lang w:val="en-US"/>
        </w:rPr>
        <w:t xml:space="preserve">For </w:t>
      </w:r>
      <w:r w:rsidR="00310649">
        <w:rPr>
          <w:b/>
          <w:bCs/>
          <w:lang w:val="en-US"/>
        </w:rPr>
        <w:t>EFC</w:t>
      </w:r>
      <w:r w:rsidRPr="004A300F">
        <w:rPr>
          <w:b/>
          <w:bCs/>
          <w:lang w:val="en-US"/>
        </w:rPr>
        <w:t xml:space="preserve">, the UE </w:t>
      </w:r>
      <w:r w:rsidR="004D6BFE">
        <w:rPr>
          <w:b/>
          <w:bCs/>
          <w:lang w:val="en-US"/>
        </w:rPr>
        <w:t>can</w:t>
      </w:r>
      <w:r w:rsidRPr="004A300F">
        <w:rPr>
          <w:b/>
          <w:bCs/>
          <w:lang w:val="en-US"/>
        </w:rPr>
        <w:t xml:space="preserve"> relax</w:t>
      </w:r>
      <w:r w:rsidRPr="003C5EBA">
        <w:rPr>
          <w:b/>
          <w:bCs/>
          <w:lang w:val="en-US"/>
        </w:rPr>
        <w:t xml:space="preserve"> serving </w:t>
      </w:r>
      <w:r w:rsidRPr="004A300F">
        <w:rPr>
          <w:b/>
          <w:bCs/>
          <w:lang w:val="en-US"/>
        </w:rPr>
        <w:t xml:space="preserve">cell measurements </w:t>
      </w:r>
      <w:r w:rsidR="00D36C33">
        <w:rPr>
          <w:b/>
          <w:bCs/>
          <w:lang w:val="en-US"/>
        </w:rPr>
        <w:t>based on</w:t>
      </w:r>
      <w:r w:rsidRPr="004A300F">
        <w:rPr>
          <w:b/>
          <w:bCs/>
          <w:lang w:val="en-US"/>
        </w:rPr>
        <w:t xml:space="preserve"> t-</w:t>
      </w:r>
      <w:proofErr w:type="spellStart"/>
      <w:r w:rsidRPr="004A300F">
        <w:rPr>
          <w:b/>
          <w:bCs/>
          <w:lang w:val="en-US"/>
        </w:rPr>
        <w:t>ServiceStart</w:t>
      </w:r>
      <w:proofErr w:type="spellEnd"/>
      <w:r w:rsidRPr="004A300F">
        <w:rPr>
          <w:b/>
          <w:bCs/>
          <w:lang w:val="en-US"/>
        </w:rPr>
        <w:t>.</w:t>
      </w:r>
    </w:p>
    <w:p w14:paraId="1E09F561" w14:textId="1ED65D5B" w:rsidR="003E7BC4" w:rsidRPr="003E7BC4" w:rsidRDefault="00CA0199" w:rsidP="00CA0199">
      <w:pPr>
        <w:pStyle w:val="Heading2"/>
      </w:pPr>
      <w:r>
        <w:t>2.2.</w:t>
      </w:r>
      <w:r w:rsidR="003D5086">
        <w:t>2</w:t>
      </w:r>
      <w:r w:rsidR="003D5086">
        <w:tab/>
      </w:r>
      <w:r w:rsidR="00D43687">
        <w:t xml:space="preserve">Measurements based on </w:t>
      </w:r>
      <w:r w:rsidR="003C6BAB">
        <w:t>t-</w:t>
      </w:r>
      <w:proofErr w:type="spellStart"/>
      <w:proofErr w:type="gramStart"/>
      <w:r w:rsidR="003C6BAB">
        <w:t>ServiceStart</w:t>
      </w:r>
      <w:proofErr w:type="spellEnd"/>
      <w:proofErr w:type="gramEnd"/>
      <w:r w:rsidR="00D43687">
        <w:t xml:space="preserve"> </w:t>
      </w:r>
    </w:p>
    <w:p w14:paraId="2800B804" w14:textId="276D2745" w:rsidR="00E9082C" w:rsidRDefault="00E9082C" w:rsidP="00E9082C">
      <w:pPr>
        <w:jc w:val="both"/>
        <w:rPr>
          <w:lang w:val="en-US"/>
        </w:rPr>
      </w:pPr>
      <w:r>
        <w:rPr>
          <w:lang w:val="en-US"/>
        </w:rPr>
        <w:t>During RAN2#122 meeting, and only for Earth-fixed cells, the agreement below was made:</w:t>
      </w:r>
    </w:p>
    <w:tbl>
      <w:tblPr>
        <w:tblStyle w:val="TableGrid"/>
        <w:tblW w:w="0" w:type="auto"/>
        <w:tblLook w:val="04A0" w:firstRow="1" w:lastRow="0" w:firstColumn="1" w:lastColumn="0" w:noHBand="0" w:noVBand="1"/>
      </w:tblPr>
      <w:tblGrid>
        <w:gridCol w:w="9631"/>
      </w:tblGrid>
      <w:tr w:rsidR="00E9082C" w14:paraId="5DD3DFE2" w14:textId="77777777" w:rsidTr="008A1F1D">
        <w:tc>
          <w:tcPr>
            <w:tcW w:w="9631" w:type="dxa"/>
          </w:tcPr>
          <w:p w14:paraId="3EA04719" w14:textId="77777777" w:rsidR="00E9082C" w:rsidRDefault="00E9082C" w:rsidP="008A1F1D">
            <w:pPr>
              <w:jc w:val="both"/>
              <w:rPr>
                <w:lang w:val="en-US"/>
              </w:rPr>
            </w:pPr>
            <w:r w:rsidRPr="004A300F">
              <w:rPr>
                <w:highlight w:val="green"/>
                <w:lang w:val="en-US"/>
              </w:rPr>
              <w:t>Agreement in RAN2#122</w:t>
            </w:r>
          </w:p>
          <w:p w14:paraId="25D45529" w14:textId="50E6FCA9" w:rsidR="00E9082C" w:rsidRPr="004A300F" w:rsidRDefault="00E9082C" w:rsidP="008A1F1D">
            <w:pPr>
              <w:jc w:val="both"/>
            </w:pPr>
            <w:r w:rsidRPr="00B321D1">
              <w:t>For earth-fixed cells, introduce t-</w:t>
            </w:r>
            <w:proofErr w:type="spellStart"/>
            <w:r w:rsidRPr="00B321D1">
              <w:t>ServiceStart</w:t>
            </w:r>
            <w:proofErr w:type="spellEnd"/>
            <w:r w:rsidRPr="00B321D1">
              <w:t xml:space="preserve"> for </w:t>
            </w:r>
            <w:r w:rsidR="00F26A6B" w:rsidRPr="00B321D1">
              <w:t>neighbour</w:t>
            </w:r>
            <w:r w:rsidRPr="00B321D1">
              <w:t xml:space="preserve"> cells. If UE is aware of the t-</w:t>
            </w:r>
            <w:proofErr w:type="spellStart"/>
            <w:r w:rsidRPr="00B321D1">
              <w:t>ServiceStart</w:t>
            </w:r>
            <w:proofErr w:type="spellEnd"/>
            <w:r w:rsidRPr="00B321D1">
              <w:t xml:space="preserve"> of the neighbour cell</w:t>
            </w:r>
            <w:r w:rsidR="00F26A6B" w:rsidRPr="00B321D1">
              <w:t>,</w:t>
            </w:r>
            <w:r w:rsidRPr="00B321D1">
              <w:t xml:space="preserve"> then may be used (up to UE implementation) to determine when to start measurements of that </w:t>
            </w:r>
            <w:r w:rsidR="00F26A6B" w:rsidRPr="00B321D1">
              <w:t>neighbour</w:t>
            </w:r>
            <w:r w:rsidRPr="00B321D1">
              <w:t xml:space="preserve"> cell.</w:t>
            </w:r>
          </w:p>
        </w:tc>
      </w:tr>
    </w:tbl>
    <w:p w14:paraId="2440C0B6" w14:textId="77777777" w:rsidR="00E9082C" w:rsidRDefault="00E9082C" w:rsidP="00E9082C">
      <w:pPr>
        <w:jc w:val="both"/>
        <w:rPr>
          <w:lang w:val="en-US"/>
        </w:rPr>
      </w:pPr>
    </w:p>
    <w:p w14:paraId="632DD743" w14:textId="347F7ED5" w:rsidR="00E9082C" w:rsidRDefault="00DC268C" w:rsidP="00E9082C">
      <w:pPr>
        <w:jc w:val="both"/>
        <w:rPr>
          <w:lang w:val="en-US"/>
        </w:rPr>
      </w:pPr>
      <w:r>
        <w:rPr>
          <w:lang w:val="en-US"/>
        </w:rPr>
        <w:t xml:space="preserve">Later further agreements follow to define how this parameter should be </w:t>
      </w:r>
      <w:r w:rsidR="00F26A6B">
        <w:rPr>
          <w:lang w:val="en-US"/>
        </w:rPr>
        <w:t>signaled</w:t>
      </w:r>
      <w:r>
        <w:rPr>
          <w:lang w:val="en-US"/>
        </w:rPr>
        <w:t xml:space="preserve"> by the network. </w:t>
      </w:r>
      <w:r w:rsidR="00E9082C">
        <w:rPr>
          <w:lang w:val="en-US"/>
        </w:rPr>
        <w:t xml:space="preserve">The agreement </w:t>
      </w:r>
      <w:r>
        <w:rPr>
          <w:lang w:val="en-US"/>
        </w:rPr>
        <w:t xml:space="preserve">above </w:t>
      </w:r>
      <w:r w:rsidR="00E9082C">
        <w:rPr>
          <w:lang w:val="en-US"/>
        </w:rPr>
        <w:t>defines the UE can consider the neighbor cell t-</w:t>
      </w:r>
      <w:proofErr w:type="spellStart"/>
      <w:r w:rsidR="00E9082C">
        <w:rPr>
          <w:lang w:val="en-US"/>
        </w:rPr>
        <w:t>ServiceStart</w:t>
      </w:r>
      <w:proofErr w:type="spellEnd"/>
      <w:r w:rsidR="00E9082C">
        <w:rPr>
          <w:lang w:val="en-US"/>
        </w:rPr>
        <w:t xml:space="preserve"> to determine when to start measurements towards the target cell</w:t>
      </w:r>
      <w:r w:rsidR="00DE2128">
        <w:rPr>
          <w:lang w:val="en-US"/>
        </w:rPr>
        <w:t xml:space="preserve"> (if available)</w:t>
      </w:r>
      <w:r w:rsidR="00E9082C">
        <w:rPr>
          <w:lang w:val="en-US"/>
        </w:rPr>
        <w:t>, which is useful to ensure the measurements are timely i.e</w:t>
      </w:r>
      <w:r w:rsidR="00F26A6B">
        <w:rPr>
          <w:lang w:val="en-US"/>
        </w:rPr>
        <w:t>.,</w:t>
      </w:r>
      <w:r w:rsidR="00E9082C">
        <w:rPr>
          <w:lang w:val="en-US"/>
        </w:rPr>
        <w:t xml:space="preserve"> not occurring before the cell is available and not occurring too late. However, the “</w:t>
      </w:r>
      <w:r w:rsidR="00E9082C" w:rsidRPr="00E61636">
        <w:rPr>
          <w:lang w:val="en-US"/>
        </w:rPr>
        <w:t>(up to UE implementation</w:t>
      </w:r>
      <w:r w:rsidR="00E9082C">
        <w:rPr>
          <w:lang w:val="en-US"/>
        </w:rPr>
        <w:t>)” makes it rather unclear whether RAN4 shall proceed with defining requirements related to the measurements and therefore we think it would be good to consider clarifying the intention and potentially omit the implementation aspect.</w:t>
      </w:r>
    </w:p>
    <w:p w14:paraId="70A81AAD" w14:textId="15C5259B" w:rsidR="00E9082C" w:rsidRPr="004A300F" w:rsidRDefault="00E9082C" w:rsidP="00E9082C">
      <w:pPr>
        <w:jc w:val="both"/>
        <w:rPr>
          <w:b/>
          <w:bCs/>
          <w:lang w:val="en-US"/>
        </w:rPr>
      </w:pPr>
      <w:r>
        <w:rPr>
          <w:b/>
          <w:bCs/>
          <w:lang w:val="en-US"/>
        </w:rPr>
        <w:t xml:space="preserve">Proposal </w:t>
      </w:r>
      <w:r w:rsidR="00310649">
        <w:rPr>
          <w:b/>
          <w:bCs/>
          <w:lang w:val="en-US"/>
        </w:rPr>
        <w:t>12</w:t>
      </w:r>
      <w:r>
        <w:rPr>
          <w:b/>
          <w:bCs/>
          <w:lang w:val="en-US"/>
        </w:rPr>
        <w:t xml:space="preserve">: RAN2 to consider </w:t>
      </w:r>
      <w:r w:rsidR="00F26A6B">
        <w:rPr>
          <w:b/>
          <w:bCs/>
          <w:lang w:val="en-US"/>
        </w:rPr>
        <w:t>clarifying</w:t>
      </w:r>
      <w:r>
        <w:rPr>
          <w:b/>
          <w:bCs/>
          <w:lang w:val="en-US"/>
        </w:rPr>
        <w:t xml:space="preserve"> the intention of “</w:t>
      </w:r>
      <w:r w:rsidRPr="0056605C">
        <w:rPr>
          <w:b/>
          <w:bCs/>
          <w:lang w:val="en-US"/>
        </w:rPr>
        <w:t>(up to UE implementation</w:t>
      </w:r>
      <w:r>
        <w:rPr>
          <w:b/>
          <w:bCs/>
          <w:lang w:val="en-US"/>
        </w:rPr>
        <w:t>)” in the RAN2#122 agreement related to use of t-</w:t>
      </w:r>
      <w:proofErr w:type="spellStart"/>
      <w:r>
        <w:rPr>
          <w:b/>
          <w:bCs/>
          <w:lang w:val="en-US"/>
        </w:rPr>
        <w:t>ServiceStart</w:t>
      </w:r>
      <w:proofErr w:type="spellEnd"/>
      <w:r>
        <w:rPr>
          <w:b/>
          <w:bCs/>
          <w:lang w:val="en-US"/>
        </w:rPr>
        <w:t xml:space="preserve"> of the neighbor cell measurements.</w:t>
      </w:r>
    </w:p>
    <w:p w14:paraId="4EDF2729" w14:textId="385D5D38" w:rsidR="003D5086" w:rsidRDefault="003D5086" w:rsidP="003D5086">
      <w:pPr>
        <w:pStyle w:val="Heading2"/>
      </w:pPr>
      <w:r>
        <w:t>2.2.3</w:t>
      </w:r>
      <w:r>
        <w:tab/>
        <w:t>Standalone CHO execution</w:t>
      </w:r>
    </w:p>
    <w:p w14:paraId="61EE24F0" w14:textId="77777777" w:rsidR="003D5086" w:rsidRDefault="003D5086" w:rsidP="003D5086">
      <w:r>
        <w:t>The following was agreed in RAN2#123 meeting regarding the joint evaluation of new triggers and radio measurements for CHO execution:</w:t>
      </w:r>
    </w:p>
    <w:tbl>
      <w:tblPr>
        <w:tblStyle w:val="TableGrid"/>
        <w:tblW w:w="0" w:type="auto"/>
        <w:tblLook w:val="04A0" w:firstRow="1" w:lastRow="0" w:firstColumn="1" w:lastColumn="0" w:noHBand="0" w:noVBand="1"/>
      </w:tblPr>
      <w:tblGrid>
        <w:gridCol w:w="9631"/>
      </w:tblGrid>
      <w:tr w:rsidR="003D5086" w14:paraId="4C4CA47B" w14:textId="77777777" w:rsidTr="00AE2D94">
        <w:tc>
          <w:tcPr>
            <w:tcW w:w="9631" w:type="dxa"/>
          </w:tcPr>
          <w:p w14:paraId="080BEB40" w14:textId="6A193BE6" w:rsidR="003D5086" w:rsidRDefault="003D5086" w:rsidP="00AE2D94">
            <w:r w:rsidRPr="00DA0C86">
              <w:rPr>
                <w:highlight w:val="green"/>
              </w:rPr>
              <w:t>Agreement in RAN2#123</w:t>
            </w:r>
            <w:r>
              <w:br/>
            </w:r>
            <w:r w:rsidRPr="00061D04">
              <w:t>6.</w:t>
            </w:r>
            <w:r w:rsidRPr="00061D04">
              <w:tab/>
              <w:t xml:space="preserve">For CHO in NTN (both NR NTN and eMTC NTN, time and location-based trigger conditions may be configured independently (i.e., without a jointly configured measurement condition). We add a description/note saying in which scenarios this is reasonable, </w:t>
            </w:r>
            <w:r w:rsidR="00F26A6B" w:rsidRPr="00061D04">
              <w:t>e.g.,</w:t>
            </w:r>
            <w:r w:rsidRPr="00061D04">
              <w:t xml:space="preserve"> at least hard-switch case where gap is assumed to be zero/negligible</w:t>
            </w:r>
            <w:r>
              <w:t>.</w:t>
            </w:r>
          </w:p>
        </w:tc>
      </w:tr>
    </w:tbl>
    <w:p w14:paraId="334EDF4C" w14:textId="77777777" w:rsidR="003D5086" w:rsidRDefault="003D5086" w:rsidP="003D5086"/>
    <w:p w14:paraId="73D92D90" w14:textId="77777777" w:rsidR="003D5086" w:rsidRDefault="003D5086" w:rsidP="003D5086">
      <w:pPr>
        <w:jc w:val="both"/>
      </w:pPr>
      <w:r>
        <w:t>With this agreement, the requirements to complete the NTN CHO procedure has been eased and eMTC/NR UEs can trigger the CHO execution without meeting the measurement-based condition (i.e., Ax events). A note was added such it should be applicable only to specific scenarios.</w:t>
      </w:r>
    </w:p>
    <w:p w14:paraId="6DB5EE09" w14:textId="04FFCF1E" w:rsidR="003D5086" w:rsidRPr="00DA0C86" w:rsidRDefault="003D5086" w:rsidP="003D5086">
      <w:pPr>
        <w:jc w:val="both"/>
        <w:rPr>
          <w:b/>
          <w:bCs/>
        </w:rPr>
      </w:pPr>
      <w:r w:rsidRPr="00DA0C86">
        <w:rPr>
          <w:b/>
          <w:bCs/>
        </w:rPr>
        <w:t xml:space="preserve">Observation </w:t>
      </w:r>
      <w:r w:rsidR="00310649">
        <w:rPr>
          <w:b/>
          <w:bCs/>
        </w:rPr>
        <w:t>3</w:t>
      </w:r>
      <w:r w:rsidRPr="00DA0C86">
        <w:rPr>
          <w:b/>
          <w:bCs/>
        </w:rPr>
        <w:t>: For specific</w:t>
      </w:r>
      <w:r>
        <w:rPr>
          <w:b/>
          <w:bCs/>
        </w:rPr>
        <w:t xml:space="preserve"> NTN</w:t>
      </w:r>
      <w:r w:rsidRPr="00DA0C86">
        <w:rPr>
          <w:b/>
          <w:bCs/>
        </w:rPr>
        <w:t xml:space="preserve"> scenarios, NR</w:t>
      </w:r>
      <w:r>
        <w:rPr>
          <w:b/>
          <w:bCs/>
        </w:rPr>
        <w:t>/</w:t>
      </w:r>
      <w:r w:rsidRPr="00DA0C86">
        <w:rPr>
          <w:b/>
          <w:bCs/>
        </w:rPr>
        <w:t>eMTC UEs can bypass the measurement-based</w:t>
      </w:r>
      <w:r>
        <w:rPr>
          <w:b/>
          <w:bCs/>
        </w:rPr>
        <w:t xml:space="preserve"> CHO</w:t>
      </w:r>
      <w:r w:rsidRPr="00DA0C86">
        <w:rPr>
          <w:b/>
          <w:bCs/>
        </w:rPr>
        <w:t xml:space="preserve"> condition.</w:t>
      </w:r>
    </w:p>
    <w:p w14:paraId="7779D1DE" w14:textId="53C882D6" w:rsidR="003D5086" w:rsidRDefault="003D5086" w:rsidP="003D5086">
      <w:pPr>
        <w:jc w:val="both"/>
      </w:pPr>
      <w:r>
        <w:t xml:space="preserve">There are several factors that can motivate the usefulness of skipping measurement-based events. First, signal strength levels are very similar across the cell area and, therefore, it may be difficult for a UE to distinguish between source cell and target cell. Second, UEs feature a measurement error that - together with the small RSRP variability - can lead to poor mobility choices. Third, for satellite deployments where satellite elevation angle range is limited, radio conditions can be semi-static (e.g., continuous LOS). Under LOS conditions, the work in </w:t>
      </w:r>
      <w:r>
        <w:fldChar w:fldCharType="begin"/>
      </w:r>
      <w:r>
        <w:instrText xml:space="preserve"> REF _Ref146630775 \w \h </w:instrText>
      </w:r>
      <w:r>
        <w:fldChar w:fldCharType="separate"/>
      </w:r>
      <w:r w:rsidR="00A61ADC">
        <w:t>[6]</w:t>
      </w:r>
      <w:r>
        <w:fldChar w:fldCharType="end"/>
      </w:r>
      <w:r>
        <w:t xml:space="preserve"> shows that the performance of a location-based HO procedure is similar whether measurements are used or not. However, the NTN CHO procedure may not be always executed under favourable conditions. For that reason, skipping the measurement condition should be an optional feature used only under certain conditions.</w:t>
      </w:r>
    </w:p>
    <w:p w14:paraId="17752291" w14:textId="478E7300" w:rsidR="003D5086" w:rsidRPr="00DA0C86" w:rsidRDefault="003D5086" w:rsidP="003D5086">
      <w:pPr>
        <w:jc w:val="both"/>
        <w:rPr>
          <w:b/>
          <w:bCs/>
        </w:rPr>
      </w:pPr>
      <w:r w:rsidRPr="00DA0C86">
        <w:rPr>
          <w:b/>
          <w:bCs/>
        </w:rPr>
        <w:t xml:space="preserve">Proposal </w:t>
      </w:r>
      <w:r w:rsidR="00310649">
        <w:rPr>
          <w:b/>
          <w:bCs/>
        </w:rPr>
        <w:t>13</w:t>
      </w:r>
      <w:r w:rsidRPr="00DA0C86">
        <w:rPr>
          <w:b/>
          <w:bCs/>
        </w:rPr>
        <w:t xml:space="preserve">: standalone CHO is an optional feature that </w:t>
      </w:r>
      <w:r>
        <w:rPr>
          <w:b/>
          <w:bCs/>
        </w:rPr>
        <w:t>should be</w:t>
      </w:r>
      <w:r w:rsidRPr="00DA0C86">
        <w:rPr>
          <w:b/>
          <w:bCs/>
        </w:rPr>
        <w:t xml:space="preserve"> </w:t>
      </w:r>
      <w:r>
        <w:rPr>
          <w:b/>
          <w:bCs/>
        </w:rPr>
        <w:t>network-</w:t>
      </w:r>
      <w:r w:rsidRPr="00DA0C86">
        <w:rPr>
          <w:b/>
          <w:bCs/>
        </w:rPr>
        <w:t>configured only under certain conditions.</w:t>
      </w:r>
    </w:p>
    <w:p w14:paraId="03BBE454" w14:textId="77777777" w:rsidR="003D5086" w:rsidRDefault="003D5086" w:rsidP="003D5086">
      <w:pPr>
        <w:jc w:val="both"/>
      </w:pPr>
      <w:r>
        <w:t>Such configuration could be feasible at least for the following scenarios:</w:t>
      </w:r>
    </w:p>
    <w:p w14:paraId="5A332136" w14:textId="77777777" w:rsidR="003D5086" w:rsidRPr="000B3D39" w:rsidRDefault="003D5086" w:rsidP="003D5086">
      <w:pPr>
        <w:pStyle w:val="ListParagraph"/>
        <w:numPr>
          <w:ilvl w:val="0"/>
          <w:numId w:val="9"/>
        </w:numPr>
        <w:jc w:val="both"/>
        <w:rPr>
          <w:rFonts w:ascii="Times New Roman" w:hAnsi="Times New Roman" w:cs="Times New Roman"/>
          <w:sz w:val="20"/>
          <w:szCs w:val="20"/>
          <w:lang w:val="en-GB"/>
        </w:rPr>
      </w:pPr>
      <w:r w:rsidRPr="00DA0C86">
        <w:rPr>
          <w:rFonts w:ascii="Times New Roman" w:hAnsi="Times New Roman" w:cs="Times New Roman"/>
          <w:sz w:val="20"/>
          <w:szCs w:val="20"/>
          <w:lang w:val="en-GB"/>
        </w:rPr>
        <w:t>EFC</w:t>
      </w:r>
      <w:r>
        <w:rPr>
          <w:rFonts w:ascii="Times New Roman" w:hAnsi="Times New Roman" w:cs="Times New Roman"/>
          <w:sz w:val="20"/>
          <w:szCs w:val="20"/>
          <w:lang w:val="en-GB"/>
        </w:rPr>
        <w:t xml:space="preserve"> with</w:t>
      </w:r>
      <w:r w:rsidRPr="00DA0C86">
        <w:rPr>
          <w:rFonts w:ascii="Times New Roman" w:hAnsi="Times New Roman" w:cs="Times New Roman"/>
          <w:sz w:val="20"/>
          <w:szCs w:val="20"/>
          <w:lang w:val="en-GB"/>
        </w:rPr>
        <w:t xml:space="preserve"> </w:t>
      </w:r>
      <w:r>
        <w:rPr>
          <w:rFonts w:ascii="Times New Roman" w:hAnsi="Times New Roman" w:cs="Times New Roman"/>
          <w:sz w:val="20"/>
          <w:szCs w:val="20"/>
          <w:lang w:val="en-GB"/>
        </w:rPr>
        <w:t>hard-</w:t>
      </w:r>
      <w:r w:rsidRPr="00DA0C86">
        <w:rPr>
          <w:rFonts w:ascii="Times New Roman" w:hAnsi="Times New Roman" w:cs="Times New Roman"/>
          <w:sz w:val="20"/>
          <w:szCs w:val="20"/>
          <w:lang w:val="en-GB"/>
        </w:rPr>
        <w:t>satellite switch and time-based trigger:</w:t>
      </w:r>
      <w:r>
        <w:rPr>
          <w:rFonts w:ascii="Times New Roman" w:hAnsi="Times New Roman" w:cs="Times New Roman"/>
          <w:sz w:val="20"/>
          <w:szCs w:val="20"/>
          <w:lang w:val="en-GB"/>
        </w:rPr>
        <w:t xml:space="preserve"> in this scenario, source cell and target cell do not coexist simultaneously (i.e., target cell originated after t-Service). The UE should trigger the CHO execution once the target cell becomes available (e.g., T1 equals to t-Service). Note that a RACH storm can occur in case all UEs </w:t>
      </w:r>
      <w:r>
        <w:rPr>
          <w:rFonts w:ascii="Times New Roman" w:hAnsi="Times New Roman" w:cs="Times New Roman"/>
          <w:sz w:val="20"/>
          <w:szCs w:val="20"/>
          <w:lang w:val="en-GB"/>
        </w:rPr>
        <w:lastRenderedPageBreak/>
        <w:t>in the source cell are configured with the same T1-T2 parameters. Enhancements on how to distribute the UE access across time window T1-T2 could be discussed.</w:t>
      </w:r>
    </w:p>
    <w:p w14:paraId="768E0562" w14:textId="2E36283C" w:rsidR="003D5086" w:rsidRDefault="003D5086" w:rsidP="003D5086">
      <w:pPr>
        <w:pStyle w:val="ListParagraph"/>
        <w:numPr>
          <w:ilvl w:val="0"/>
          <w:numId w:val="9"/>
        </w:numPr>
        <w:jc w:val="both"/>
        <w:rPr>
          <w:rFonts w:ascii="Times New Roman" w:hAnsi="Times New Roman" w:cs="Times New Roman"/>
          <w:sz w:val="20"/>
          <w:szCs w:val="20"/>
          <w:lang w:val="en-GB"/>
        </w:rPr>
      </w:pPr>
      <w:r w:rsidRPr="00DA0C86">
        <w:rPr>
          <w:rFonts w:ascii="Times New Roman" w:hAnsi="Times New Roman" w:cs="Times New Roman"/>
          <w:sz w:val="20"/>
          <w:szCs w:val="20"/>
          <w:lang w:val="en-GB"/>
        </w:rPr>
        <w:t>EMC and UEs configured with a location-based</w:t>
      </w:r>
      <w:r>
        <w:rPr>
          <w:rFonts w:ascii="Times New Roman" w:hAnsi="Times New Roman" w:cs="Times New Roman"/>
          <w:sz w:val="20"/>
          <w:szCs w:val="20"/>
          <w:lang w:val="en-GB"/>
        </w:rPr>
        <w:t xml:space="preserve"> </w:t>
      </w:r>
      <w:r w:rsidRPr="00DA0C86">
        <w:rPr>
          <w:rFonts w:ascii="Times New Roman" w:hAnsi="Times New Roman" w:cs="Times New Roman"/>
          <w:sz w:val="20"/>
          <w:szCs w:val="20"/>
          <w:lang w:val="en-GB"/>
        </w:rPr>
        <w:t xml:space="preserve">trigger: If </w:t>
      </w:r>
      <w:r>
        <w:rPr>
          <w:rFonts w:ascii="Times New Roman" w:hAnsi="Times New Roman" w:cs="Times New Roman"/>
          <w:sz w:val="20"/>
          <w:szCs w:val="20"/>
          <w:lang w:val="en-GB"/>
        </w:rPr>
        <w:t>radio conditions are favourable</w:t>
      </w:r>
      <w:r w:rsidRPr="00DA0C86">
        <w:rPr>
          <w:rFonts w:ascii="Times New Roman" w:hAnsi="Times New Roman" w:cs="Times New Roman"/>
          <w:sz w:val="20"/>
          <w:szCs w:val="20"/>
          <w:lang w:val="en-GB"/>
        </w:rPr>
        <w:t>, a UE could skip the measurement</w:t>
      </w:r>
      <w:r>
        <w:rPr>
          <w:rFonts w:ascii="Times New Roman" w:hAnsi="Times New Roman" w:cs="Times New Roman"/>
          <w:sz w:val="20"/>
          <w:szCs w:val="20"/>
          <w:lang w:val="en-GB"/>
        </w:rPr>
        <w:t xml:space="preserve"> condition</w:t>
      </w:r>
      <w:r w:rsidRPr="00DA0C86">
        <w:rPr>
          <w:rFonts w:ascii="Times New Roman" w:hAnsi="Times New Roman" w:cs="Times New Roman"/>
          <w:sz w:val="20"/>
          <w:szCs w:val="20"/>
          <w:lang w:val="en-GB"/>
        </w:rPr>
        <w:t xml:space="preserve"> without performance penalty and while reducing the UE’s power consumption.</w:t>
      </w:r>
      <w:r>
        <w:rPr>
          <w:rFonts w:ascii="Times New Roman" w:hAnsi="Times New Roman" w:cs="Times New Roman"/>
          <w:sz w:val="20"/>
          <w:szCs w:val="20"/>
          <w:lang w:val="en-GB"/>
        </w:rPr>
        <w:t xml:space="preserve"> Refer to t</w:t>
      </w:r>
      <w:r w:rsidRPr="00DA0C86">
        <w:rPr>
          <w:rFonts w:ascii="Times New Roman" w:hAnsi="Times New Roman" w:cs="Times New Roman"/>
          <w:sz w:val="20"/>
          <w:szCs w:val="20"/>
          <w:lang w:val="en-GB"/>
        </w:rPr>
        <w:t xml:space="preserve">he </w:t>
      </w:r>
      <w:r>
        <w:rPr>
          <w:rFonts w:ascii="Times New Roman" w:hAnsi="Times New Roman" w:cs="Times New Roman"/>
          <w:sz w:val="20"/>
          <w:szCs w:val="20"/>
          <w:lang w:val="en-GB"/>
        </w:rPr>
        <w:t xml:space="preserve">simulation </w:t>
      </w:r>
      <w:r w:rsidRPr="00DA0C86">
        <w:rPr>
          <w:rFonts w:ascii="Times New Roman" w:hAnsi="Times New Roman" w:cs="Times New Roman"/>
          <w:sz w:val="20"/>
          <w:szCs w:val="20"/>
          <w:lang w:val="en-GB"/>
        </w:rPr>
        <w:t xml:space="preserve">work in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_Ref146630775 \w \h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sidR="00A61ADC">
        <w:rPr>
          <w:rFonts w:ascii="Times New Roman" w:hAnsi="Times New Roman" w:cs="Times New Roman"/>
          <w:sz w:val="20"/>
          <w:szCs w:val="20"/>
          <w:lang w:val="en-GB"/>
        </w:rPr>
        <w:t>[6]</w:t>
      </w:r>
      <w:r>
        <w:rPr>
          <w:rFonts w:ascii="Times New Roman" w:hAnsi="Times New Roman" w:cs="Times New Roman"/>
          <w:sz w:val="20"/>
          <w:szCs w:val="20"/>
          <w:lang w:val="en-GB"/>
        </w:rPr>
        <w:fldChar w:fldCharType="end"/>
      </w:r>
      <w:r w:rsidRPr="00DA0C86">
        <w:rPr>
          <w:rFonts w:ascii="Times New Roman" w:hAnsi="Times New Roman" w:cs="Times New Roman"/>
          <w:sz w:val="20"/>
          <w:szCs w:val="20"/>
          <w:lang w:val="en-GB"/>
        </w:rPr>
        <w:fldChar w:fldCharType="begin"/>
      </w:r>
      <w:r w:rsidRPr="00DA0C86">
        <w:rPr>
          <w:rFonts w:ascii="Times New Roman" w:hAnsi="Times New Roman" w:cs="Times New Roman"/>
          <w:sz w:val="20"/>
          <w:szCs w:val="20"/>
          <w:lang w:val="en-GB"/>
        </w:rPr>
        <w:instrText xml:space="preserve"> REF _Ref146630775 \r \h </w:instrText>
      </w:r>
      <w:r w:rsidRPr="00DA0C86">
        <w:rPr>
          <w:rFonts w:ascii="Times New Roman" w:hAnsi="Times New Roman" w:cs="Times New Roman"/>
          <w:sz w:val="20"/>
          <w:szCs w:val="20"/>
          <w:lang w:val="en-GB"/>
        </w:rPr>
      </w:r>
      <w:r w:rsidRPr="00DA0C86">
        <w:rPr>
          <w:rFonts w:ascii="Times New Roman" w:hAnsi="Times New Roman" w:cs="Times New Roman"/>
          <w:sz w:val="20"/>
          <w:szCs w:val="20"/>
          <w:lang w:val="en-GB"/>
        </w:rPr>
        <w:fldChar w:fldCharType="separate"/>
      </w:r>
      <w:r w:rsidR="00A61ADC">
        <w:rPr>
          <w:rFonts w:ascii="Times New Roman" w:hAnsi="Times New Roman" w:cs="Times New Roman"/>
          <w:sz w:val="20"/>
          <w:szCs w:val="20"/>
          <w:lang w:val="en-GB"/>
        </w:rPr>
        <w:t>[6]</w:t>
      </w:r>
      <w:r w:rsidRPr="00DA0C86">
        <w:rPr>
          <w:rFonts w:ascii="Times New Roman" w:hAnsi="Times New Roman" w:cs="Times New Roman"/>
          <w:sz w:val="20"/>
          <w:szCs w:val="20"/>
          <w:lang w:val="en-GB"/>
        </w:rPr>
        <w:fldChar w:fldCharType="end"/>
      </w:r>
      <w:r w:rsidRPr="00DA0C86">
        <w:rPr>
          <w:rFonts w:ascii="Times New Roman" w:hAnsi="Times New Roman" w:cs="Times New Roman"/>
          <w:sz w:val="20"/>
          <w:szCs w:val="20"/>
          <w:lang w:val="en-GB"/>
        </w:rPr>
        <w:t xml:space="preserve"> </w:t>
      </w:r>
      <w:r>
        <w:rPr>
          <w:rFonts w:ascii="Times New Roman" w:hAnsi="Times New Roman" w:cs="Times New Roman"/>
          <w:sz w:val="20"/>
          <w:szCs w:val="20"/>
          <w:lang w:val="en-GB"/>
        </w:rPr>
        <w:t>for further details</w:t>
      </w:r>
      <w:r w:rsidRPr="00DA0C86">
        <w:rPr>
          <w:rFonts w:ascii="Times New Roman" w:hAnsi="Times New Roman" w:cs="Times New Roman"/>
          <w:sz w:val="20"/>
          <w:szCs w:val="20"/>
          <w:lang w:val="en-GB"/>
        </w:rPr>
        <w:t>.</w:t>
      </w:r>
    </w:p>
    <w:p w14:paraId="4171689A" w14:textId="77777777" w:rsidR="003D5086" w:rsidRPr="000B3D39" w:rsidRDefault="003D5086" w:rsidP="003D5086">
      <w:pPr>
        <w:pStyle w:val="ListParagraph"/>
        <w:jc w:val="both"/>
        <w:rPr>
          <w:rFonts w:ascii="Times New Roman" w:hAnsi="Times New Roman" w:cs="Times New Roman"/>
          <w:sz w:val="20"/>
          <w:szCs w:val="20"/>
          <w:lang w:val="en-GB"/>
        </w:rPr>
      </w:pPr>
    </w:p>
    <w:p w14:paraId="36C6BA48" w14:textId="0789CAD9" w:rsidR="003D5086" w:rsidRPr="00DA0C86" w:rsidRDefault="003D5086" w:rsidP="003D5086">
      <w:pPr>
        <w:jc w:val="both"/>
        <w:rPr>
          <w:b/>
          <w:bCs/>
        </w:rPr>
      </w:pPr>
      <w:r w:rsidRPr="00DA0C86">
        <w:rPr>
          <w:b/>
          <w:bCs/>
        </w:rPr>
        <w:t xml:space="preserve">Proposal </w:t>
      </w:r>
      <w:r w:rsidR="00310649">
        <w:rPr>
          <w:b/>
          <w:bCs/>
        </w:rPr>
        <w:t>14</w:t>
      </w:r>
      <w:r w:rsidRPr="00DA0C86">
        <w:rPr>
          <w:b/>
          <w:bCs/>
        </w:rPr>
        <w:t xml:space="preserve">: For EMC, </w:t>
      </w:r>
      <w:r>
        <w:rPr>
          <w:b/>
          <w:bCs/>
        </w:rPr>
        <w:t>the</w:t>
      </w:r>
      <w:r w:rsidRPr="00DA0C86">
        <w:rPr>
          <w:b/>
          <w:bCs/>
        </w:rPr>
        <w:t xml:space="preserve"> location-based CHO procedure can skip measurement condition.</w:t>
      </w:r>
    </w:p>
    <w:p w14:paraId="00E529F0" w14:textId="5AF0AF84" w:rsidR="003D5086" w:rsidRPr="00DA0C86" w:rsidRDefault="003D5086" w:rsidP="003D5086">
      <w:pPr>
        <w:jc w:val="both"/>
        <w:rPr>
          <w:b/>
          <w:bCs/>
        </w:rPr>
      </w:pPr>
      <w:r w:rsidRPr="00DA0C86">
        <w:rPr>
          <w:b/>
          <w:bCs/>
        </w:rPr>
        <w:t xml:space="preserve">Proposal </w:t>
      </w:r>
      <w:r w:rsidR="00310649">
        <w:rPr>
          <w:b/>
          <w:bCs/>
        </w:rPr>
        <w:t>15</w:t>
      </w:r>
      <w:r w:rsidRPr="00DA0C86">
        <w:rPr>
          <w:b/>
          <w:bCs/>
        </w:rPr>
        <w:t>: For EFC with hard satellite switc</w:t>
      </w:r>
      <w:r>
        <w:rPr>
          <w:b/>
          <w:bCs/>
        </w:rPr>
        <w:t>h</w:t>
      </w:r>
      <w:r w:rsidRPr="00DA0C86">
        <w:rPr>
          <w:b/>
          <w:bCs/>
        </w:rPr>
        <w:t xml:space="preserve">, </w:t>
      </w:r>
      <w:r>
        <w:rPr>
          <w:b/>
          <w:bCs/>
        </w:rPr>
        <w:t>the</w:t>
      </w:r>
      <w:r w:rsidRPr="00DA0C86">
        <w:rPr>
          <w:b/>
          <w:bCs/>
        </w:rPr>
        <w:t xml:space="preserve"> time-based CHO procedure can skip measurement condition. </w:t>
      </w:r>
    </w:p>
    <w:p w14:paraId="1BC82ECA" w14:textId="1C91605A" w:rsidR="009339CB" w:rsidRPr="003E7BC4" w:rsidRDefault="003D5086" w:rsidP="003D5086">
      <w:pPr>
        <w:jc w:val="both"/>
      </w:pPr>
      <w:r w:rsidRPr="00DA0C86">
        <w:rPr>
          <w:b/>
          <w:bCs/>
        </w:rPr>
        <w:t xml:space="preserve">Proposal </w:t>
      </w:r>
      <w:r w:rsidR="00310649">
        <w:rPr>
          <w:b/>
          <w:bCs/>
        </w:rPr>
        <w:t>16</w:t>
      </w:r>
      <w:r w:rsidRPr="00DA0C86">
        <w:rPr>
          <w:b/>
          <w:bCs/>
        </w:rPr>
        <w:t>: For EFC with hard satellite switc</w:t>
      </w:r>
      <w:r>
        <w:rPr>
          <w:b/>
          <w:bCs/>
        </w:rPr>
        <w:t>h</w:t>
      </w:r>
      <w:r w:rsidRPr="00DA0C86">
        <w:rPr>
          <w:b/>
          <w:bCs/>
        </w:rPr>
        <w:t>, RAN2 to discuss means to distribute</w:t>
      </w:r>
      <w:r>
        <w:rPr>
          <w:b/>
          <w:bCs/>
        </w:rPr>
        <w:t xml:space="preserve"> </w:t>
      </w:r>
      <w:r w:rsidRPr="00116C08">
        <w:rPr>
          <w:b/>
          <w:bCs/>
        </w:rPr>
        <w:t>across time</w:t>
      </w:r>
      <w:r w:rsidRPr="00DA0C86">
        <w:rPr>
          <w:b/>
          <w:bCs/>
        </w:rPr>
        <w:t xml:space="preserve"> UEs accessing the target cell.</w:t>
      </w:r>
    </w:p>
    <w:p w14:paraId="69B7B8E6" w14:textId="69E07FC9" w:rsidR="009339CB" w:rsidRPr="006E13D1" w:rsidRDefault="005A13AB" w:rsidP="009339CB">
      <w:pPr>
        <w:pStyle w:val="Heading1"/>
      </w:pPr>
      <w:r>
        <w:t>3</w:t>
      </w:r>
      <w:r w:rsidR="009339CB" w:rsidRPr="006E13D1">
        <w:tab/>
      </w:r>
      <w:r w:rsidR="009339CB">
        <w:t>Conclusion</w:t>
      </w:r>
    </w:p>
    <w:p w14:paraId="483D2E44" w14:textId="77777777" w:rsidR="009339CB" w:rsidRDefault="009339CB" w:rsidP="009339CB">
      <w:r>
        <w:t>Always echo in the conclusion all proposals made above.</w:t>
      </w:r>
    </w:p>
    <w:p w14:paraId="6E24B0F4" w14:textId="552EF491" w:rsidR="009339CB" w:rsidRPr="006E13D1" w:rsidRDefault="009339CB" w:rsidP="009339CB">
      <w:r>
        <w:t>This document has made the following observations:</w:t>
      </w:r>
    </w:p>
    <w:p w14:paraId="78C127A6" w14:textId="77777777" w:rsidR="00310649" w:rsidRPr="00894F0E" w:rsidRDefault="00310649" w:rsidP="00894F0E">
      <w:pPr>
        <w:ind w:left="284"/>
        <w:jc w:val="both"/>
        <w:rPr>
          <w:b/>
          <w:bCs/>
          <w:i/>
          <w:iCs/>
        </w:rPr>
      </w:pPr>
      <w:r w:rsidRPr="00894F0E">
        <w:rPr>
          <w:b/>
          <w:bCs/>
          <w:i/>
          <w:iCs/>
        </w:rPr>
        <w:t>Observation 1:  SIBXX acquisition and validity need not be linked to SIB31 acquisition and related timers as both SIB are used by UE for different purpose and triggering conditions and need to acquire also differs completely.</w:t>
      </w:r>
    </w:p>
    <w:p w14:paraId="3FB7098C" w14:textId="77777777" w:rsidR="00310649" w:rsidRPr="00894F0E" w:rsidRDefault="00310649" w:rsidP="00894F0E">
      <w:pPr>
        <w:ind w:left="284"/>
        <w:jc w:val="both"/>
        <w:rPr>
          <w:b/>
          <w:bCs/>
          <w:i/>
          <w:iCs/>
          <w:lang w:val="en-US"/>
        </w:rPr>
      </w:pPr>
      <w:r w:rsidRPr="00894F0E">
        <w:rPr>
          <w:b/>
          <w:bCs/>
          <w:i/>
          <w:iCs/>
          <w:lang w:val="en-US"/>
        </w:rPr>
        <w:t>Observation 2: For Earth-moving cells, even though the UE can derive the movement of the serving cell, it is not specified whether the UE could relax measurements based on that estimation.</w:t>
      </w:r>
    </w:p>
    <w:p w14:paraId="767C6388" w14:textId="0D29A94C" w:rsidR="00310649" w:rsidRPr="00021124" w:rsidRDefault="00310649" w:rsidP="00894F0E">
      <w:pPr>
        <w:ind w:left="284"/>
        <w:jc w:val="both"/>
        <w:rPr>
          <w:b/>
          <w:bCs/>
        </w:rPr>
      </w:pPr>
      <w:r w:rsidRPr="00894F0E">
        <w:rPr>
          <w:b/>
          <w:bCs/>
          <w:i/>
          <w:iCs/>
        </w:rPr>
        <w:t>Observation 3: For specific NTN scenarios, NR/eMTC UEs can bypass the measurement-based CHO condition.</w:t>
      </w:r>
    </w:p>
    <w:p w14:paraId="3BE72BE2" w14:textId="16848F5B" w:rsidR="009339CB" w:rsidRDefault="009339CB" w:rsidP="009339CB">
      <w:pPr>
        <w:rPr>
          <w:bCs/>
        </w:rPr>
      </w:pPr>
      <w:r>
        <w:rPr>
          <w:bCs/>
        </w:rPr>
        <w:t>And proposed the following:</w:t>
      </w:r>
    </w:p>
    <w:p w14:paraId="2BF68409" w14:textId="2204FF67" w:rsidR="00843082" w:rsidRPr="00A158A3" w:rsidRDefault="00843082" w:rsidP="009339CB">
      <w:pPr>
        <w:rPr>
          <w:b/>
          <w:u w:val="single"/>
        </w:rPr>
      </w:pPr>
      <w:r w:rsidRPr="00A158A3">
        <w:rPr>
          <w:b/>
          <w:u w:val="single"/>
        </w:rPr>
        <w:t xml:space="preserve">SIBXX Acquisition in connected mode </w:t>
      </w:r>
    </w:p>
    <w:p w14:paraId="3E73A593" w14:textId="775CD595" w:rsidR="00310649" w:rsidRDefault="00F26A6B" w:rsidP="00843082">
      <w:pPr>
        <w:ind w:left="284"/>
        <w:jc w:val="both"/>
        <w:rPr>
          <w:b/>
          <w:bCs/>
        </w:rPr>
      </w:pPr>
      <w:r w:rsidRPr="009C571B">
        <w:rPr>
          <w:b/>
          <w:bCs/>
        </w:rPr>
        <w:t>Proposal 1</w:t>
      </w:r>
      <w:r w:rsidR="00310649" w:rsidRPr="009C571B">
        <w:rPr>
          <w:b/>
          <w:bCs/>
        </w:rPr>
        <w:t xml:space="preserve">: If the UE successfully acquire SIBXX in IDLE mode, UE </w:t>
      </w:r>
      <w:r w:rsidR="00310649">
        <w:rPr>
          <w:b/>
          <w:bCs/>
        </w:rPr>
        <w:t xml:space="preserve">may </w:t>
      </w:r>
      <w:r w:rsidR="00310649" w:rsidRPr="009C571B">
        <w:rPr>
          <w:b/>
          <w:bCs/>
        </w:rPr>
        <w:t>start Timer T3XX with value equivalent to T317.</w:t>
      </w:r>
    </w:p>
    <w:p w14:paraId="75A3D396" w14:textId="77777777" w:rsidR="00310649" w:rsidRDefault="00310649" w:rsidP="00843082">
      <w:pPr>
        <w:ind w:left="284"/>
        <w:jc w:val="both"/>
        <w:rPr>
          <w:b/>
          <w:bCs/>
        </w:rPr>
      </w:pPr>
      <w:r>
        <w:rPr>
          <w:b/>
          <w:bCs/>
        </w:rPr>
        <w:t>Proposal 2: UE may start SIBXX acquisition in connected mode if Timer T3XXX expires in connected mode. In this case no additional timer is started to monitor the completion of SIBXX acquisition.</w:t>
      </w:r>
    </w:p>
    <w:p w14:paraId="6D3C1442" w14:textId="38F42C04" w:rsidR="00310649" w:rsidRPr="009C571B" w:rsidRDefault="00310649" w:rsidP="00843082">
      <w:pPr>
        <w:ind w:left="284"/>
        <w:jc w:val="both"/>
        <w:rPr>
          <w:b/>
          <w:bCs/>
        </w:rPr>
      </w:pPr>
      <w:r w:rsidRPr="009C571B">
        <w:rPr>
          <w:b/>
          <w:bCs/>
        </w:rPr>
        <w:t xml:space="preserve">Proposal 3: If the UE did not have valid SIBXX when </w:t>
      </w:r>
      <w:r w:rsidR="00F26A6B" w:rsidRPr="009C571B">
        <w:rPr>
          <w:b/>
          <w:bCs/>
        </w:rPr>
        <w:t>entering</w:t>
      </w:r>
      <w:r w:rsidRPr="009C571B">
        <w:rPr>
          <w:b/>
          <w:bCs/>
        </w:rPr>
        <w:t xml:space="preserve"> connected mode, it is </w:t>
      </w:r>
      <w:r w:rsidR="002008B4" w:rsidRPr="009C571B">
        <w:rPr>
          <w:b/>
          <w:bCs/>
        </w:rPr>
        <w:t>up to</w:t>
      </w:r>
      <w:r w:rsidRPr="009C571B">
        <w:rPr>
          <w:b/>
          <w:bCs/>
        </w:rPr>
        <w:t xml:space="preserve"> UE implementation to acquire SIBXX at </w:t>
      </w:r>
      <w:r>
        <w:rPr>
          <w:b/>
          <w:bCs/>
        </w:rPr>
        <w:t xml:space="preserve">the </w:t>
      </w:r>
      <w:r w:rsidRPr="009C571B">
        <w:rPr>
          <w:b/>
          <w:bCs/>
        </w:rPr>
        <w:t xml:space="preserve">appropriate time prior to starting </w:t>
      </w:r>
      <w:r w:rsidR="002008B4">
        <w:rPr>
          <w:b/>
          <w:bCs/>
        </w:rPr>
        <w:t>neighbour</w:t>
      </w:r>
      <w:r w:rsidRPr="009C571B">
        <w:rPr>
          <w:b/>
          <w:bCs/>
        </w:rPr>
        <w:t xml:space="preserve"> cell measurements.</w:t>
      </w:r>
      <w:r>
        <w:rPr>
          <w:b/>
          <w:bCs/>
        </w:rPr>
        <w:t xml:space="preserve"> In this case it should not </w:t>
      </w:r>
      <w:r w:rsidR="002008B4">
        <w:rPr>
          <w:b/>
          <w:bCs/>
        </w:rPr>
        <w:t>rely on</w:t>
      </w:r>
      <w:r>
        <w:rPr>
          <w:b/>
          <w:bCs/>
        </w:rPr>
        <w:t xml:space="preserve"> or wait for the T317 expiry.</w:t>
      </w:r>
    </w:p>
    <w:p w14:paraId="2D1DA2A3" w14:textId="77777777" w:rsidR="00310649" w:rsidRPr="0050684D" w:rsidRDefault="00310649" w:rsidP="00843082">
      <w:pPr>
        <w:ind w:left="284"/>
        <w:jc w:val="both"/>
        <w:rPr>
          <w:b/>
          <w:bCs/>
        </w:rPr>
      </w:pPr>
      <w:r w:rsidRPr="0050684D">
        <w:rPr>
          <w:b/>
          <w:bCs/>
        </w:rPr>
        <w:t xml:space="preserve">Proposal 4: If </w:t>
      </w:r>
      <w:r>
        <w:rPr>
          <w:b/>
          <w:bCs/>
        </w:rPr>
        <w:t xml:space="preserve">the </w:t>
      </w:r>
      <w:r w:rsidRPr="0050684D">
        <w:rPr>
          <w:b/>
          <w:bCs/>
        </w:rPr>
        <w:t xml:space="preserve">introduction of new validity timer of SIBXX is not agreed in RAN2, we propose to leave </w:t>
      </w:r>
      <w:r>
        <w:rPr>
          <w:b/>
          <w:bCs/>
        </w:rPr>
        <w:t xml:space="preserve">the </w:t>
      </w:r>
      <w:r w:rsidRPr="0050684D">
        <w:rPr>
          <w:b/>
          <w:bCs/>
        </w:rPr>
        <w:t>SIBXX acquisition to UE implementation without any link to T317 which is not related to the functionality associated with SIBXX.</w:t>
      </w:r>
    </w:p>
    <w:p w14:paraId="4B26A265" w14:textId="5A1DCB2F" w:rsidR="00843082" w:rsidRPr="00723772" w:rsidRDefault="00843082" w:rsidP="00310649">
      <w:pPr>
        <w:jc w:val="both"/>
        <w:rPr>
          <w:b/>
          <w:bCs/>
          <w:u w:val="single"/>
        </w:rPr>
      </w:pPr>
      <w:r w:rsidRPr="00723772">
        <w:rPr>
          <w:b/>
          <w:bCs/>
          <w:u w:val="single"/>
        </w:rPr>
        <w:t xml:space="preserve">Triggering conditions for measurement </w:t>
      </w:r>
    </w:p>
    <w:p w14:paraId="53EAFAF1" w14:textId="34C6D6AE" w:rsidR="00310649" w:rsidRDefault="00310649" w:rsidP="00723772">
      <w:pPr>
        <w:ind w:left="284"/>
        <w:jc w:val="both"/>
        <w:rPr>
          <w:b/>
          <w:bCs/>
        </w:rPr>
      </w:pPr>
      <w:r w:rsidRPr="0064797E">
        <w:rPr>
          <w:b/>
          <w:bCs/>
        </w:rPr>
        <w:t xml:space="preserve">Proposal </w:t>
      </w:r>
      <w:r>
        <w:rPr>
          <w:b/>
          <w:bCs/>
        </w:rPr>
        <w:t>5</w:t>
      </w:r>
      <w:r w:rsidRPr="0064797E">
        <w:rPr>
          <w:b/>
          <w:bCs/>
        </w:rPr>
        <w:t xml:space="preserve">: </w:t>
      </w:r>
      <w:r>
        <w:rPr>
          <w:b/>
          <w:bCs/>
        </w:rPr>
        <w:t>IoT UEs can be configured simultaneously with time-based and location-based triggers.</w:t>
      </w:r>
    </w:p>
    <w:p w14:paraId="7F5BB351" w14:textId="7E7EDFBD" w:rsidR="00310649" w:rsidRDefault="00310649" w:rsidP="00723772">
      <w:pPr>
        <w:ind w:left="284"/>
        <w:jc w:val="both"/>
        <w:rPr>
          <w:b/>
          <w:bCs/>
        </w:rPr>
      </w:pPr>
      <w:r w:rsidRPr="00030AF3">
        <w:rPr>
          <w:b/>
          <w:bCs/>
        </w:rPr>
        <w:t xml:space="preserve">Proposal </w:t>
      </w:r>
      <w:r>
        <w:rPr>
          <w:b/>
          <w:bCs/>
        </w:rPr>
        <w:t>6</w:t>
      </w:r>
      <w:r w:rsidRPr="00030AF3">
        <w:rPr>
          <w:b/>
          <w:bCs/>
        </w:rPr>
        <w:t>: UEs configured with time- and location-based conditions should trigger CHO/measurements when at least one of the conditions is met.</w:t>
      </w:r>
    </w:p>
    <w:p w14:paraId="5693E8D7" w14:textId="29B3CE3B" w:rsidR="00723772" w:rsidRPr="00723772" w:rsidRDefault="00723772" w:rsidP="00723772">
      <w:pPr>
        <w:jc w:val="both"/>
        <w:rPr>
          <w:b/>
          <w:bCs/>
          <w:u w:val="single"/>
        </w:rPr>
      </w:pPr>
      <w:r w:rsidRPr="00723772">
        <w:rPr>
          <w:b/>
          <w:bCs/>
          <w:u w:val="single"/>
        </w:rPr>
        <w:t>Open issues for connected mode measurements for RLF enhancements in eMTC</w:t>
      </w:r>
    </w:p>
    <w:p w14:paraId="33ACE89C" w14:textId="77777777" w:rsidR="00310649" w:rsidRDefault="00310649" w:rsidP="00723772">
      <w:pPr>
        <w:ind w:left="284"/>
        <w:jc w:val="both"/>
        <w:rPr>
          <w:b/>
          <w:bCs/>
        </w:rPr>
      </w:pPr>
      <w:r w:rsidRPr="00F861FF">
        <w:rPr>
          <w:b/>
          <w:bCs/>
        </w:rPr>
        <w:t xml:space="preserve">Proposal </w:t>
      </w:r>
      <w:r>
        <w:rPr>
          <w:b/>
          <w:bCs/>
        </w:rPr>
        <w:t>7</w:t>
      </w:r>
      <w:r w:rsidRPr="00F861FF">
        <w:rPr>
          <w:b/>
          <w:bCs/>
        </w:rPr>
        <w:t xml:space="preserve">: </w:t>
      </w:r>
      <w:r>
        <w:rPr>
          <w:b/>
          <w:bCs/>
        </w:rPr>
        <w:t>RLF-based</w:t>
      </w:r>
      <w:r w:rsidRPr="00F861FF">
        <w:rPr>
          <w:b/>
          <w:bCs/>
        </w:rPr>
        <w:t xml:space="preserve"> measurement enhancements and connected mode measurements are not </w:t>
      </w:r>
      <w:r>
        <w:rPr>
          <w:b/>
          <w:bCs/>
        </w:rPr>
        <w:t xml:space="preserve">expected to be </w:t>
      </w:r>
      <w:r w:rsidRPr="00F861FF">
        <w:rPr>
          <w:b/>
          <w:bCs/>
        </w:rPr>
        <w:t>configured simultaneously for the UE.</w:t>
      </w:r>
    </w:p>
    <w:p w14:paraId="35C91782" w14:textId="3C67F721" w:rsidR="00310649" w:rsidRDefault="00310649" w:rsidP="00723772">
      <w:pPr>
        <w:ind w:left="284"/>
        <w:jc w:val="both"/>
        <w:rPr>
          <w:b/>
          <w:bCs/>
        </w:rPr>
      </w:pPr>
      <w:r w:rsidRPr="00F861FF">
        <w:rPr>
          <w:b/>
          <w:bCs/>
        </w:rPr>
        <w:t xml:space="preserve">Proposal </w:t>
      </w:r>
      <w:r>
        <w:rPr>
          <w:b/>
          <w:bCs/>
        </w:rPr>
        <w:t>8</w:t>
      </w:r>
      <w:r w:rsidRPr="00F861FF">
        <w:rPr>
          <w:b/>
          <w:bCs/>
        </w:rPr>
        <w:t xml:space="preserve">: If </w:t>
      </w:r>
      <w:r>
        <w:rPr>
          <w:b/>
          <w:bCs/>
        </w:rPr>
        <w:t>RLF-based</w:t>
      </w:r>
      <w:r w:rsidRPr="00F861FF">
        <w:rPr>
          <w:b/>
          <w:bCs/>
        </w:rPr>
        <w:t xml:space="preserve"> measurement enhancements are allowed to be configured along with connected mode measurements, the delay impact to connected mode measurement triggering needs to be </w:t>
      </w:r>
      <w:r w:rsidR="002008B4">
        <w:rPr>
          <w:b/>
          <w:bCs/>
        </w:rPr>
        <w:t>analysed</w:t>
      </w:r>
      <w:r w:rsidRPr="00F861FF">
        <w:rPr>
          <w:b/>
          <w:bCs/>
        </w:rPr>
        <w:t xml:space="preserve"> in RAN4.</w:t>
      </w:r>
    </w:p>
    <w:p w14:paraId="2886C829" w14:textId="77777777" w:rsidR="00310649" w:rsidRPr="00D90A96" w:rsidRDefault="00310649" w:rsidP="00723772">
      <w:pPr>
        <w:ind w:left="284"/>
        <w:jc w:val="both"/>
      </w:pPr>
      <w:r w:rsidRPr="0024003B">
        <w:rPr>
          <w:b/>
          <w:bCs/>
        </w:rPr>
        <w:t xml:space="preserve">Proposal </w:t>
      </w:r>
      <w:r>
        <w:rPr>
          <w:b/>
          <w:bCs/>
        </w:rPr>
        <w:t>9</w:t>
      </w:r>
      <w:r w:rsidRPr="0024003B">
        <w:rPr>
          <w:b/>
          <w:bCs/>
        </w:rPr>
        <w:t xml:space="preserve">: The Target frequencies /cells to be measured for RLF enhancement is left to UE implementation </w:t>
      </w:r>
      <w:proofErr w:type="gramStart"/>
      <w:r w:rsidRPr="0024003B">
        <w:rPr>
          <w:b/>
          <w:bCs/>
        </w:rPr>
        <w:t>similar to</w:t>
      </w:r>
      <w:proofErr w:type="gramEnd"/>
      <w:r w:rsidRPr="0024003B">
        <w:rPr>
          <w:b/>
          <w:bCs/>
        </w:rPr>
        <w:t xml:space="preserve"> NB-IoT.</w:t>
      </w:r>
    </w:p>
    <w:p w14:paraId="57BB3B09" w14:textId="77777777" w:rsidR="00723772" w:rsidRDefault="00723772" w:rsidP="00310649">
      <w:pPr>
        <w:jc w:val="both"/>
        <w:rPr>
          <w:b/>
          <w:bCs/>
          <w:lang w:val="en-US"/>
        </w:rPr>
      </w:pPr>
    </w:p>
    <w:p w14:paraId="2F5E3B30" w14:textId="77777777" w:rsidR="00723772" w:rsidRDefault="00723772" w:rsidP="00310649">
      <w:pPr>
        <w:jc w:val="both"/>
        <w:rPr>
          <w:b/>
          <w:bCs/>
          <w:lang w:val="en-US"/>
        </w:rPr>
      </w:pPr>
    </w:p>
    <w:p w14:paraId="12420238" w14:textId="55D599BA" w:rsidR="00155E6F" w:rsidRPr="00584294" w:rsidRDefault="00155E6F" w:rsidP="00310649">
      <w:pPr>
        <w:jc w:val="both"/>
        <w:rPr>
          <w:b/>
          <w:bCs/>
          <w:u w:val="single"/>
          <w:lang w:val="en-US"/>
        </w:rPr>
      </w:pPr>
      <w:r w:rsidRPr="00584294">
        <w:rPr>
          <w:b/>
          <w:bCs/>
          <w:u w:val="single"/>
          <w:lang w:val="en-US"/>
        </w:rPr>
        <w:t xml:space="preserve">Measurement </w:t>
      </w:r>
      <w:r w:rsidR="00584294" w:rsidRPr="00584294">
        <w:rPr>
          <w:b/>
          <w:bCs/>
          <w:u w:val="single"/>
          <w:lang w:val="en-US"/>
        </w:rPr>
        <w:t xml:space="preserve">Relaxation </w:t>
      </w:r>
    </w:p>
    <w:p w14:paraId="410AC7C5" w14:textId="15BD17AD" w:rsidR="00310649" w:rsidRDefault="00310649" w:rsidP="00584294">
      <w:pPr>
        <w:ind w:left="568"/>
        <w:jc w:val="both"/>
        <w:rPr>
          <w:b/>
          <w:bCs/>
          <w:lang w:val="en-US"/>
        </w:rPr>
      </w:pPr>
      <w:r w:rsidRPr="00AF057C">
        <w:rPr>
          <w:b/>
          <w:bCs/>
          <w:lang w:val="en-US"/>
        </w:rPr>
        <w:t xml:space="preserve">Proposal </w:t>
      </w:r>
      <w:r>
        <w:rPr>
          <w:b/>
          <w:bCs/>
          <w:lang w:val="en-US"/>
        </w:rPr>
        <w:t>10</w:t>
      </w:r>
      <w:r w:rsidRPr="00AF057C">
        <w:rPr>
          <w:b/>
          <w:bCs/>
          <w:lang w:val="en-US"/>
        </w:rPr>
        <w:t xml:space="preserve">: For Earth-moving cells, the UE can relax serving cell measurements and </w:t>
      </w:r>
      <w:r>
        <w:rPr>
          <w:b/>
          <w:bCs/>
          <w:lang w:val="en-US"/>
        </w:rPr>
        <w:t>trigger</w:t>
      </w:r>
      <w:r w:rsidRPr="00AF057C">
        <w:rPr>
          <w:b/>
          <w:bCs/>
          <w:lang w:val="en-US"/>
        </w:rPr>
        <w:t xml:space="preserve"> neighbor cell measurements based on the trajectory of the serving cell.</w:t>
      </w:r>
    </w:p>
    <w:p w14:paraId="74D2F331" w14:textId="77777777" w:rsidR="00310649" w:rsidRPr="00D611FA" w:rsidRDefault="00310649" w:rsidP="00584294">
      <w:pPr>
        <w:ind w:left="568"/>
      </w:pPr>
      <w:r w:rsidRPr="003324C1">
        <w:rPr>
          <w:b/>
          <w:bCs/>
          <w:lang w:val="en-US" w:eastAsia="en-GB"/>
        </w:rPr>
        <w:t xml:space="preserve">Proposal </w:t>
      </w:r>
      <w:r>
        <w:rPr>
          <w:b/>
          <w:bCs/>
          <w:lang w:val="en-US" w:eastAsia="en-GB"/>
        </w:rPr>
        <w:t>11</w:t>
      </w:r>
      <w:r w:rsidRPr="003324C1">
        <w:rPr>
          <w:b/>
          <w:bCs/>
          <w:lang w:val="en-US" w:eastAsia="en-GB"/>
        </w:rPr>
        <w:t xml:space="preserve">: </w:t>
      </w:r>
      <w:r w:rsidRPr="004A300F">
        <w:rPr>
          <w:b/>
          <w:bCs/>
          <w:lang w:val="en-US"/>
        </w:rPr>
        <w:t xml:space="preserve">For </w:t>
      </w:r>
      <w:r>
        <w:rPr>
          <w:b/>
          <w:bCs/>
          <w:lang w:val="en-US"/>
        </w:rPr>
        <w:t>EFC</w:t>
      </w:r>
      <w:r w:rsidRPr="004A300F">
        <w:rPr>
          <w:b/>
          <w:bCs/>
          <w:lang w:val="en-US"/>
        </w:rPr>
        <w:t xml:space="preserve">, the UE </w:t>
      </w:r>
      <w:r>
        <w:rPr>
          <w:b/>
          <w:bCs/>
          <w:lang w:val="en-US"/>
        </w:rPr>
        <w:t>can</w:t>
      </w:r>
      <w:r w:rsidRPr="004A300F">
        <w:rPr>
          <w:b/>
          <w:bCs/>
          <w:lang w:val="en-US"/>
        </w:rPr>
        <w:t xml:space="preserve"> relax</w:t>
      </w:r>
      <w:r w:rsidRPr="003C5EBA">
        <w:rPr>
          <w:b/>
          <w:bCs/>
          <w:lang w:val="en-US"/>
        </w:rPr>
        <w:t xml:space="preserve"> serving </w:t>
      </w:r>
      <w:r w:rsidRPr="004A300F">
        <w:rPr>
          <w:b/>
          <w:bCs/>
          <w:lang w:val="en-US"/>
        </w:rPr>
        <w:t xml:space="preserve">cell measurements </w:t>
      </w:r>
      <w:r>
        <w:rPr>
          <w:b/>
          <w:bCs/>
          <w:lang w:val="en-US"/>
        </w:rPr>
        <w:t>based on</w:t>
      </w:r>
      <w:r w:rsidRPr="004A300F">
        <w:rPr>
          <w:b/>
          <w:bCs/>
          <w:lang w:val="en-US"/>
        </w:rPr>
        <w:t xml:space="preserve"> t-ServiceStart.</w:t>
      </w:r>
    </w:p>
    <w:p w14:paraId="6D9791D6" w14:textId="0A7C9ED1" w:rsidR="00310649" w:rsidRPr="004A300F" w:rsidRDefault="00310649" w:rsidP="00584294">
      <w:pPr>
        <w:ind w:left="568"/>
        <w:jc w:val="both"/>
        <w:rPr>
          <w:b/>
          <w:bCs/>
          <w:lang w:val="en-US"/>
        </w:rPr>
      </w:pPr>
      <w:r>
        <w:rPr>
          <w:b/>
          <w:bCs/>
          <w:lang w:val="en-US"/>
        </w:rPr>
        <w:t xml:space="preserve">Proposal 12: RAN2 to consider </w:t>
      </w:r>
      <w:r w:rsidR="002008B4">
        <w:rPr>
          <w:b/>
          <w:bCs/>
          <w:lang w:val="en-US"/>
        </w:rPr>
        <w:t>clarifying</w:t>
      </w:r>
      <w:r>
        <w:rPr>
          <w:b/>
          <w:bCs/>
          <w:lang w:val="en-US"/>
        </w:rPr>
        <w:t xml:space="preserve"> the intention of “</w:t>
      </w:r>
      <w:r w:rsidRPr="0056605C">
        <w:rPr>
          <w:b/>
          <w:bCs/>
          <w:lang w:val="en-US"/>
        </w:rPr>
        <w:t>(up to UE implementation</w:t>
      </w:r>
      <w:r>
        <w:rPr>
          <w:b/>
          <w:bCs/>
          <w:lang w:val="en-US"/>
        </w:rPr>
        <w:t>)” in the RAN2#122 agreement related to use of t-ServiceStart of the neighbor cell measurements.</w:t>
      </w:r>
    </w:p>
    <w:p w14:paraId="19CC580E" w14:textId="3E1CF655" w:rsidR="00155E6F" w:rsidRPr="00155E6F" w:rsidRDefault="00155E6F" w:rsidP="00310649">
      <w:pPr>
        <w:jc w:val="both"/>
        <w:rPr>
          <w:b/>
          <w:bCs/>
          <w:u w:val="single"/>
        </w:rPr>
      </w:pPr>
      <w:r w:rsidRPr="00155E6F">
        <w:rPr>
          <w:b/>
          <w:bCs/>
          <w:u w:val="single"/>
        </w:rPr>
        <w:t>CHO Enhancements</w:t>
      </w:r>
    </w:p>
    <w:p w14:paraId="69D4E7B5" w14:textId="0B3C0D06" w:rsidR="00310649" w:rsidRPr="00DA0C86" w:rsidRDefault="00310649" w:rsidP="00155E6F">
      <w:pPr>
        <w:ind w:left="568"/>
        <w:jc w:val="both"/>
        <w:rPr>
          <w:b/>
          <w:bCs/>
        </w:rPr>
      </w:pPr>
      <w:r w:rsidRPr="00DA0C86">
        <w:rPr>
          <w:b/>
          <w:bCs/>
        </w:rPr>
        <w:t xml:space="preserve">Proposal </w:t>
      </w:r>
      <w:r>
        <w:rPr>
          <w:b/>
          <w:bCs/>
        </w:rPr>
        <w:t>13</w:t>
      </w:r>
      <w:r w:rsidRPr="00DA0C86">
        <w:rPr>
          <w:b/>
          <w:bCs/>
        </w:rPr>
        <w:t xml:space="preserve">: standalone CHO is an optional feature that </w:t>
      </w:r>
      <w:r>
        <w:rPr>
          <w:b/>
          <w:bCs/>
        </w:rPr>
        <w:t>should be</w:t>
      </w:r>
      <w:r w:rsidRPr="00DA0C86">
        <w:rPr>
          <w:b/>
          <w:bCs/>
        </w:rPr>
        <w:t xml:space="preserve"> </w:t>
      </w:r>
      <w:r>
        <w:rPr>
          <w:b/>
          <w:bCs/>
        </w:rPr>
        <w:t>network-</w:t>
      </w:r>
      <w:r w:rsidRPr="00DA0C86">
        <w:rPr>
          <w:b/>
          <w:bCs/>
        </w:rPr>
        <w:t>configured only under certain conditions.</w:t>
      </w:r>
    </w:p>
    <w:p w14:paraId="68D48A50" w14:textId="77777777" w:rsidR="00021124" w:rsidRPr="00DA0C86" w:rsidRDefault="00021124" w:rsidP="00155E6F">
      <w:pPr>
        <w:ind w:left="568"/>
        <w:jc w:val="both"/>
        <w:rPr>
          <w:b/>
          <w:bCs/>
        </w:rPr>
      </w:pPr>
      <w:r w:rsidRPr="00DA0C86">
        <w:rPr>
          <w:b/>
          <w:bCs/>
        </w:rPr>
        <w:t xml:space="preserve">Proposal </w:t>
      </w:r>
      <w:r>
        <w:rPr>
          <w:b/>
          <w:bCs/>
        </w:rPr>
        <w:t>14</w:t>
      </w:r>
      <w:r w:rsidRPr="00DA0C86">
        <w:rPr>
          <w:b/>
          <w:bCs/>
        </w:rPr>
        <w:t xml:space="preserve">: For EMC, </w:t>
      </w:r>
      <w:r>
        <w:rPr>
          <w:b/>
          <w:bCs/>
        </w:rPr>
        <w:t>the</w:t>
      </w:r>
      <w:r w:rsidRPr="00DA0C86">
        <w:rPr>
          <w:b/>
          <w:bCs/>
        </w:rPr>
        <w:t xml:space="preserve"> location-based CHO procedure can skip measurement condition.</w:t>
      </w:r>
    </w:p>
    <w:p w14:paraId="3CCB1FDD" w14:textId="77777777" w:rsidR="00021124" w:rsidRPr="00DA0C86" w:rsidRDefault="00021124" w:rsidP="00155E6F">
      <w:pPr>
        <w:ind w:left="568"/>
        <w:jc w:val="both"/>
        <w:rPr>
          <w:b/>
          <w:bCs/>
        </w:rPr>
      </w:pPr>
      <w:r w:rsidRPr="00DA0C86">
        <w:rPr>
          <w:b/>
          <w:bCs/>
        </w:rPr>
        <w:t xml:space="preserve">Proposal </w:t>
      </w:r>
      <w:r>
        <w:rPr>
          <w:b/>
          <w:bCs/>
        </w:rPr>
        <w:t>15</w:t>
      </w:r>
      <w:r w:rsidRPr="00DA0C86">
        <w:rPr>
          <w:b/>
          <w:bCs/>
        </w:rPr>
        <w:t>: For EFC with hard satellite switc</w:t>
      </w:r>
      <w:r>
        <w:rPr>
          <w:b/>
          <w:bCs/>
        </w:rPr>
        <w:t>h</w:t>
      </w:r>
      <w:r w:rsidRPr="00DA0C86">
        <w:rPr>
          <w:b/>
          <w:bCs/>
        </w:rPr>
        <w:t xml:space="preserve">, </w:t>
      </w:r>
      <w:r>
        <w:rPr>
          <w:b/>
          <w:bCs/>
        </w:rPr>
        <w:t>the</w:t>
      </w:r>
      <w:r w:rsidRPr="00DA0C86">
        <w:rPr>
          <w:b/>
          <w:bCs/>
        </w:rPr>
        <w:t xml:space="preserve"> time-based CHO procedure can skip measurement condition. </w:t>
      </w:r>
    </w:p>
    <w:p w14:paraId="1121A041" w14:textId="6668AEB7" w:rsidR="00310649" w:rsidRPr="009C571B" w:rsidRDefault="00021124" w:rsidP="00155E6F">
      <w:pPr>
        <w:ind w:left="568"/>
        <w:jc w:val="both"/>
        <w:rPr>
          <w:b/>
          <w:bCs/>
        </w:rPr>
      </w:pPr>
      <w:r w:rsidRPr="00DA0C86">
        <w:rPr>
          <w:b/>
          <w:bCs/>
        </w:rPr>
        <w:t xml:space="preserve">Proposal </w:t>
      </w:r>
      <w:r>
        <w:rPr>
          <w:b/>
          <w:bCs/>
        </w:rPr>
        <w:t>16</w:t>
      </w:r>
      <w:r w:rsidRPr="00DA0C86">
        <w:rPr>
          <w:b/>
          <w:bCs/>
        </w:rPr>
        <w:t>: For EFC with hard satellite switc</w:t>
      </w:r>
      <w:r>
        <w:rPr>
          <w:b/>
          <w:bCs/>
        </w:rPr>
        <w:t>h</w:t>
      </w:r>
      <w:r w:rsidRPr="00DA0C86">
        <w:rPr>
          <w:b/>
          <w:bCs/>
        </w:rPr>
        <w:t>, RAN2 to discuss means to distribute</w:t>
      </w:r>
      <w:r>
        <w:rPr>
          <w:b/>
          <w:bCs/>
        </w:rPr>
        <w:t xml:space="preserve"> </w:t>
      </w:r>
      <w:r w:rsidRPr="00116C08">
        <w:rPr>
          <w:b/>
          <w:bCs/>
        </w:rPr>
        <w:t>across time</w:t>
      </w:r>
      <w:r w:rsidRPr="00DA0C86">
        <w:rPr>
          <w:b/>
          <w:bCs/>
        </w:rPr>
        <w:t xml:space="preserve"> UEs accessing the target cell.</w:t>
      </w:r>
    </w:p>
    <w:p w14:paraId="46172E83" w14:textId="1CF38538" w:rsidR="00DC314B" w:rsidRPr="00707782" w:rsidRDefault="00DC314B" w:rsidP="00DC314B">
      <w:pPr>
        <w:keepNext/>
        <w:keepLines/>
        <w:pBdr>
          <w:top w:val="single" w:sz="12" w:space="3" w:color="auto"/>
        </w:pBdr>
        <w:spacing w:before="240"/>
        <w:outlineLvl w:val="0"/>
        <w:rPr>
          <w:rFonts w:ascii="Arial" w:hAnsi="Arial"/>
          <w:sz w:val="36"/>
        </w:rPr>
      </w:pPr>
      <w:r w:rsidRPr="00707782">
        <w:rPr>
          <w:rFonts w:ascii="Arial" w:hAnsi="Arial"/>
          <w:sz w:val="36"/>
        </w:rPr>
        <w:t>References</w:t>
      </w:r>
    </w:p>
    <w:p w14:paraId="02601F60" w14:textId="77777777" w:rsidR="00DC314B" w:rsidRPr="00BD4779" w:rsidRDefault="00DC314B" w:rsidP="00DC314B">
      <w:pPr>
        <w:numPr>
          <w:ilvl w:val="0"/>
          <w:numId w:val="8"/>
        </w:numPr>
        <w:rPr>
          <w:bCs/>
          <w:lang w:val="fi-FI"/>
        </w:rPr>
      </w:pPr>
      <w:bookmarkStart w:id="1" w:name="_Ref134620793"/>
      <w:r w:rsidRPr="00BD4779">
        <w:rPr>
          <w:bCs/>
        </w:rPr>
        <w:t xml:space="preserve">RP-223519, WID on IoT NTN enhancements, 3GPP TSG RAN Meeting #98, </w:t>
      </w:r>
      <w:proofErr w:type="gramStart"/>
      <w:r w:rsidRPr="00BD4779">
        <w:rPr>
          <w:bCs/>
        </w:rPr>
        <w:t>December,</w:t>
      </w:r>
      <w:proofErr w:type="gramEnd"/>
      <w:r w:rsidRPr="00BD4779">
        <w:rPr>
          <w:bCs/>
        </w:rPr>
        <w:t xml:space="preserve"> 2022.</w:t>
      </w:r>
      <w:bookmarkEnd w:id="1"/>
    </w:p>
    <w:p w14:paraId="6EA1E297" w14:textId="35F01B69" w:rsidR="00DC314B" w:rsidRPr="00AD17CC" w:rsidRDefault="00DC314B" w:rsidP="00DC314B">
      <w:pPr>
        <w:numPr>
          <w:ilvl w:val="0"/>
          <w:numId w:val="8"/>
        </w:numPr>
        <w:rPr>
          <w:rFonts w:eastAsiaTheme="minorEastAsia"/>
          <w:bCs/>
          <w:lang w:eastAsia="zh-CN"/>
        </w:rPr>
      </w:pPr>
      <w:bookmarkStart w:id="2" w:name="_Ref134620819"/>
      <w:bookmarkStart w:id="3" w:name="_Ref134621276"/>
      <w:r w:rsidRPr="00BD4779">
        <w:rPr>
          <w:bCs/>
          <w:lang w:val="fi-FI"/>
        </w:rPr>
        <w:t>R2-23</w:t>
      </w:r>
      <w:r w:rsidR="00AD17CC">
        <w:rPr>
          <w:bCs/>
          <w:lang w:val="fi-FI"/>
        </w:rPr>
        <w:t>11273</w:t>
      </w:r>
      <w:r w:rsidRPr="00BD4779">
        <w:rPr>
          <w:bCs/>
          <w:lang w:val="fi-FI"/>
        </w:rPr>
        <w:t xml:space="preserve">, “Report </w:t>
      </w:r>
      <w:proofErr w:type="spellStart"/>
      <w:r w:rsidRPr="00BD4779">
        <w:rPr>
          <w:bCs/>
          <w:lang w:val="fi-FI"/>
        </w:rPr>
        <w:t>from</w:t>
      </w:r>
      <w:proofErr w:type="spellEnd"/>
      <w:r w:rsidRPr="00BD4779">
        <w:rPr>
          <w:bCs/>
          <w:lang w:val="fi-FI"/>
        </w:rPr>
        <w:t xml:space="preserve"> </w:t>
      </w:r>
      <w:proofErr w:type="spellStart"/>
      <w:r w:rsidRPr="00BD4779">
        <w:rPr>
          <w:bCs/>
          <w:lang w:val="fi-FI"/>
        </w:rPr>
        <w:t>Break</w:t>
      </w:r>
      <w:proofErr w:type="spellEnd"/>
      <w:r w:rsidRPr="00BD4779">
        <w:rPr>
          <w:bCs/>
          <w:lang w:val="fi-FI"/>
        </w:rPr>
        <w:t>-out session on NR-NTN</w:t>
      </w:r>
      <w:r w:rsidR="00AD17CC">
        <w:rPr>
          <w:bCs/>
          <w:lang w:val="fi-FI"/>
        </w:rPr>
        <w:t xml:space="preserve"> and</w:t>
      </w:r>
      <w:r w:rsidRPr="00BD4779">
        <w:rPr>
          <w:bCs/>
          <w:lang w:val="fi-FI"/>
        </w:rPr>
        <w:t xml:space="preserve"> </w:t>
      </w:r>
      <w:proofErr w:type="spellStart"/>
      <w:r w:rsidRPr="00BD4779">
        <w:rPr>
          <w:bCs/>
          <w:lang w:val="fi-FI"/>
        </w:rPr>
        <w:t>IoT</w:t>
      </w:r>
      <w:proofErr w:type="spellEnd"/>
      <w:r w:rsidRPr="00BD4779">
        <w:rPr>
          <w:bCs/>
          <w:lang w:val="fi-FI"/>
        </w:rPr>
        <w:t xml:space="preserve">-NTN” 3GPP TSG RAN2 </w:t>
      </w:r>
      <w:proofErr w:type="spellStart"/>
      <w:r w:rsidRPr="00BD4779">
        <w:rPr>
          <w:bCs/>
          <w:lang w:val="fi-FI"/>
        </w:rPr>
        <w:t>Meeting</w:t>
      </w:r>
      <w:proofErr w:type="spellEnd"/>
      <w:r w:rsidRPr="00BD4779">
        <w:rPr>
          <w:bCs/>
          <w:lang w:val="fi-FI"/>
        </w:rPr>
        <w:t xml:space="preserve"> #12</w:t>
      </w:r>
      <w:r w:rsidR="00AD17CC">
        <w:rPr>
          <w:bCs/>
          <w:lang w:val="fi-FI"/>
        </w:rPr>
        <w:t>3bis</w:t>
      </w:r>
      <w:r w:rsidRPr="00BD4779">
        <w:rPr>
          <w:bCs/>
          <w:lang w:val="fi-FI"/>
        </w:rPr>
        <w:t xml:space="preserve"> </w:t>
      </w:r>
      <w:proofErr w:type="spellStart"/>
      <w:r w:rsidRPr="00BD4779">
        <w:rPr>
          <w:bCs/>
          <w:lang w:val="fi-FI"/>
        </w:rPr>
        <w:t>Meeting</w:t>
      </w:r>
      <w:proofErr w:type="spellEnd"/>
      <w:r w:rsidRPr="00BD4779">
        <w:rPr>
          <w:bCs/>
          <w:lang w:val="fi-FI"/>
        </w:rPr>
        <w:t xml:space="preserve">, </w:t>
      </w:r>
      <w:bookmarkStart w:id="4" w:name="_Ref134526035"/>
      <w:r w:rsidR="00AD17CC">
        <w:rPr>
          <w:bCs/>
          <w:lang w:val="fi-FI"/>
        </w:rPr>
        <w:t>Xiamen, China, October,</w:t>
      </w:r>
      <w:r w:rsidRPr="00BD4779">
        <w:rPr>
          <w:bCs/>
          <w:lang w:val="fi-FI"/>
        </w:rPr>
        <w:t xml:space="preserve"> 2023.</w:t>
      </w:r>
      <w:bookmarkStart w:id="5" w:name="_Ref134620820"/>
      <w:bookmarkEnd w:id="2"/>
      <w:bookmarkEnd w:id="3"/>
      <w:bookmarkEnd w:id="4"/>
    </w:p>
    <w:p w14:paraId="43277585" w14:textId="7BA9039B" w:rsidR="00AD17CC" w:rsidRPr="00216372" w:rsidRDefault="004011CD" w:rsidP="00216372">
      <w:pPr>
        <w:numPr>
          <w:ilvl w:val="0"/>
          <w:numId w:val="8"/>
        </w:numPr>
        <w:rPr>
          <w:rFonts w:eastAsiaTheme="minorEastAsia"/>
          <w:bCs/>
          <w:lang w:eastAsia="zh-CN"/>
        </w:rPr>
      </w:pPr>
      <w:bookmarkStart w:id="6" w:name="_Ref149656003"/>
      <w:r>
        <w:rPr>
          <w:rFonts w:eastAsiaTheme="minorEastAsia"/>
          <w:bCs/>
          <w:lang w:eastAsia="zh-CN"/>
        </w:rPr>
        <w:t xml:space="preserve">R2-2309401, “Report of 3GPP TSG RAN WG2 meeting #123”, </w:t>
      </w:r>
      <w:r w:rsidR="00216372" w:rsidRPr="00BD4779">
        <w:rPr>
          <w:bCs/>
          <w:lang w:val="fi-FI"/>
        </w:rPr>
        <w:t xml:space="preserve">3GPP TSG RAN2 </w:t>
      </w:r>
      <w:proofErr w:type="spellStart"/>
      <w:r w:rsidR="00216372" w:rsidRPr="00BD4779">
        <w:rPr>
          <w:bCs/>
          <w:lang w:val="fi-FI"/>
        </w:rPr>
        <w:t>Meeting</w:t>
      </w:r>
      <w:proofErr w:type="spellEnd"/>
      <w:r w:rsidR="00216372" w:rsidRPr="00BD4779">
        <w:rPr>
          <w:bCs/>
          <w:lang w:val="fi-FI"/>
        </w:rPr>
        <w:t xml:space="preserve"> #12</w:t>
      </w:r>
      <w:r w:rsidR="00216372">
        <w:rPr>
          <w:bCs/>
          <w:lang w:val="fi-FI"/>
        </w:rPr>
        <w:t>3</w:t>
      </w:r>
      <w:r w:rsidR="00216372" w:rsidRPr="00BD4779">
        <w:rPr>
          <w:bCs/>
          <w:lang w:val="fi-FI"/>
        </w:rPr>
        <w:t xml:space="preserve"> </w:t>
      </w:r>
      <w:proofErr w:type="spellStart"/>
      <w:r w:rsidR="00216372" w:rsidRPr="00BD4779">
        <w:rPr>
          <w:bCs/>
          <w:lang w:val="fi-FI"/>
        </w:rPr>
        <w:t>Meeting</w:t>
      </w:r>
      <w:proofErr w:type="spellEnd"/>
      <w:r w:rsidR="00216372" w:rsidRPr="00BD4779">
        <w:rPr>
          <w:bCs/>
          <w:lang w:val="fi-FI"/>
        </w:rPr>
        <w:t xml:space="preserve">, </w:t>
      </w:r>
      <w:r w:rsidR="00216372">
        <w:rPr>
          <w:bCs/>
          <w:lang w:val="fi-FI"/>
        </w:rPr>
        <w:t>Toulouse, France, August</w:t>
      </w:r>
      <w:r w:rsidR="00216372" w:rsidRPr="00BD4779">
        <w:rPr>
          <w:bCs/>
          <w:lang w:val="fi-FI"/>
        </w:rPr>
        <w:t xml:space="preserve"> 2023.</w:t>
      </w:r>
      <w:bookmarkEnd w:id="6"/>
    </w:p>
    <w:p w14:paraId="33C92AAA" w14:textId="472B334D" w:rsidR="008F7BDD" w:rsidRPr="008F7BDD" w:rsidRDefault="008F7BDD" w:rsidP="008F7BDD">
      <w:pPr>
        <w:numPr>
          <w:ilvl w:val="0"/>
          <w:numId w:val="8"/>
        </w:numPr>
        <w:rPr>
          <w:rFonts w:eastAsiaTheme="minorEastAsia"/>
          <w:bCs/>
          <w:lang w:eastAsia="zh-CN"/>
        </w:rPr>
      </w:pPr>
      <w:bookmarkStart w:id="7" w:name="_Ref149656071"/>
      <w:r>
        <w:rPr>
          <w:bCs/>
          <w:lang w:val="fi-FI"/>
        </w:rPr>
        <w:t>3GPP TSG RAN WG2, ”Report of [Post123bis][302][</w:t>
      </w:r>
      <w:proofErr w:type="spellStart"/>
      <w:r>
        <w:rPr>
          <w:bCs/>
          <w:lang w:val="fi-FI"/>
        </w:rPr>
        <w:t>IoT</w:t>
      </w:r>
      <w:proofErr w:type="spellEnd"/>
      <w:r>
        <w:rPr>
          <w:bCs/>
          <w:lang w:val="fi-FI"/>
        </w:rPr>
        <w:t xml:space="preserve">-NTN </w:t>
      </w:r>
      <w:proofErr w:type="spellStart"/>
      <w:r>
        <w:rPr>
          <w:bCs/>
          <w:lang w:val="fi-FI"/>
        </w:rPr>
        <w:t>Enh</w:t>
      </w:r>
      <w:proofErr w:type="spellEnd"/>
      <w:r>
        <w:rPr>
          <w:bCs/>
          <w:lang w:val="fi-FI"/>
        </w:rPr>
        <w:t xml:space="preserve">] 36.331 </w:t>
      </w:r>
      <w:proofErr w:type="spellStart"/>
      <w:r>
        <w:rPr>
          <w:bCs/>
          <w:lang w:val="fi-FI"/>
        </w:rPr>
        <w:t>running</w:t>
      </w:r>
      <w:proofErr w:type="spellEnd"/>
      <w:r>
        <w:rPr>
          <w:bCs/>
          <w:lang w:val="fi-FI"/>
        </w:rPr>
        <w:t xml:space="preserve"> CR (Huawei)”, RAN2 </w:t>
      </w:r>
      <w:proofErr w:type="spellStart"/>
      <w:r>
        <w:rPr>
          <w:bCs/>
          <w:lang w:val="fi-FI"/>
        </w:rPr>
        <w:t>Meeting</w:t>
      </w:r>
      <w:proofErr w:type="spellEnd"/>
      <w:r>
        <w:rPr>
          <w:bCs/>
          <w:lang w:val="fi-FI"/>
        </w:rPr>
        <w:t xml:space="preserve"> #124, Chicago, USA,  13-17 November, 2023.</w:t>
      </w:r>
      <w:bookmarkEnd w:id="7"/>
    </w:p>
    <w:bookmarkEnd w:id="5"/>
    <w:p w14:paraId="580F58CB" w14:textId="77777777" w:rsidR="00DC314B" w:rsidRDefault="00DC314B" w:rsidP="00DC314B">
      <w:pPr>
        <w:numPr>
          <w:ilvl w:val="0"/>
          <w:numId w:val="8"/>
        </w:numPr>
        <w:rPr>
          <w:bCs/>
          <w:lang w:val="fi-FI"/>
        </w:rPr>
      </w:pPr>
      <w:r w:rsidRPr="00BD4779">
        <w:rPr>
          <w:bCs/>
          <w:lang w:val="fi-FI"/>
        </w:rPr>
        <w:t xml:space="preserve">3GPP Technical </w:t>
      </w:r>
      <w:proofErr w:type="spellStart"/>
      <w:r w:rsidRPr="00BD4779">
        <w:rPr>
          <w:bCs/>
          <w:lang w:val="fi-FI"/>
        </w:rPr>
        <w:t>Specification</w:t>
      </w:r>
      <w:proofErr w:type="spellEnd"/>
      <w:r w:rsidRPr="00BD4779">
        <w:rPr>
          <w:bCs/>
          <w:lang w:val="fi-FI"/>
        </w:rPr>
        <w:t xml:space="preserve"> 38.331, version 17.1.0, </w:t>
      </w:r>
      <w:proofErr w:type="spellStart"/>
      <w:r w:rsidRPr="00BD4779">
        <w:rPr>
          <w:bCs/>
          <w:lang w:val="fi-FI"/>
        </w:rPr>
        <w:t>June</w:t>
      </w:r>
      <w:proofErr w:type="spellEnd"/>
      <w:r w:rsidRPr="00BD4779">
        <w:rPr>
          <w:bCs/>
          <w:lang w:val="fi-FI"/>
        </w:rPr>
        <w:t xml:space="preserve"> 2022.</w:t>
      </w:r>
    </w:p>
    <w:p w14:paraId="5FCE49A6" w14:textId="77777777" w:rsidR="00DC314B" w:rsidRPr="00DA0C86" w:rsidRDefault="00DC314B" w:rsidP="00DC314B">
      <w:pPr>
        <w:numPr>
          <w:ilvl w:val="0"/>
          <w:numId w:val="8"/>
        </w:numPr>
        <w:rPr>
          <w:bCs/>
        </w:rPr>
      </w:pPr>
      <w:bookmarkStart w:id="8" w:name="_Ref146630775"/>
      <w:r w:rsidRPr="00DA0C86">
        <w:rPr>
          <w:bCs/>
        </w:rPr>
        <w:t>Juan, Enric, et al. "Handover Solutions for 5G Low-Earth Orbit Satellite Networks." IEEE Access 10 (2022): 93309-93325.</w:t>
      </w:r>
      <w:bookmarkEnd w:id="8"/>
    </w:p>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A1F75" w14:textId="77777777" w:rsidR="00B63F86" w:rsidRDefault="00B63F86">
      <w:r>
        <w:separator/>
      </w:r>
    </w:p>
  </w:endnote>
  <w:endnote w:type="continuationSeparator" w:id="0">
    <w:p w14:paraId="463730C6" w14:textId="77777777" w:rsidR="00B63F86" w:rsidRDefault="00B63F86">
      <w:r>
        <w:continuationSeparator/>
      </w:r>
    </w:p>
  </w:endnote>
  <w:endnote w:type="continuationNotice" w:id="1">
    <w:p w14:paraId="793C16F1" w14:textId="77777777" w:rsidR="00B63F86" w:rsidRDefault="00B63F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D6F4D" w14:textId="77777777" w:rsidR="00B63F86" w:rsidRDefault="00B63F86">
      <w:r>
        <w:separator/>
      </w:r>
    </w:p>
  </w:footnote>
  <w:footnote w:type="continuationSeparator" w:id="0">
    <w:p w14:paraId="08D80786" w14:textId="77777777" w:rsidR="00B63F86" w:rsidRDefault="00B63F86">
      <w:r>
        <w:continuationSeparator/>
      </w:r>
    </w:p>
  </w:footnote>
  <w:footnote w:type="continuationNotice" w:id="1">
    <w:p w14:paraId="7C908A65" w14:textId="77777777" w:rsidR="00B63F86" w:rsidRDefault="00B63F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7C45E7"/>
    <w:multiLevelType w:val="hybridMultilevel"/>
    <w:tmpl w:val="E68040D8"/>
    <w:lvl w:ilvl="0" w:tplc="EA5ECD28">
      <w:start w:val="1"/>
      <w:numFmt w:val="bullet"/>
      <w:lvlText w:val="•"/>
      <w:lvlJc w:val="left"/>
      <w:pPr>
        <w:tabs>
          <w:tab w:val="num" w:pos="720"/>
        </w:tabs>
        <w:ind w:left="720" w:hanging="360"/>
      </w:pPr>
      <w:rPr>
        <w:rFonts w:ascii="Arial" w:hAnsi="Arial" w:cs="Times New Roman" w:hint="default"/>
      </w:rPr>
    </w:lvl>
    <w:lvl w:ilvl="1" w:tplc="326E1078">
      <w:numFmt w:val="bullet"/>
      <w:lvlText w:val="•"/>
      <w:lvlJc w:val="left"/>
      <w:pPr>
        <w:tabs>
          <w:tab w:val="num" w:pos="1440"/>
        </w:tabs>
        <w:ind w:left="1440" w:hanging="360"/>
      </w:pPr>
      <w:rPr>
        <w:rFonts w:ascii="Arial" w:hAnsi="Arial" w:cs="Times New Roman" w:hint="default"/>
      </w:rPr>
    </w:lvl>
    <w:lvl w:ilvl="2" w:tplc="4BC401F4">
      <w:start w:val="1"/>
      <w:numFmt w:val="bullet"/>
      <w:lvlText w:val="•"/>
      <w:lvlJc w:val="left"/>
      <w:pPr>
        <w:tabs>
          <w:tab w:val="num" w:pos="2160"/>
        </w:tabs>
        <w:ind w:left="2160" w:hanging="360"/>
      </w:pPr>
      <w:rPr>
        <w:rFonts w:ascii="Arial" w:hAnsi="Arial" w:cs="Times New Roman" w:hint="default"/>
      </w:rPr>
    </w:lvl>
    <w:lvl w:ilvl="3" w:tplc="311EB76A">
      <w:start w:val="1"/>
      <w:numFmt w:val="bullet"/>
      <w:lvlText w:val="•"/>
      <w:lvlJc w:val="left"/>
      <w:pPr>
        <w:tabs>
          <w:tab w:val="num" w:pos="2880"/>
        </w:tabs>
        <w:ind w:left="2880" w:hanging="360"/>
      </w:pPr>
      <w:rPr>
        <w:rFonts w:ascii="Arial" w:hAnsi="Arial" w:cs="Times New Roman" w:hint="default"/>
      </w:rPr>
    </w:lvl>
    <w:lvl w:ilvl="4" w:tplc="E0E09400">
      <w:start w:val="1"/>
      <w:numFmt w:val="bullet"/>
      <w:lvlText w:val="•"/>
      <w:lvlJc w:val="left"/>
      <w:pPr>
        <w:tabs>
          <w:tab w:val="num" w:pos="3600"/>
        </w:tabs>
        <w:ind w:left="3600" w:hanging="360"/>
      </w:pPr>
      <w:rPr>
        <w:rFonts w:ascii="Arial" w:hAnsi="Arial" w:cs="Times New Roman" w:hint="default"/>
      </w:rPr>
    </w:lvl>
    <w:lvl w:ilvl="5" w:tplc="2B3C25E0">
      <w:start w:val="1"/>
      <w:numFmt w:val="bullet"/>
      <w:lvlText w:val="•"/>
      <w:lvlJc w:val="left"/>
      <w:pPr>
        <w:tabs>
          <w:tab w:val="num" w:pos="4320"/>
        </w:tabs>
        <w:ind w:left="4320" w:hanging="360"/>
      </w:pPr>
      <w:rPr>
        <w:rFonts w:ascii="Arial" w:hAnsi="Arial" w:cs="Times New Roman" w:hint="default"/>
      </w:rPr>
    </w:lvl>
    <w:lvl w:ilvl="6" w:tplc="5BE4C7C2">
      <w:start w:val="1"/>
      <w:numFmt w:val="bullet"/>
      <w:lvlText w:val="•"/>
      <w:lvlJc w:val="left"/>
      <w:pPr>
        <w:tabs>
          <w:tab w:val="num" w:pos="5040"/>
        </w:tabs>
        <w:ind w:left="5040" w:hanging="360"/>
      </w:pPr>
      <w:rPr>
        <w:rFonts w:ascii="Arial" w:hAnsi="Arial" w:cs="Times New Roman" w:hint="default"/>
      </w:rPr>
    </w:lvl>
    <w:lvl w:ilvl="7" w:tplc="DC7AC722">
      <w:start w:val="1"/>
      <w:numFmt w:val="bullet"/>
      <w:lvlText w:val="•"/>
      <w:lvlJc w:val="left"/>
      <w:pPr>
        <w:tabs>
          <w:tab w:val="num" w:pos="5760"/>
        </w:tabs>
        <w:ind w:left="5760" w:hanging="360"/>
      </w:pPr>
      <w:rPr>
        <w:rFonts w:ascii="Arial" w:hAnsi="Arial" w:cs="Times New Roman" w:hint="default"/>
      </w:rPr>
    </w:lvl>
    <w:lvl w:ilvl="8" w:tplc="FA7C1D34">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C77553F"/>
    <w:multiLevelType w:val="hybridMultilevel"/>
    <w:tmpl w:val="43C40B10"/>
    <w:lvl w:ilvl="0" w:tplc="4664EE0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5"/>
  </w:num>
  <w:num w:numId="5" w16cid:durableId="630793192">
    <w:abstractNumId w:val="4"/>
  </w:num>
  <w:num w:numId="6" w16cid:durableId="1154301696">
    <w:abstractNumId w:val="7"/>
  </w:num>
  <w:num w:numId="7" w16cid:durableId="1489399165">
    <w:abstractNumId w:val="8"/>
  </w:num>
  <w:num w:numId="8" w16cid:durableId="1545749604">
    <w:abstractNumId w:val="3"/>
  </w:num>
  <w:num w:numId="9" w16cid:durableId="1098678270">
    <w:abstractNumId w:val="6"/>
  </w:num>
  <w:num w:numId="10" w16cid:durableId="2024037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A68"/>
    <w:rsid w:val="00006C10"/>
    <w:rsid w:val="00016557"/>
    <w:rsid w:val="00017294"/>
    <w:rsid w:val="00021124"/>
    <w:rsid w:val="00023C40"/>
    <w:rsid w:val="0002507D"/>
    <w:rsid w:val="00030AF3"/>
    <w:rsid w:val="00032921"/>
    <w:rsid w:val="00033397"/>
    <w:rsid w:val="00040095"/>
    <w:rsid w:val="00065268"/>
    <w:rsid w:val="00065F17"/>
    <w:rsid w:val="00073C9C"/>
    <w:rsid w:val="00076412"/>
    <w:rsid w:val="00080512"/>
    <w:rsid w:val="00090468"/>
    <w:rsid w:val="00094568"/>
    <w:rsid w:val="000B3D39"/>
    <w:rsid w:val="000B7B62"/>
    <w:rsid w:val="000B7BCF"/>
    <w:rsid w:val="000C522B"/>
    <w:rsid w:val="000D3FD6"/>
    <w:rsid w:val="000D58AB"/>
    <w:rsid w:val="000E667F"/>
    <w:rsid w:val="00112F1A"/>
    <w:rsid w:val="00145075"/>
    <w:rsid w:val="00155E6F"/>
    <w:rsid w:val="00156834"/>
    <w:rsid w:val="00156CF0"/>
    <w:rsid w:val="00171E3F"/>
    <w:rsid w:val="00172855"/>
    <w:rsid w:val="001741A0"/>
    <w:rsid w:val="00175FA0"/>
    <w:rsid w:val="0018542A"/>
    <w:rsid w:val="00194CD0"/>
    <w:rsid w:val="001A4CEB"/>
    <w:rsid w:val="001B49C9"/>
    <w:rsid w:val="001C23F4"/>
    <w:rsid w:val="001C4F79"/>
    <w:rsid w:val="001D243D"/>
    <w:rsid w:val="001D5C9B"/>
    <w:rsid w:val="001D6395"/>
    <w:rsid w:val="001F168B"/>
    <w:rsid w:val="001F3A86"/>
    <w:rsid w:val="001F7831"/>
    <w:rsid w:val="002008B4"/>
    <w:rsid w:val="00204045"/>
    <w:rsid w:val="0020712B"/>
    <w:rsid w:val="00216372"/>
    <w:rsid w:val="0022606D"/>
    <w:rsid w:val="00231728"/>
    <w:rsid w:val="0024003B"/>
    <w:rsid w:val="00244A05"/>
    <w:rsid w:val="002478A3"/>
    <w:rsid w:val="002502E6"/>
    <w:rsid w:val="00250404"/>
    <w:rsid w:val="0025178F"/>
    <w:rsid w:val="00256B74"/>
    <w:rsid w:val="002610D8"/>
    <w:rsid w:val="002747EC"/>
    <w:rsid w:val="00283D47"/>
    <w:rsid w:val="002855BF"/>
    <w:rsid w:val="002A062E"/>
    <w:rsid w:val="002A7743"/>
    <w:rsid w:val="002B2988"/>
    <w:rsid w:val="002B6464"/>
    <w:rsid w:val="002D0C08"/>
    <w:rsid w:val="002D68EA"/>
    <w:rsid w:val="002F0D22"/>
    <w:rsid w:val="002F2786"/>
    <w:rsid w:val="00310649"/>
    <w:rsid w:val="00310F63"/>
    <w:rsid w:val="00311B17"/>
    <w:rsid w:val="003172DC"/>
    <w:rsid w:val="00325AE3"/>
    <w:rsid w:val="00326069"/>
    <w:rsid w:val="00336C0F"/>
    <w:rsid w:val="0035462D"/>
    <w:rsid w:val="0036459E"/>
    <w:rsid w:val="00364B41"/>
    <w:rsid w:val="00375D39"/>
    <w:rsid w:val="00376540"/>
    <w:rsid w:val="00383096"/>
    <w:rsid w:val="0039346C"/>
    <w:rsid w:val="003A41EF"/>
    <w:rsid w:val="003B40AD"/>
    <w:rsid w:val="003C12A8"/>
    <w:rsid w:val="003C4E37"/>
    <w:rsid w:val="003C6BAB"/>
    <w:rsid w:val="003D0FD0"/>
    <w:rsid w:val="003D1CE5"/>
    <w:rsid w:val="003D5086"/>
    <w:rsid w:val="003E16BE"/>
    <w:rsid w:val="003E7BC4"/>
    <w:rsid w:val="003F2615"/>
    <w:rsid w:val="003F4E28"/>
    <w:rsid w:val="004006E8"/>
    <w:rsid w:val="004011CD"/>
    <w:rsid w:val="00401855"/>
    <w:rsid w:val="00413765"/>
    <w:rsid w:val="004155A1"/>
    <w:rsid w:val="0043088B"/>
    <w:rsid w:val="004318FE"/>
    <w:rsid w:val="00446C3A"/>
    <w:rsid w:val="004631CA"/>
    <w:rsid w:val="00465587"/>
    <w:rsid w:val="0047710D"/>
    <w:rsid w:val="00477455"/>
    <w:rsid w:val="00485063"/>
    <w:rsid w:val="004975F9"/>
    <w:rsid w:val="004A15D0"/>
    <w:rsid w:val="004A1F7B"/>
    <w:rsid w:val="004C44D2"/>
    <w:rsid w:val="004C69E8"/>
    <w:rsid w:val="004D1E65"/>
    <w:rsid w:val="004D3578"/>
    <w:rsid w:val="004D380D"/>
    <w:rsid w:val="004D6BFE"/>
    <w:rsid w:val="004E213A"/>
    <w:rsid w:val="004E7553"/>
    <w:rsid w:val="004F4540"/>
    <w:rsid w:val="004F563D"/>
    <w:rsid w:val="004F73A7"/>
    <w:rsid w:val="005006F6"/>
    <w:rsid w:val="00503171"/>
    <w:rsid w:val="005049D4"/>
    <w:rsid w:val="0050684D"/>
    <w:rsid w:val="00506C28"/>
    <w:rsid w:val="005251D0"/>
    <w:rsid w:val="00527CEF"/>
    <w:rsid w:val="00534A0B"/>
    <w:rsid w:val="00534DA0"/>
    <w:rsid w:val="00537381"/>
    <w:rsid w:val="00537809"/>
    <w:rsid w:val="00540E67"/>
    <w:rsid w:val="00543E6C"/>
    <w:rsid w:val="00544DD8"/>
    <w:rsid w:val="00545781"/>
    <w:rsid w:val="00550FCF"/>
    <w:rsid w:val="00565087"/>
    <w:rsid w:val="0056573F"/>
    <w:rsid w:val="00571279"/>
    <w:rsid w:val="00584294"/>
    <w:rsid w:val="005A13AB"/>
    <w:rsid w:val="005A49C6"/>
    <w:rsid w:val="005C766E"/>
    <w:rsid w:val="005C7CD5"/>
    <w:rsid w:val="005D71ED"/>
    <w:rsid w:val="005E3BA8"/>
    <w:rsid w:val="00611566"/>
    <w:rsid w:val="00614F29"/>
    <w:rsid w:val="00624837"/>
    <w:rsid w:val="00633EA0"/>
    <w:rsid w:val="00640F52"/>
    <w:rsid w:val="00646D99"/>
    <w:rsid w:val="00656910"/>
    <w:rsid w:val="006574C0"/>
    <w:rsid w:val="006663B3"/>
    <w:rsid w:val="00683FD7"/>
    <w:rsid w:val="0069129C"/>
    <w:rsid w:val="00691553"/>
    <w:rsid w:val="00696821"/>
    <w:rsid w:val="006C66D8"/>
    <w:rsid w:val="006D1E24"/>
    <w:rsid w:val="006D35DE"/>
    <w:rsid w:val="006D72D7"/>
    <w:rsid w:val="006E1057"/>
    <w:rsid w:val="006E1417"/>
    <w:rsid w:val="006F31D8"/>
    <w:rsid w:val="006F3FD5"/>
    <w:rsid w:val="006F51D0"/>
    <w:rsid w:val="006F6A2C"/>
    <w:rsid w:val="006F72C0"/>
    <w:rsid w:val="007069DC"/>
    <w:rsid w:val="00710201"/>
    <w:rsid w:val="0072027D"/>
    <w:rsid w:val="0072073A"/>
    <w:rsid w:val="00723772"/>
    <w:rsid w:val="007342B5"/>
    <w:rsid w:val="00734A5B"/>
    <w:rsid w:val="00744E76"/>
    <w:rsid w:val="00757D40"/>
    <w:rsid w:val="00764093"/>
    <w:rsid w:val="00765F95"/>
    <w:rsid w:val="007662B5"/>
    <w:rsid w:val="00766505"/>
    <w:rsid w:val="00781F0F"/>
    <w:rsid w:val="00787249"/>
    <w:rsid w:val="0078727C"/>
    <w:rsid w:val="00790034"/>
    <w:rsid w:val="0079049D"/>
    <w:rsid w:val="007930E2"/>
    <w:rsid w:val="00793DC5"/>
    <w:rsid w:val="00796823"/>
    <w:rsid w:val="0079733B"/>
    <w:rsid w:val="007A2E55"/>
    <w:rsid w:val="007A4E9F"/>
    <w:rsid w:val="007B18D8"/>
    <w:rsid w:val="007B3BA9"/>
    <w:rsid w:val="007C095F"/>
    <w:rsid w:val="007C2DD0"/>
    <w:rsid w:val="007F2E08"/>
    <w:rsid w:val="007F3271"/>
    <w:rsid w:val="00801D21"/>
    <w:rsid w:val="008024FA"/>
    <w:rsid w:val="008028A4"/>
    <w:rsid w:val="00813245"/>
    <w:rsid w:val="00821500"/>
    <w:rsid w:val="00840DE0"/>
    <w:rsid w:val="00841F37"/>
    <w:rsid w:val="00843082"/>
    <w:rsid w:val="00847CD0"/>
    <w:rsid w:val="008603AE"/>
    <w:rsid w:val="008607A8"/>
    <w:rsid w:val="0086354A"/>
    <w:rsid w:val="008768CA"/>
    <w:rsid w:val="00877EF9"/>
    <w:rsid w:val="00880559"/>
    <w:rsid w:val="0088778B"/>
    <w:rsid w:val="00894F0E"/>
    <w:rsid w:val="008A1F1D"/>
    <w:rsid w:val="008A2502"/>
    <w:rsid w:val="008B5306"/>
    <w:rsid w:val="008B54E8"/>
    <w:rsid w:val="008B6C32"/>
    <w:rsid w:val="008B6C56"/>
    <w:rsid w:val="008C2E2A"/>
    <w:rsid w:val="008C3057"/>
    <w:rsid w:val="008D2E4D"/>
    <w:rsid w:val="008E549E"/>
    <w:rsid w:val="008F396F"/>
    <w:rsid w:val="008F3DCD"/>
    <w:rsid w:val="008F7BDD"/>
    <w:rsid w:val="0090271F"/>
    <w:rsid w:val="00902DB9"/>
    <w:rsid w:val="0090466A"/>
    <w:rsid w:val="00905E5A"/>
    <w:rsid w:val="009121B8"/>
    <w:rsid w:val="00923655"/>
    <w:rsid w:val="00924529"/>
    <w:rsid w:val="009248C6"/>
    <w:rsid w:val="00925764"/>
    <w:rsid w:val="00926A4C"/>
    <w:rsid w:val="009339CB"/>
    <w:rsid w:val="00936071"/>
    <w:rsid w:val="009376CD"/>
    <w:rsid w:val="00940212"/>
    <w:rsid w:val="00942EC2"/>
    <w:rsid w:val="00947BC0"/>
    <w:rsid w:val="00961B32"/>
    <w:rsid w:val="00962509"/>
    <w:rsid w:val="00970DB3"/>
    <w:rsid w:val="00974BB0"/>
    <w:rsid w:val="00975BCD"/>
    <w:rsid w:val="009818A2"/>
    <w:rsid w:val="009849BE"/>
    <w:rsid w:val="009928A9"/>
    <w:rsid w:val="009A0AF3"/>
    <w:rsid w:val="009B07CD"/>
    <w:rsid w:val="009C19E9"/>
    <w:rsid w:val="009C406E"/>
    <w:rsid w:val="009C571B"/>
    <w:rsid w:val="009D4B67"/>
    <w:rsid w:val="009D74A6"/>
    <w:rsid w:val="009E0E87"/>
    <w:rsid w:val="00A10F02"/>
    <w:rsid w:val="00A158A3"/>
    <w:rsid w:val="00A17176"/>
    <w:rsid w:val="00A204CA"/>
    <w:rsid w:val="00A209D6"/>
    <w:rsid w:val="00A22738"/>
    <w:rsid w:val="00A36F5F"/>
    <w:rsid w:val="00A430EC"/>
    <w:rsid w:val="00A53724"/>
    <w:rsid w:val="00A53EDA"/>
    <w:rsid w:val="00A54B2B"/>
    <w:rsid w:val="00A61ADC"/>
    <w:rsid w:val="00A703B6"/>
    <w:rsid w:val="00A769C9"/>
    <w:rsid w:val="00A80C50"/>
    <w:rsid w:val="00A82346"/>
    <w:rsid w:val="00A932D1"/>
    <w:rsid w:val="00A9671C"/>
    <w:rsid w:val="00AA1553"/>
    <w:rsid w:val="00AC7A8C"/>
    <w:rsid w:val="00AD17CC"/>
    <w:rsid w:val="00AD7E7C"/>
    <w:rsid w:val="00AE03A3"/>
    <w:rsid w:val="00B05380"/>
    <w:rsid w:val="00B05962"/>
    <w:rsid w:val="00B10A29"/>
    <w:rsid w:val="00B15449"/>
    <w:rsid w:val="00B16C2F"/>
    <w:rsid w:val="00B20A9F"/>
    <w:rsid w:val="00B27303"/>
    <w:rsid w:val="00B279D6"/>
    <w:rsid w:val="00B35A8F"/>
    <w:rsid w:val="00B43A4E"/>
    <w:rsid w:val="00B47FD1"/>
    <w:rsid w:val="00B51147"/>
    <w:rsid w:val="00B516BB"/>
    <w:rsid w:val="00B62831"/>
    <w:rsid w:val="00B63F86"/>
    <w:rsid w:val="00B652D7"/>
    <w:rsid w:val="00B669E9"/>
    <w:rsid w:val="00B736EB"/>
    <w:rsid w:val="00B7538C"/>
    <w:rsid w:val="00B7665B"/>
    <w:rsid w:val="00B84DB2"/>
    <w:rsid w:val="00B93379"/>
    <w:rsid w:val="00BA147E"/>
    <w:rsid w:val="00BC3555"/>
    <w:rsid w:val="00BD1903"/>
    <w:rsid w:val="00C11B8F"/>
    <w:rsid w:val="00C12B51"/>
    <w:rsid w:val="00C22648"/>
    <w:rsid w:val="00C24650"/>
    <w:rsid w:val="00C25465"/>
    <w:rsid w:val="00C31806"/>
    <w:rsid w:val="00C33079"/>
    <w:rsid w:val="00C54D9E"/>
    <w:rsid w:val="00C55A12"/>
    <w:rsid w:val="00C611B4"/>
    <w:rsid w:val="00C6553E"/>
    <w:rsid w:val="00C709CA"/>
    <w:rsid w:val="00C75C2B"/>
    <w:rsid w:val="00C83A13"/>
    <w:rsid w:val="00C86F10"/>
    <w:rsid w:val="00C87891"/>
    <w:rsid w:val="00C87E43"/>
    <w:rsid w:val="00C9068C"/>
    <w:rsid w:val="00C90F2D"/>
    <w:rsid w:val="00C92967"/>
    <w:rsid w:val="00C963B7"/>
    <w:rsid w:val="00C9684E"/>
    <w:rsid w:val="00CA0199"/>
    <w:rsid w:val="00CA3D0C"/>
    <w:rsid w:val="00CA5D4A"/>
    <w:rsid w:val="00CA654B"/>
    <w:rsid w:val="00CB72B8"/>
    <w:rsid w:val="00CC5CD0"/>
    <w:rsid w:val="00CD0BA8"/>
    <w:rsid w:val="00CD4C7B"/>
    <w:rsid w:val="00CD58FE"/>
    <w:rsid w:val="00CF0334"/>
    <w:rsid w:val="00CF1135"/>
    <w:rsid w:val="00CF261A"/>
    <w:rsid w:val="00D00C75"/>
    <w:rsid w:val="00D051AD"/>
    <w:rsid w:val="00D10FEE"/>
    <w:rsid w:val="00D220E4"/>
    <w:rsid w:val="00D33BE3"/>
    <w:rsid w:val="00D36C33"/>
    <w:rsid w:val="00D3792D"/>
    <w:rsid w:val="00D43687"/>
    <w:rsid w:val="00D4723C"/>
    <w:rsid w:val="00D52142"/>
    <w:rsid w:val="00D54820"/>
    <w:rsid w:val="00D55E47"/>
    <w:rsid w:val="00D611FA"/>
    <w:rsid w:val="00D62E19"/>
    <w:rsid w:val="00D64278"/>
    <w:rsid w:val="00D67CD1"/>
    <w:rsid w:val="00D738D6"/>
    <w:rsid w:val="00D746FE"/>
    <w:rsid w:val="00D7509D"/>
    <w:rsid w:val="00D7637B"/>
    <w:rsid w:val="00D804CA"/>
    <w:rsid w:val="00D80795"/>
    <w:rsid w:val="00D83C14"/>
    <w:rsid w:val="00D854BE"/>
    <w:rsid w:val="00D87E00"/>
    <w:rsid w:val="00D90A96"/>
    <w:rsid w:val="00D9134D"/>
    <w:rsid w:val="00D96D11"/>
    <w:rsid w:val="00DA0BEC"/>
    <w:rsid w:val="00DA3E67"/>
    <w:rsid w:val="00DA7A03"/>
    <w:rsid w:val="00DB03B2"/>
    <w:rsid w:val="00DB0DB8"/>
    <w:rsid w:val="00DB1818"/>
    <w:rsid w:val="00DC268C"/>
    <w:rsid w:val="00DC309B"/>
    <w:rsid w:val="00DC314B"/>
    <w:rsid w:val="00DC4DA2"/>
    <w:rsid w:val="00DC5261"/>
    <w:rsid w:val="00DD55CE"/>
    <w:rsid w:val="00DD66CB"/>
    <w:rsid w:val="00DE2128"/>
    <w:rsid w:val="00DE25D2"/>
    <w:rsid w:val="00DF7C20"/>
    <w:rsid w:val="00E038FB"/>
    <w:rsid w:val="00E446B8"/>
    <w:rsid w:val="00E46C08"/>
    <w:rsid w:val="00E471CF"/>
    <w:rsid w:val="00E62835"/>
    <w:rsid w:val="00E6480E"/>
    <w:rsid w:val="00E72EEB"/>
    <w:rsid w:val="00E7398E"/>
    <w:rsid w:val="00E77645"/>
    <w:rsid w:val="00E81F22"/>
    <w:rsid w:val="00E83697"/>
    <w:rsid w:val="00E83AAC"/>
    <w:rsid w:val="00E859B6"/>
    <w:rsid w:val="00E9082C"/>
    <w:rsid w:val="00EA66C9"/>
    <w:rsid w:val="00EB5D32"/>
    <w:rsid w:val="00EC4A25"/>
    <w:rsid w:val="00ED2E31"/>
    <w:rsid w:val="00EE5B18"/>
    <w:rsid w:val="00EF612C"/>
    <w:rsid w:val="00F021CE"/>
    <w:rsid w:val="00F025A2"/>
    <w:rsid w:val="00F036E9"/>
    <w:rsid w:val="00F07388"/>
    <w:rsid w:val="00F2026E"/>
    <w:rsid w:val="00F2210A"/>
    <w:rsid w:val="00F26A6B"/>
    <w:rsid w:val="00F31372"/>
    <w:rsid w:val="00F32DC5"/>
    <w:rsid w:val="00F351F3"/>
    <w:rsid w:val="00F37743"/>
    <w:rsid w:val="00F42493"/>
    <w:rsid w:val="00F52AF8"/>
    <w:rsid w:val="00F54A3D"/>
    <w:rsid w:val="00F54CB0"/>
    <w:rsid w:val="00F579CD"/>
    <w:rsid w:val="00F653B8"/>
    <w:rsid w:val="00F71B89"/>
    <w:rsid w:val="00F7353C"/>
    <w:rsid w:val="00F76F8F"/>
    <w:rsid w:val="00F84E8F"/>
    <w:rsid w:val="00F861FF"/>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C796CC54-1314-4368-9E59-4C674F4FA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DC31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DC314B"/>
    <w:pPr>
      <w:spacing w:after="0" w:line="259" w:lineRule="auto"/>
      <w:ind w:left="720"/>
      <w:contextualSpacing/>
    </w:pPr>
    <w:rPr>
      <w:rFonts w:asciiTheme="minorHAnsi" w:eastAsiaTheme="minorEastAsia" w:hAnsiTheme="minorHAnsi" w:cstheme="minorBidi"/>
      <w:sz w:val="24"/>
      <w:szCs w:val="24"/>
      <w:lang w:val="fi-FI"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DC314B"/>
    <w:rPr>
      <w:rFonts w:asciiTheme="minorHAnsi" w:eastAsiaTheme="minorEastAsia" w:hAnsiTheme="minorHAnsi" w:cstheme="minorBidi"/>
      <w:sz w:val="24"/>
      <w:szCs w:val="24"/>
      <w:lang w:val="fi-FI" w:eastAsia="zh-CN"/>
    </w:rPr>
  </w:style>
  <w:style w:type="character" w:styleId="CommentReference">
    <w:name w:val="annotation reference"/>
    <w:basedOn w:val="DefaultParagraphFont"/>
    <w:uiPriority w:val="99"/>
    <w:unhideWhenUsed/>
    <w:rsid w:val="00DC314B"/>
    <w:rPr>
      <w:sz w:val="16"/>
      <w:szCs w:val="16"/>
    </w:rPr>
  </w:style>
  <w:style w:type="paragraph" w:styleId="CommentText">
    <w:name w:val="annotation text"/>
    <w:basedOn w:val="Normal"/>
    <w:link w:val="CommentTextChar"/>
    <w:uiPriority w:val="99"/>
    <w:unhideWhenUsed/>
    <w:rsid w:val="00DC314B"/>
    <w:rPr>
      <w:rFonts w:eastAsia="SimSun"/>
    </w:rPr>
  </w:style>
  <w:style w:type="character" w:customStyle="1" w:styleId="CommentTextChar">
    <w:name w:val="Comment Text Char"/>
    <w:basedOn w:val="DefaultParagraphFont"/>
    <w:link w:val="CommentText"/>
    <w:uiPriority w:val="99"/>
    <w:rsid w:val="00DC314B"/>
    <w:rPr>
      <w:rFonts w:eastAsia="SimSun"/>
      <w:lang w:eastAsia="en-US"/>
    </w:rPr>
  </w:style>
  <w:style w:type="paragraph" w:styleId="CommentSubject">
    <w:name w:val="annotation subject"/>
    <w:basedOn w:val="CommentText"/>
    <w:next w:val="CommentText"/>
    <w:link w:val="CommentSubjectChar"/>
    <w:rsid w:val="00EE5B18"/>
    <w:rPr>
      <w:rFonts w:eastAsia="Times New Roman"/>
      <w:b/>
      <w:bCs/>
    </w:rPr>
  </w:style>
  <w:style w:type="character" w:customStyle="1" w:styleId="CommentSubjectChar">
    <w:name w:val="Comment Subject Char"/>
    <w:basedOn w:val="CommentTextChar"/>
    <w:link w:val="CommentSubject"/>
    <w:rsid w:val="00EE5B18"/>
    <w:rPr>
      <w:rFonts w:eastAsia="SimSun"/>
      <w:b/>
      <w:bCs/>
      <w:lang w:eastAsia="en-US"/>
    </w:rPr>
  </w:style>
  <w:style w:type="character" w:styleId="Mention">
    <w:name w:val="Mention"/>
    <w:basedOn w:val="DefaultParagraphFont"/>
    <w:uiPriority w:val="99"/>
    <w:unhideWhenUsed/>
    <w:rsid w:val="004631CA"/>
    <w:rPr>
      <w:color w:val="2B579A"/>
      <w:shd w:val="clear" w:color="auto" w:fill="E1DFDD"/>
    </w:rPr>
  </w:style>
  <w:style w:type="paragraph" w:styleId="Caption">
    <w:name w:val="caption"/>
    <w:basedOn w:val="Normal"/>
    <w:next w:val="Normal"/>
    <w:uiPriority w:val="35"/>
    <w:unhideWhenUsed/>
    <w:qFormat/>
    <w:rsid w:val="004631CA"/>
    <w:pPr>
      <w:spacing w:after="200"/>
    </w:pPr>
    <w:rPr>
      <w:rFonts w:eastAsia="SimSun"/>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9545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5AIRPNAIUNRU-859666464-16056</_dlc_DocId>
    <_dlc_DocIdUrl xmlns="71c5aaf6-e6ce-465b-b873-5148d2a4c105">
      <Url>https://nokia.sharepoint.com/sites/c5g/e2earch/_layouts/15/DocIdRedir.aspx?ID=5AIRPNAIUNRU-859666464-16056</Url>
      <Description>5AIRPNAIUNRU-859666464-16056</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38EBCA-3FCF-434B-8F9F-928F07C3F42C}">
  <ds:schemaRefs>
    <ds:schemaRef ds:uri="http://schemas.openxmlformats.org/officeDocument/2006/bibliography"/>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TotalTime>
  <Pages>7</Pages>
  <Words>3342</Words>
  <Characters>18115</Characters>
  <Application>Microsoft Office Word</Application>
  <DocSecurity>0</DocSecurity>
  <Lines>278</Lines>
  <Paragraphs>156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21301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4</cp:revision>
  <dcterms:created xsi:type="dcterms:W3CDTF">2023-11-03T03:38:00Z</dcterms:created>
  <dcterms:modified xsi:type="dcterms:W3CDTF">2023-11-03T07:43:00Z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a44562ea-8ae9-48e8-9a74-35377daebd15</vt:lpwstr>
  </property>
  <property fmtid="{D5CDD505-2E9C-101B-9397-08002B2CF9AE}" pid="4" name="MediaServiceImageTags">
    <vt:lpwstr/>
  </property>
  <property fmtid="{D5CDD505-2E9C-101B-9397-08002B2CF9AE}" pid="5" name="GrammarlyDocumentId">
    <vt:lpwstr>6735e7990317a2326742125a6612e1a5a9a04e5bc0dab9e9435227eb33b61495</vt:lpwstr>
  </property>
</Properties>
</file>