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A47D7" w14:textId="77777777" w:rsidR="00120DF7" w:rsidRPr="00ED33E8" w:rsidRDefault="00120DF7" w:rsidP="00120DF7">
      <w:pPr>
        <w:pStyle w:val="CH"/>
        <w:rPr>
          <w:lang w:val="en-IL"/>
        </w:rPr>
      </w:pPr>
      <w:bookmarkStart w:id="0" w:name="historyclause"/>
      <w:r w:rsidRPr="00255DB2">
        <w:rPr>
          <w:lang w:val="en-US"/>
        </w:rPr>
        <w:t>3GPP TSG-RAN WG2 Meeting #124</w:t>
      </w:r>
      <w:r w:rsidRPr="00255DB2">
        <w:rPr>
          <w:lang w:val="en-US"/>
        </w:rPr>
        <w:tab/>
      </w:r>
      <w:r>
        <w:rPr>
          <w:lang w:val="en-US"/>
        </w:rPr>
        <w:tab/>
      </w:r>
      <w:r w:rsidRPr="00ED33E8">
        <w:rPr>
          <w:lang w:val="en-US"/>
        </w:rPr>
        <w:t>R2-2312308</w:t>
      </w:r>
    </w:p>
    <w:p w14:paraId="76C2DA9F" w14:textId="77777777" w:rsidR="00120DF7" w:rsidRDefault="00120DF7" w:rsidP="00120DF7">
      <w:pPr>
        <w:pStyle w:val="CH"/>
        <w:rPr>
          <w:lang w:val="en-US"/>
        </w:rPr>
      </w:pPr>
      <w:r w:rsidRPr="00255DB2">
        <w:rPr>
          <w:lang w:val="en-US"/>
        </w:rPr>
        <w:t>Chicago, USA, Nov. 13th – 17th, 2023</w:t>
      </w:r>
    </w:p>
    <w:p w14:paraId="2C49FC99" w14:textId="77777777" w:rsidR="00120DF7" w:rsidRPr="00255DB2" w:rsidRDefault="00120DF7" w:rsidP="00120DF7">
      <w:pPr>
        <w:pStyle w:val="CH"/>
      </w:pPr>
    </w:p>
    <w:p w14:paraId="2D6C56B8" w14:textId="77777777" w:rsidR="00120DF7" w:rsidRPr="007925C6" w:rsidRDefault="00120DF7" w:rsidP="00120DF7">
      <w:pPr>
        <w:pStyle w:val="CH"/>
        <w:rPr>
          <w:b w:val="0"/>
          <w:lang w:val="en-US"/>
        </w:rPr>
      </w:pPr>
      <w:r w:rsidRPr="007925C6">
        <w:rPr>
          <w:lang w:val="en-US"/>
        </w:rPr>
        <w:t>Agenda item:</w:t>
      </w:r>
      <w:r w:rsidRPr="007925C6">
        <w:rPr>
          <w:lang w:val="en-US"/>
        </w:rPr>
        <w:tab/>
      </w:r>
      <w:r>
        <w:rPr>
          <w:lang w:val="en-US"/>
        </w:rPr>
        <w:t>7.13.4</w:t>
      </w:r>
    </w:p>
    <w:p w14:paraId="3047A238" w14:textId="77777777" w:rsidR="00120DF7" w:rsidRPr="007925C6" w:rsidRDefault="00120DF7" w:rsidP="00120DF7">
      <w:pPr>
        <w:pStyle w:val="CH"/>
        <w:rPr>
          <w:b w:val="0"/>
          <w:lang w:val="en-US" w:eastAsia="zh-CN"/>
        </w:rPr>
      </w:pPr>
      <w:r w:rsidRPr="007925C6">
        <w:rPr>
          <w:lang w:val="en-US"/>
        </w:rPr>
        <w:t>Source:</w:t>
      </w:r>
      <w:r w:rsidRPr="007925C6">
        <w:rPr>
          <w:lang w:val="en-US"/>
        </w:rPr>
        <w:tab/>
        <w:t>Apple</w:t>
      </w:r>
    </w:p>
    <w:p w14:paraId="4726FBDC" w14:textId="77777777" w:rsidR="00120DF7" w:rsidRPr="007925C6" w:rsidRDefault="00120DF7" w:rsidP="00120DF7">
      <w:pPr>
        <w:pStyle w:val="CH"/>
        <w:ind w:left="2260" w:hanging="2260"/>
        <w:rPr>
          <w:lang w:val="en-US" w:eastAsia="zh-CN"/>
        </w:rPr>
      </w:pPr>
      <w:r w:rsidRPr="007925C6">
        <w:rPr>
          <w:lang w:val="en-US"/>
        </w:rPr>
        <w:t>Title:</w:t>
      </w:r>
      <w:r w:rsidRPr="007925C6">
        <w:rPr>
          <w:lang w:val="en-US"/>
        </w:rPr>
        <w:tab/>
      </w:r>
      <w:r>
        <w:rPr>
          <w:lang w:val="en-US"/>
        </w:rPr>
        <w:t xml:space="preserve">On SPR availability indication </w:t>
      </w:r>
    </w:p>
    <w:p w14:paraId="3D9905A2" w14:textId="77777777" w:rsidR="00120DF7" w:rsidRPr="007925C6" w:rsidRDefault="00120DF7" w:rsidP="00120DF7">
      <w:pPr>
        <w:pStyle w:val="CH"/>
        <w:rPr>
          <w:lang w:val="en-US"/>
        </w:rPr>
      </w:pPr>
      <w:r w:rsidRPr="007925C6">
        <w:rPr>
          <w:lang w:val="en-US"/>
        </w:rPr>
        <w:t>Document for:</w:t>
      </w:r>
      <w:r w:rsidRPr="007925C6">
        <w:rPr>
          <w:lang w:val="en-US"/>
        </w:rPr>
        <w:tab/>
        <w:t>Discussion and Decision</w:t>
      </w:r>
    </w:p>
    <w:p w14:paraId="3279E21B" w14:textId="77777777" w:rsidR="00120DF7" w:rsidRPr="007925C6" w:rsidRDefault="00120DF7" w:rsidP="00120DF7">
      <w:pPr>
        <w:pStyle w:val="B3"/>
        <w:rPr>
          <w:lang w:val="en-US"/>
        </w:rPr>
      </w:pPr>
    </w:p>
    <w:p w14:paraId="08E3FFE0" w14:textId="77777777" w:rsidR="00120DF7" w:rsidRPr="007925C6" w:rsidRDefault="00120DF7" w:rsidP="00120DF7">
      <w:pPr>
        <w:pStyle w:val="Heading1"/>
        <w:rPr>
          <w:lang w:val="en-US"/>
        </w:rPr>
      </w:pPr>
      <w:r w:rsidRPr="007925C6">
        <w:rPr>
          <w:lang w:val="en-US"/>
        </w:rPr>
        <w:t>1</w:t>
      </w:r>
      <w:r w:rsidRPr="007925C6">
        <w:rPr>
          <w:lang w:val="en-US"/>
        </w:rPr>
        <w:tab/>
        <w:t xml:space="preserve">Introduction </w:t>
      </w:r>
    </w:p>
    <w:p w14:paraId="2DDBF497" w14:textId="77777777" w:rsidR="00120DF7" w:rsidRDefault="00120DF7" w:rsidP="00120DF7">
      <w:pPr>
        <w:rPr>
          <w:lang w:eastAsia="zh-CN"/>
        </w:rPr>
      </w:pPr>
      <w:r>
        <w:rPr>
          <w:lang w:eastAsia="zh-CN"/>
        </w:rPr>
        <w:t>In RAN#123bis the following agreement on SPR availability indication has been taken</w:t>
      </w:r>
    </w:p>
    <w:p w14:paraId="6A4311E1" w14:textId="77777777" w:rsidR="00120DF7" w:rsidRDefault="00120DF7" w:rsidP="00120DF7">
      <w:pPr>
        <w:pStyle w:val="Doc-text2"/>
        <w:pBdr>
          <w:top w:val="single" w:sz="4" w:space="1" w:color="auto"/>
          <w:left w:val="single" w:sz="4" w:space="4" w:color="auto"/>
          <w:bottom w:val="single" w:sz="4" w:space="1" w:color="auto"/>
          <w:right w:val="single" w:sz="4" w:space="4" w:color="auto"/>
        </w:pBdr>
      </w:pPr>
      <w:r>
        <w:t>Agreements:</w:t>
      </w:r>
    </w:p>
    <w:p w14:paraId="2A11DA74" w14:textId="77777777" w:rsidR="00120DF7" w:rsidRDefault="00120DF7" w:rsidP="00120DF7">
      <w:pPr>
        <w:pStyle w:val="Doc-text2"/>
        <w:pBdr>
          <w:top w:val="single" w:sz="4" w:space="1" w:color="auto"/>
          <w:left w:val="single" w:sz="4" w:space="4" w:color="auto"/>
          <w:bottom w:val="single" w:sz="4" w:space="1" w:color="auto"/>
          <w:right w:val="single" w:sz="4" w:space="4" w:color="auto"/>
        </w:pBdr>
      </w:pPr>
      <w:r>
        <w:t>1</w:t>
      </w:r>
      <w:r>
        <w:tab/>
        <w:t xml:space="preserve">The target C-RNTI is included in inter-RAT SHR to enable the correlation of the SHR and RLF report. </w:t>
      </w:r>
    </w:p>
    <w:p w14:paraId="09F65555" w14:textId="77777777" w:rsidR="00120DF7" w:rsidRDefault="00120DF7" w:rsidP="00120DF7">
      <w:pPr>
        <w:pStyle w:val="Doc-text2"/>
        <w:pBdr>
          <w:top w:val="single" w:sz="4" w:space="1" w:color="auto"/>
          <w:left w:val="single" w:sz="4" w:space="4" w:color="auto"/>
          <w:bottom w:val="single" w:sz="4" w:space="1" w:color="auto"/>
          <w:right w:val="single" w:sz="4" w:space="4" w:color="auto"/>
        </w:pBdr>
      </w:pPr>
      <w:r>
        <w:t>2</w:t>
      </w:r>
      <w:r>
        <w:tab/>
        <w:t xml:space="preserve">UE should be allowed to store two SPR configurations configured by MN and SN respectively. UE only monitors the SPR configuration configured by the node that initiated the </w:t>
      </w:r>
      <w:proofErr w:type="spellStart"/>
      <w:r>
        <w:t>PSCell</w:t>
      </w:r>
      <w:proofErr w:type="spellEnd"/>
      <w:r>
        <w:t xml:space="preserve"> change.</w:t>
      </w:r>
    </w:p>
    <w:p w14:paraId="4A345267" w14:textId="77777777" w:rsidR="00120DF7" w:rsidRDefault="00120DF7" w:rsidP="00120DF7">
      <w:pPr>
        <w:pStyle w:val="Doc-text2"/>
        <w:pBdr>
          <w:top w:val="single" w:sz="4" w:space="1" w:color="auto"/>
          <w:left w:val="single" w:sz="4" w:space="4" w:color="auto"/>
          <w:bottom w:val="single" w:sz="4" w:space="1" w:color="auto"/>
          <w:right w:val="single" w:sz="4" w:space="4" w:color="auto"/>
        </w:pBdr>
      </w:pPr>
      <w:r>
        <w:t>3</w:t>
      </w:r>
      <w:r>
        <w:tab/>
        <w:t xml:space="preserve">The NW indicates that a </w:t>
      </w:r>
      <w:proofErr w:type="spellStart"/>
      <w:r>
        <w:t>PSCell</w:t>
      </w:r>
      <w:proofErr w:type="spellEnd"/>
      <w:r>
        <w:t xml:space="preserve"> change is MN-initiated or SN-initiated if UE support SPR, and UE includes this information in the SPR.</w:t>
      </w:r>
    </w:p>
    <w:p w14:paraId="544A1FEB" w14:textId="77777777" w:rsidR="00120DF7" w:rsidRDefault="00120DF7" w:rsidP="00120DF7">
      <w:pPr>
        <w:pStyle w:val="Doc-text2"/>
        <w:pBdr>
          <w:top w:val="single" w:sz="4" w:space="1" w:color="auto"/>
          <w:left w:val="single" w:sz="4" w:space="4" w:color="auto"/>
          <w:bottom w:val="single" w:sz="4" w:space="1" w:color="auto"/>
          <w:right w:val="single" w:sz="4" w:space="4" w:color="auto"/>
        </w:pBdr>
      </w:pPr>
      <w:r w:rsidRPr="00255DB2">
        <w:rPr>
          <w:highlight w:val="yellow"/>
        </w:rPr>
        <w:t>4</w:t>
      </w:r>
      <w:r w:rsidRPr="00255DB2">
        <w:rPr>
          <w:highlight w:val="yellow"/>
        </w:rPr>
        <w:tab/>
        <w:t xml:space="preserve">Mechanism (other than indicating it in </w:t>
      </w:r>
      <w:proofErr w:type="spellStart"/>
      <w:r w:rsidRPr="00255DB2">
        <w:rPr>
          <w:highlight w:val="yellow"/>
        </w:rPr>
        <w:t>RRCReconfigurationComplete</w:t>
      </w:r>
      <w:proofErr w:type="spellEnd"/>
      <w:r w:rsidRPr="00255DB2">
        <w:rPr>
          <w:highlight w:val="yellow"/>
        </w:rPr>
        <w:t xml:space="preserve"> message) to indicate SPR availability to the network is needed for SRB1.</w:t>
      </w:r>
    </w:p>
    <w:p w14:paraId="3AB766CB" w14:textId="77777777" w:rsidR="00120DF7" w:rsidRDefault="00120DF7" w:rsidP="00120DF7">
      <w:pPr>
        <w:rPr>
          <w:lang w:eastAsia="zh-CN"/>
        </w:rPr>
      </w:pPr>
    </w:p>
    <w:p w14:paraId="28EF4D38" w14:textId="752AD50E" w:rsidR="00120DF7" w:rsidRPr="008719DA" w:rsidRDefault="00120DF7" w:rsidP="00120DF7">
      <w:pPr>
        <w:rPr>
          <w:lang w:eastAsia="zh-CN"/>
        </w:rPr>
      </w:pPr>
      <w:r>
        <w:rPr>
          <w:lang w:eastAsia="zh-CN"/>
        </w:rPr>
        <w:t xml:space="preserve">In the present contribution we discuss the issue in detail and propose </w:t>
      </w:r>
      <w:r w:rsidR="008E3CB8">
        <w:rPr>
          <w:lang w:eastAsia="zh-CN"/>
        </w:rPr>
        <w:t>several</w:t>
      </w:r>
      <w:r>
        <w:rPr>
          <w:lang w:eastAsia="zh-CN"/>
        </w:rPr>
        <w:t xml:space="preserve"> ways to address it.</w:t>
      </w:r>
    </w:p>
    <w:p w14:paraId="7F721E27" w14:textId="77777777" w:rsidR="00120DF7" w:rsidRPr="007925C6" w:rsidRDefault="00120DF7" w:rsidP="00120DF7">
      <w:pPr>
        <w:pStyle w:val="Heading1"/>
        <w:rPr>
          <w:lang w:val="en-US"/>
        </w:rPr>
      </w:pPr>
      <w:r w:rsidRPr="007925C6">
        <w:rPr>
          <w:lang w:val="en-US"/>
        </w:rPr>
        <w:t xml:space="preserve">2   </w:t>
      </w:r>
      <w:r w:rsidRPr="007925C6">
        <w:rPr>
          <w:lang w:val="en-US"/>
        </w:rPr>
        <w:tab/>
        <w:t>Discussion</w:t>
      </w:r>
    </w:p>
    <w:p w14:paraId="57FBC2F1" w14:textId="77777777" w:rsidR="00120DF7" w:rsidRDefault="00120DF7" w:rsidP="00120DF7">
      <w:pPr>
        <w:rPr>
          <w:lang w:val="en-US"/>
        </w:rPr>
      </w:pPr>
      <w:r>
        <w:rPr>
          <w:lang w:val="en-US"/>
        </w:rPr>
        <w:t xml:space="preserve">Here is a quick recap of the issue, as explained in [1] and originally brought up in [2]. </w:t>
      </w:r>
    </w:p>
    <w:p w14:paraId="70726C4B" w14:textId="77777777" w:rsidR="00120DF7" w:rsidRDefault="00120DF7" w:rsidP="00120DF7">
      <w:pPr>
        <w:rPr>
          <w:lang w:val="en-US"/>
        </w:rPr>
      </w:pPr>
      <w:r>
        <w:rPr>
          <w:lang w:val="en-US"/>
        </w:rPr>
        <w:t xml:space="preserve">In SN change procedure (see, for example, the call flow below from TS 37.340), if the legacy SON availability indication is used for SPR, such indication would be included in </w:t>
      </w:r>
      <w:proofErr w:type="spellStart"/>
      <w:r>
        <w:rPr>
          <w:lang w:val="en-US"/>
        </w:rPr>
        <w:t>RRCReconfigurationComplete</w:t>
      </w:r>
      <w:proofErr w:type="spellEnd"/>
      <w:r>
        <w:rPr>
          <w:lang w:val="en-US"/>
        </w:rPr>
        <w:t xml:space="preserve">. </w:t>
      </w:r>
    </w:p>
    <w:p w14:paraId="70B163CB" w14:textId="77777777" w:rsidR="00120DF7" w:rsidRDefault="00120DF7" w:rsidP="00120DF7">
      <w:pPr>
        <w:rPr>
          <w:lang w:val="en-US"/>
        </w:rPr>
      </w:pPr>
    </w:p>
    <w:p w14:paraId="604E47F9" w14:textId="77777777" w:rsidR="00120DF7" w:rsidRDefault="00120DF7" w:rsidP="00120DF7">
      <w:pPr>
        <w:rPr>
          <w:lang w:val="en-US"/>
        </w:rPr>
      </w:pPr>
      <w:r>
        <w:rPr>
          <w:noProof/>
          <w:lang w:val="en-US"/>
        </w:rPr>
        <w:lastRenderedPageBreak/>
        <w:drawing>
          <wp:inline distT="0" distB="0" distL="0" distR="0" wp14:anchorId="5E5F00B6" wp14:editId="7DAB25F2">
            <wp:extent cx="6122035" cy="4253230"/>
            <wp:effectExtent l="0" t="0" r="0" b="1270"/>
            <wp:docPr id="7688627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62704" name="Picture 768862704"/>
                    <pic:cNvPicPr/>
                  </pic:nvPicPr>
                  <pic:blipFill>
                    <a:blip r:embed="rId9">
                      <a:extLst>
                        <a:ext uri="{28A0092B-C50C-407E-A947-70E740481C1C}">
                          <a14:useLocalDpi xmlns:a14="http://schemas.microsoft.com/office/drawing/2010/main" val="0"/>
                        </a:ext>
                      </a:extLst>
                    </a:blip>
                    <a:stretch>
                      <a:fillRect/>
                    </a:stretch>
                  </pic:blipFill>
                  <pic:spPr>
                    <a:xfrm>
                      <a:off x="0" y="0"/>
                      <a:ext cx="6122035" cy="4253230"/>
                    </a:xfrm>
                    <a:prstGeom prst="rect">
                      <a:avLst/>
                    </a:prstGeom>
                  </pic:spPr>
                </pic:pic>
              </a:graphicData>
            </a:graphic>
          </wp:inline>
        </w:drawing>
      </w:r>
    </w:p>
    <w:p w14:paraId="362C0495" w14:textId="119A3051" w:rsidR="00120DF7" w:rsidRDefault="00120DF7" w:rsidP="00120DF7">
      <w:pPr>
        <w:rPr>
          <w:lang w:val="en-US"/>
        </w:rPr>
      </w:pPr>
      <w:r>
        <w:rPr>
          <w:lang w:val="en-US"/>
        </w:rPr>
        <w:t>According to the running CR [3], the UE “</w:t>
      </w:r>
      <w:r w:rsidRPr="007B3A9C">
        <w:rPr>
          <w:i/>
          <w:iCs/>
          <w:lang w:val="en-US"/>
        </w:rPr>
        <w:t xml:space="preserve">performs the actions for the successful </w:t>
      </w:r>
      <w:proofErr w:type="spellStart"/>
      <w:r w:rsidRPr="007B3A9C">
        <w:rPr>
          <w:i/>
          <w:iCs/>
          <w:lang w:val="en-US"/>
        </w:rPr>
        <w:t>PSCell</w:t>
      </w:r>
      <w:proofErr w:type="spellEnd"/>
      <w:r w:rsidRPr="007B3A9C">
        <w:rPr>
          <w:i/>
          <w:iCs/>
          <w:lang w:val="en-US"/>
        </w:rPr>
        <w:t xml:space="preserve"> change report determination as specified in clause 5.7.10.X, upon successfully completing the </w:t>
      </w:r>
      <w:proofErr w:type="gramStart"/>
      <w:r w:rsidRPr="007B3A9C">
        <w:rPr>
          <w:i/>
          <w:iCs/>
          <w:lang w:val="en-US"/>
        </w:rPr>
        <w:t>Random Access</w:t>
      </w:r>
      <w:proofErr w:type="gramEnd"/>
      <w:r w:rsidRPr="007B3A9C">
        <w:rPr>
          <w:i/>
          <w:iCs/>
          <w:lang w:val="en-US"/>
        </w:rPr>
        <w:t xml:space="preserve"> procedure triggered for the </w:t>
      </w:r>
      <w:proofErr w:type="spellStart"/>
      <w:r w:rsidRPr="007B3A9C">
        <w:rPr>
          <w:i/>
          <w:iCs/>
          <w:lang w:val="en-US"/>
        </w:rPr>
        <w:t>reconfigurationWithSync</w:t>
      </w:r>
      <w:proofErr w:type="spellEnd"/>
      <w:r w:rsidRPr="007B3A9C">
        <w:rPr>
          <w:i/>
          <w:iCs/>
          <w:lang w:val="en-US"/>
        </w:rPr>
        <w:t xml:space="preserve"> in </w:t>
      </w:r>
      <w:proofErr w:type="spellStart"/>
      <w:r w:rsidRPr="007B3A9C">
        <w:rPr>
          <w:i/>
          <w:iCs/>
          <w:lang w:val="en-US"/>
        </w:rPr>
        <w:t>spCellConfig</w:t>
      </w:r>
      <w:proofErr w:type="spellEnd"/>
      <w:r w:rsidRPr="007B3A9C">
        <w:rPr>
          <w:i/>
          <w:iCs/>
          <w:lang w:val="en-US"/>
        </w:rPr>
        <w:t xml:space="preserve"> of the SCG</w:t>
      </w:r>
      <w:r>
        <w:rPr>
          <w:lang w:val="en-US"/>
        </w:rPr>
        <w:t>”. That is, the actions for SPR generation would be performed after step 7 of the SN change procedure as defined in TR 37.340, whereas the UE is expected to provide the SPR availability indication in step 5</w:t>
      </w:r>
      <w:r w:rsidR="00383127">
        <w:rPr>
          <w:lang w:val="en-US"/>
        </w:rPr>
        <w:t>.</w:t>
      </w:r>
    </w:p>
    <w:p w14:paraId="51B89BE6" w14:textId="77777777" w:rsidR="00120DF7" w:rsidRPr="007B3A9C" w:rsidRDefault="00120DF7" w:rsidP="00120DF7">
      <w:pPr>
        <w:rPr>
          <w:b/>
          <w:bCs/>
          <w:lang w:val="en-US"/>
        </w:rPr>
      </w:pPr>
      <w:r w:rsidRPr="007B3A9C">
        <w:rPr>
          <w:b/>
          <w:bCs/>
          <w:lang w:val="en-US"/>
        </w:rPr>
        <w:t>Observation 1: the actions for SPR generations would be performed after step 7 of the SN change procedure as defined in TR 37.340, whereas the UE is expected to provide the SPR availability indication in step 5.</w:t>
      </w:r>
    </w:p>
    <w:p w14:paraId="3241A33E" w14:textId="77777777" w:rsidR="00120DF7" w:rsidRDefault="00120DF7" w:rsidP="00120DF7">
      <w:pPr>
        <w:rPr>
          <w:lang w:val="en-US"/>
        </w:rPr>
      </w:pPr>
      <w:r>
        <w:rPr>
          <w:lang w:val="en-US"/>
        </w:rPr>
        <w:t xml:space="preserve">Clearly, the legacy SON report availability mechanism wouldn’t work (at least not without modifications) for SPR. </w:t>
      </w:r>
    </w:p>
    <w:p w14:paraId="1B204F74" w14:textId="77777777" w:rsidR="00120DF7" w:rsidRPr="005B6065" w:rsidRDefault="00120DF7" w:rsidP="00120DF7">
      <w:pPr>
        <w:rPr>
          <w:b/>
          <w:bCs/>
          <w:lang w:val="en-US"/>
        </w:rPr>
      </w:pPr>
      <w:r w:rsidRPr="005B6065">
        <w:rPr>
          <w:b/>
          <w:bCs/>
          <w:lang w:val="en-US"/>
        </w:rPr>
        <w:t>Observation 2: legacy SON report availability mechanism wouldn’t work (at least not without modifications) for SPR.</w:t>
      </w:r>
    </w:p>
    <w:p w14:paraId="4194C505" w14:textId="4CF7156F" w:rsidR="00120DF7" w:rsidRDefault="00120DF7" w:rsidP="00120DF7">
      <w:pPr>
        <w:rPr>
          <w:lang w:val="en-US"/>
        </w:rPr>
      </w:pPr>
      <w:r>
        <w:rPr>
          <w:lang w:val="en-US"/>
        </w:rPr>
        <w:t xml:space="preserve">In legacy SON, it is very convenient that most, if not all, SON events trigger RRC message exchange and therefore SON report availability indication can be piggybacked on </w:t>
      </w:r>
      <w:proofErr w:type="spellStart"/>
      <w:r w:rsidRPr="007B3A9C">
        <w:rPr>
          <w:lang w:val="en-US"/>
        </w:rPr>
        <w:t>RRCReestablishmentComplete</w:t>
      </w:r>
      <w:proofErr w:type="spellEnd"/>
      <w:r w:rsidR="00383127">
        <w:rPr>
          <w:lang w:val="en-US"/>
        </w:rPr>
        <w:t xml:space="preserve">, or </w:t>
      </w:r>
      <w:proofErr w:type="spellStart"/>
      <w:r w:rsidRPr="007B3A9C">
        <w:rPr>
          <w:lang w:val="en-US"/>
        </w:rPr>
        <w:t>RRCReconfigurationComplete</w:t>
      </w:r>
      <w:proofErr w:type="spellEnd"/>
      <w:r w:rsidR="00383127">
        <w:rPr>
          <w:lang w:val="en-US"/>
        </w:rPr>
        <w:t xml:space="preserve">, or </w:t>
      </w:r>
      <w:proofErr w:type="spellStart"/>
      <w:r w:rsidRPr="007B3A9C">
        <w:rPr>
          <w:lang w:val="en-US"/>
        </w:rPr>
        <w:t>RRCResumeComplete</w:t>
      </w:r>
      <w:proofErr w:type="spellEnd"/>
      <w:r w:rsidR="00383127">
        <w:rPr>
          <w:lang w:val="en-US"/>
        </w:rPr>
        <w:t xml:space="preserve"> or </w:t>
      </w:r>
      <w:proofErr w:type="spellStart"/>
      <w:r w:rsidRPr="007B3A9C">
        <w:rPr>
          <w:lang w:val="en-US"/>
        </w:rPr>
        <w:t>RRCSetupComplete</w:t>
      </w:r>
      <w:proofErr w:type="spellEnd"/>
      <w:r>
        <w:rPr>
          <w:lang w:val="en-US"/>
        </w:rPr>
        <w:t>. This, however, is not the case for SPR.</w:t>
      </w:r>
    </w:p>
    <w:p w14:paraId="03572D48" w14:textId="5CC9848B" w:rsidR="00120DF7" w:rsidRDefault="00120DF7" w:rsidP="00120DF7">
      <w:pPr>
        <w:rPr>
          <w:lang w:val="en-US"/>
        </w:rPr>
      </w:pPr>
      <w:r>
        <w:rPr>
          <w:lang w:val="en-US"/>
        </w:rPr>
        <w:t>A naïve approach would be to extend one of the existing RRC messages the UE can send to the network anytime (</w:t>
      </w:r>
      <w:proofErr w:type="gramStart"/>
      <w:r>
        <w:rPr>
          <w:lang w:val="en-US"/>
        </w:rPr>
        <w:t>e.g.</w:t>
      </w:r>
      <w:proofErr w:type="gramEnd"/>
      <w:r>
        <w:rPr>
          <w:lang w:val="en-US"/>
        </w:rPr>
        <w:t xml:space="preserve"> </w:t>
      </w:r>
      <w:proofErr w:type="spellStart"/>
      <w:r w:rsidRPr="007B3A9C">
        <w:rPr>
          <w:lang w:val="en-US"/>
        </w:rPr>
        <w:t>SCGFailureInformation</w:t>
      </w:r>
      <w:proofErr w:type="spellEnd"/>
      <w:r>
        <w:rPr>
          <w:lang w:val="en-US"/>
        </w:rPr>
        <w:t xml:space="preserve"> or </w:t>
      </w:r>
      <w:proofErr w:type="spellStart"/>
      <w:r w:rsidRPr="007B3A9C">
        <w:rPr>
          <w:lang w:val="en-US"/>
        </w:rPr>
        <w:t>UEAssistanceInformation</w:t>
      </w:r>
      <w:proofErr w:type="spellEnd"/>
      <w:r>
        <w:rPr>
          <w:lang w:val="en-US"/>
        </w:rPr>
        <w:t xml:space="preserve">) to carry the SPR availability indication. </w:t>
      </w:r>
      <w:r w:rsidRPr="007B3A9C">
        <w:rPr>
          <w:lang w:val="en-US"/>
        </w:rPr>
        <w:t>Assuming the UE-</w:t>
      </w:r>
      <w:proofErr w:type="spellStart"/>
      <w:r w:rsidRPr="007B3A9C">
        <w:rPr>
          <w:lang w:val="en-US"/>
        </w:rPr>
        <w:t>MeasurementsAvailable</w:t>
      </w:r>
      <w:proofErr w:type="spellEnd"/>
      <w:r w:rsidRPr="007B3A9C">
        <w:rPr>
          <w:lang w:val="en-US"/>
        </w:rPr>
        <w:t xml:space="preserve"> IE is extended to include SPR availability information</w:t>
      </w:r>
      <w:r w:rsidR="00383127">
        <w:rPr>
          <w:lang w:val="en-US"/>
        </w:rPr>
        <w:t xml:space="preserve"> (which has been agreed already)</w:t>
      </w:r>
      <w:r w:rsidRPr="007B3A9C">
        <w:rPr>
          <w:lang w:val="en-US"/>
        </w:rPr>
        <w:t xml:space="preserve">, </w:t>
      </w:r>
      <w:proofErr w:type="spellStart"/>
      <w:r w:rsidRPr="007B3A9C">
        <w:rPr>
          <w:lang w:val="en-US"/>
        </w:rPr>
        <w:t>SCGFailureInformation</w:t>
      </w:r>
      <w:proofErr w:type="spellEnd"/>
      <w:r>
        <w:rPr>
          <w:lang w:val="en-US"/>
        </w:rPr>
        <w:t xml:space="preserve"> (or any other message chosen)</w:t>
      </w:r>
      <w:r w:rsidRPr="007B3A9C">
        <w:rPr>
          <w:lang w:val="en-US"/>
        </w:rPr>
        <w:t xml:space="preserve"> can be extended to include UE-</w:t>
      </w:r>
      <w:proofErr w:type="spellStart"/>
      <w:r w:rsidRPr="007B3A9C">
        <w:rPr>
          <w:lang w:val="en-US"/>
        </w:rPr>
        <w:t>MeasurementsAvailable</w:t>
      </w:r>
      <w:proofErr w:type="spellEnd"/>
      <w:r>
        <w:rPr>
          <w:lang w:val="en-US"/>
        </w:rPr>
        <w:t xml:space="preserve">. Alternatively, a new IE can be defined specifically for SPR availability, which in turn would be added to an extended version of </w:t>
      </w:r>
      <w:proofErr w:type="spellStart"/>
      <w:r w:rsidRPr="007B3A9C">
        <w:rPr>
          <w:lang w:val="en-US"/>
        </w:rPr>
        <w:t>SCGFailureInformation</w:t>
      </w:r>
      <w:proofErr w:type="spellEnd"/>
      <w:r>
        <w:rPr>
          <w:lang w:val="en-US"/>
        </w:rPr>
        <w:t xml:space="preserve"> (or any other message chosen). And yet another alternative would be to define a new RRC message specifically for this purpose</w:t>
      </w:r>
      <w:r w:rsidR="00383127">
        <w:rPr>
          <w:lang w:val="en-US"/>
        </w:rPr>
        <w:t xml:space="preserve"> (which is clearly an overkill)</w:t>
      </w:r>
      <w:r>
        <w:rPr>
          <w:lang w:val="en-US"/>
        </w:rPr>
        <w:t xml:space="preserve">. </w:t>
      </w:r>
    </w:p>
    <w:p w14:paraId="4270DC2D" w14:textId="77777777" w:rsidR="00120DF7" w:rsidRDefault="00120DF7" w:rsidP="00120DF7">
      <w:pPr>
        <w:rPr>
          <w:lang w:val="en-US"/>
        </w:rPr>
      </w:pPr>
      <w:r>
        <w:rPr>
          <w:lang w:val="en-US"/>
        </w:rPr>
        <w:t xml:space="preserve">Among the existing RRC messages which could be extended </w:t>
      </w:r>
      <w:proofErr w:type="spellStart"/>
      <w:r w:rsidRPr="007B3A9C">
        <w:rPr>
          <w:lang w:val="en-US"/>
        </w:rPr>
        <w:t>SCGFailureInformation</w:t>
      </w:r>
      <w:proofErr w:type="spellEnd"/>
      <w:r>
        <w:rPr>
          <w:lang w:val="en-US"/>
        </w:rPr>
        <w:t xml:space="preserve"> seems to be the most appropriate, however of course other messages can also be considered. </w:t>
      </w:r>
    </w:p>
    <w:p w14:paraId="7EBB8CF3" w14:textId="77777777" w:rsidR="00120DF7" w:rsidRPr="005B6065" w:rsidRDefault="00120DF7" w:rsidP="00120DF7">
      <w:pPr>
        <w:rPr>
          <w:b/>
          <w:bCs/>
          <w:lang w:val="en-US"/>
        </w:rPr>
      </w:pPr>
      <w:r w:rsidRPr="005B6065">
        <w:rPr>
          <w:b/>
          <w:bCs/>
          <w:lang w:val="en-US"/>
        </w:rPr>
        <w:t xml:space="preserve">Observation 3: if we are to extend an existing RRC message to carry the SPR availability indication, </w:t>
      </w:r>
      <w:proofErr w:type="spellStart"/>
      <w:r w:rsidRPr="005B6065">
        <w:rPr>
          <w:b/>
          <w:bCs/>
          <w:lang w:val="en-US"/>
        </w:rPr>
        <w:t>SCGFailureInformation</w:t>
      </w:r>
      <w:proofErr w:type="spellEnd"/>
      <w:r w:rsidRPr="005B6065">
        <w:rPr>
          <w:b/>
          <w:bCs/>
          <w:lang w:val="en-US"/>
        </w:rPr>
        <w:t xml:space="preserve"> seems to be the most appropriate, however of course other messages can also be considered.</w:t>
      </w:r>
    </w:p>
    <w:p w14:paraId="7C1B47FA" w14:textId="77777777" w:rsidR="00120DF7" w:rsidRDefault="00120DF7" w:rsidP="00120DF7">
      <w:pPr>
        <w:rPr>
          <w:lang w:val="en-US"/>
        </w:rPr>
      </w:pPr>
      <w:r>
        <w:rPr>
          <w:lang w:val="en-US"/>
        </w:rPr>
        <w:lastRenderedPageBreak/>
        <w:t>The table below summarizes these “naïve” approaches to solve the issue.</w:t>
      </w:r>
    </w:p>
    <w:tbl>
      <w:tblPr>
        <w:tblStyle w:val="TableGrid"/>
        <w:tblW w:w="0" w:type="auto"/>
        <w:tblLook w:val="04A0" w:firstRow="1" w:lastRow="0" w:firstColumn="1" w:lastColumn="0" w:noHBand="0" w:noVBand="1"/>
      </w:tblPr>
      <w:tblGrid>
        <w:gridCol w:w="4815"/>
        <w:gridCol w:w="4816"/>
      </w:tblGrid>
      <w:tr w:rsidR="00120DF7" w14:paraId="1D6641D2" w14:textId="77777777" w:rsidTr="004F0BF5">
        <w:tc>
          <w:tcPr>
            <w:tcW w:w="4815" w:type="dxa"/>
          </w:tcPr>
          <w:p w14:paraId="3DA52BD8" w14:textId="0A67DB57" w:rsidR="00120DF7" w:rsidRPr="00D935A9" w:rsidRDefault="00120DF7" w:rsidP="004F0BF5">
            <w:pPr>
              <w:rPr>
                <w:b/>
                <w:bCs/>
                <w:lang w:val="en-US"/>
              </w:rPr>
            </w:pPr>
            <w:r w:rsidRPr="00D935A9">
              <w:rPr>
                <w:b/>
                <w:bCs/>
                <w:lang w:val="en-US"/>
              </w:rPr>
              <w:t>RRC message</w:t>
            </w:r>
            <w:r w:rsidR="00383127">
              <w:rPr>
                <w:b/>
                <w:bCs/>
                <w:lang w:val="en-US"/>
              </w:rPr>
              <w:t xml:space="preserve"> enhancements</w:t>
            </w:r>
          </w:p>
        </w:tc>
        <w:tc>
          <w:tcPr>
            <w:tcW w:w="4816" w:type="dxa"/>
          </w:tcPr>
          <w:p w14:paraId="048FD836" w14:textId="6E057038" w:rsidR="00120DF7" w:rsidRPr="00D935A9" w:rsidRDefault="00120DF7" w:rsidP="004F0BF5">
            <w:pPr>
              <w:rPr>
                <w:b/>
                <w:bCs/>
                <w:lang w:val="en-US"/>
              </w:rPr>
            </w:pPr>
            <w:r w:rsidRPr="00D935A9">
              <w:rPr>
                <w:b/>
                <w:bCs/>
                <w:lang w:val="en-US"/>
              </w:rPr>
              <w:t>IE</w:t>
            </w:r>
            <w:r w:rsidR="00383127">
              <w:rPr>
                <w:b/>
                <w:bCs/>
                <w:lang w:val="en-US"/>
              </w:rPr>
              <w:t xml:space="preserve"> enhancements</w:t>
            </w:r>
          </w:p>
        </w:tc>
      </w:tr>
      <w:tr w:rsidR="00120DF7" w14:paraId="024DF7A0" w14:textId="77777777" w:rsidTr="004F0BF5">
        <w:tc>
          <w:tcPr>
            <w:tcW w:w="4815" w:type="dxa"/>
          </w:tcPr>
          <w:p w14:paraId="76F7E396" w14:textId="77777777" w:rsidR="00120DF7" w:rsidRDefault="00120DF7" w:rsidP="004F0BF5">
            <w:pPr>
              <w:rPr>
                <w:lang w:val="en-US"/>
              </w:rPr>
            </w:pPr>
            <w:r>
              <w:rPr>
                <w:lang w:val="en-US"/>
              </w:rPr>
              <w:t xml:space="preserve">Extend an existing message </w:t>
            </w:r>
            <w:proofErr w:type="gramStart"/>
            <w:r>
              <w:rPr>
                <w:lang w:val="en-US"/>
              </w:rPr>
              <w:t>e.g.</w:t>
            </w:r>
            <w:proofErr w:type="gramEnd"/>
            <w:r>
              <w:rPr>
                <w:lang w:val="en-US"/>
              </w:rPr>
              <w:t xml:space="preserve"> </w:t>
            </w:r>
            <w:proofErr w:type="spellStart"/>
            <w:r w:rsidRPr="007B3A9C">
              <w:rPr>
                <w:lang w:val="en-US"/>
              </w:rPr>
              <w:t>SCGFailureInformation</w:t>
            </w:r>
            <w:proofErr w:type="spellEnd"/>
            <w:r>
              <w:rPr>
                <w:lang w:val="en-US"/>
              </w:rPr>
              <w:t xml:space="preserve"> </w:t>
            </w:r>
          </w:p>
        </w:tc>
        <w:tc>
          <w:tcPr>
            <w:tcW w:w="4816" w:type="dxa"/>
          </w:tcPr>
          <w:p w14:paraId="1EE2EA94" w14:textId="77777777" w:rsidR="00120DF7" w:rsidRDefault="00120DF7" w:rsidP="004F0BF5">
            <w:pPr>
              <w:rPr>
                <w:lang w:val="en-US"/>
              </w:rPr>
            </w:pPr>
            <w:r>
              <w:rPr>
                <w:lang w:val="en-US"/>
              </w:rPr>
              <w:t xml:space="preserve">Extend </w:t>
            </w:r>
            <w:proofErr w:type="spellStart"/>
            <w:r w:rsidRPr="007B3A9C">
              <w:rPr>
                <w:lang w:val="en-US"/>
              </w:rPr>
              <w:t>MeasurementsAvailable</w:t>
            </w:r>
            <w:proofErr w:type="spellEnd"/>
            <w:r w:rsidRPr="007B3A9C">
              <w:rPr>
                <w:lang w:val="en-US"/>
              </w:rPr>
              <w:t xml:space="preserve"> IE</w:t>
            </w:r>
          </w:p>
        </w:tc>
      </w:tr>
      <w:tr w:rsidR="00120DF7" w14:paraId="706A69F4" w14:textId="77777777" w:rsidTr="004F0BF5">
        <w:tc>
          <w:tcPr>
            <w:tcW w:w="4815" w:type="dxa"/>
          </w:tcPr>
          <w:p w14:paraId="04217006" w14:textId="77777777" w:rsidR="00120DF7" w:rsidRDefault="00120DF7" w:rsidP="004F0BF5">
            <w:pPr>
              <w:rPr>
                <w:lang w:val="en-US"/>
              </w:rPr>
            </w:pPr>
            <w:r>
              <w:rPr>
                <w:lang w:val="en-US"/>
              </w:rPr>
              <w:t xml:space="preserve">Define a new RRC message </w:t>
            </w:r>
          </w:p>
        </w:tc>
        <w:tc>
          <w:tcPr>
            <w:tcW w:w="4816" w:type="dxa"/>
          </w:tcPr>
          <w:p w14:paraId="11D340D2" w14:textId="77777777" w:rsidR="00120DF7" w:rsidRDefault="00120DF7" w:rsidP="004F0BF5">
            <w:pPr>
              <w:rPr>
                <w:lang w:val="en-US"/>
              </w:rPr>
            </w:pPr>
            <w:r>
              <w:rPr>
                <w:lang w:val="en-US"/>
              </w:rPr>
              <w:t>Define a new IE</w:t>
            </w:r>
          </w:p>
        </w:tc>
      </w:tr>
    </w:tbl>
    <w:p w14:paraId="3D6FB701" w14:textId="77777777" w:rsidR="00120DF7" w:rsidRDefault="00120DF7" w:rsidP="00120DF7">
      <w:pPr>
        <w:rPr>
          <w:lang w:val="en-US"/>
        </w:rPr>
      </w:pPr>
    </w:p>
    <w:p w14:paraId="01CC7F41" w14:textId="10B63E88" w:rsidR="00120DF7" w:rsidRDefault="00120DF7" w:rsidP="00120DF7">
      <w:pPr>
        <w:rPr>
          <w:lang w:val="en-US"/>
        </w:rPr>
      </w:pPr>
      <w:r>
        <w:rPr>
          <w:lang w:val="en-US"/>
        </w:rPr>
        <w:t xml:space="preserve">Either of the approaches mentioned above would work and the difference between them is negligible. The downside, of course, is the standards and the implementation impact. </w:t>
      </w:r>
      <w:r w:rsidR="00383127">
        <w:rPr>
          <w:lang w:val="en-US"/>
        </w:rPr>
        <w:t>It’s</w:t>
      </w:r>
      <w:r>
        <w:rPr>
          <w:lang w:val="en-US"/>
        </w:rPr>
        <w:t xml:space="preserve"> not just the question of adding new IEs, but rather the fact that so </w:t>
      </w:r>
      <w:proofErr w:type="gramStart"/>
      <w:r>
        <w:rPr>
          <w:lang w:val="en-US"/>
        </w:rPr>
        <w:t>far</w:t>
      </w:r>
      <w:proofErr w:type="gramEnd"/>
      <w:r>
        <w:rPr>
          <w:lang w:val="en-US"/>
        </w:rPr>
        <w:t xml:space="preserve"> all SON features have been conveniently confined to certain RRC messages and using new messages for SON, which have not been used so for and have not been designed for this purpose has significant implementation impact. </w:t>
      </w:r>
    </w:p>
    <w:p w14:paraId="1D3A8495" w14:textId="4929DA29" w:rsidR="00120DF7" w:rsidRPr="005B6065" w:rsidRDefault="00120DF7" w:rsidP="00120DF7">
      <w:pPr>
        <w:rPr>
          <w:b/>
          <w:bCs/>
          <w:lang w:val="en-US"/>
        </w:rPr>
      </w:pPr>
      <w:r w:rsidRPr="005B6065">
        <w:rPr>
          <w:b/>
          <w:bCs/>
          <w:lang w:val="en-US"/>
        </w:rPr>
        <w:t xml:space="preserve">Observation 4: “leaking” SON functionality (SPR availability indication in this case) to new </w:t>
      </w:r>
      <w:r w:rsidR="00383127">
        <w:rPr>
          <w:b/>
          <w:bCs/>
          <w:lang w:val="en-US"/>
        </w:rPr>
        <w:t xml:space="preserve">RRC </w:t>
      </w:r>
      <w:r w:rsidRPr="005B6065">
        <w:rPr>
          <w:b/>
          <w:bCs/>
          <w:lang w:val="en-US"/>
        </w:rPr>
        <w:t xml:space="preserve">messages which have not been used for SON so far has non negligible implementation cost. </w:t>
      </w:r>
    </w:p>
    <w:p w14:paraId="68FD02CC" w14:textId="77777777" w:rsidR="00120DF7" w:rsidRDefault="00120DF7" w:rsidP="00120DF7">
      <w:pPr>
        <w:rPr>
          <w:lang w:val="en-US"/>
        </w:rPr>
      </w:pPr>
      <w:r>
        <w:rPr>
          <w:lang w:val="en-US"/>
        </w:rPr>
        <w:t>Therefore, before rushing to go with a naïve approach, we think RAN2 should consider alternatives, as outlined below.</w:t>
      </w:r>
    </w:p>
    <w:p w14:paraId="4D614591" w14:textId="4F255EB8" w:rsidR="00120DF7" w:rsidRDefault="00120DF7" w:rsidP="00120DF7">
      <w:pPr>
        <w:rPr>
          <w:lang w:val="en-US"/>
        </w:rPr>
      </w:pPr>
      <w:r>
        <w:rPr>
          <w:lang w:val="en-US"/>
        </w:rPr>
        <w:t xml:space="preserve">One potential alternative is to simply allow the network to fetch the SPR “blindly” using </w:t>
      </w:r>
      <w:proofErr w:type="spellStart"/>
      <w:r w:rsidRPr="00550FCA">
        <w:rPr>
          <w:lang w:val="en-US"/>
        </w:rPr>
        <w:t>UEInformationRequest</w:t>
      </w:r>
      <w:proofErr w:type="spellEnd"/>
      <w:r>
        <w:rPr>
          <w:lang w:val="en-US"/>
        </w:rPr>
        <w:t xml:space="preserve"> without an explicit availability indication from the UE. This would work as follows:</w:t>
      </w:r>
    </w:p>
    <w:p w14:paraId="27B6B660" w14:textId="77777777" w:rsidR="00120DF7" w:rsidRDefault="00120DF7" w:rsidP="00120DF7">
      <w:pPr>
        <w:pStyle w:val="ListParagraph"/>
        <w:numPr>
          <w:ilvl w:val="0"/>
          <w:numId w:val="28"/>
        </w:numPr>
        <w:spacing w:after="200" w:line="276" w:lineRule="auto"/>
        <w:jc w:val="both"/>
        <w:rPr>
          <w:lang w:val="en-US"/>
        </w:rPr>
      </w:pPr>
      <w:r>
        <w:rPr>
          <w:lang w:val="en-US"/>
        </w:rPr>
        <w:t xml:space="preserve">After successful SN change procedure, if the network is interested in SPR at all, the network assesses whether it is likely the UE may have a logged </w:t>
      </w:r>
      <w:proofErr w:type="gramStart"/>
      <w:r>
        <w:rPr>
          <w:lang w:val="en-US"/>
        </w:rPr>
        <w:t>SPR</w:t>
      </w:r>
      <w:proofErr w:type="gramEnd"/>
    </w:p>
    <w:p w14:paraId="277F4D87" w14:textId="77777777" w:rsidR="00120DF7" w:rsidRDefault="00120DF7" w:rsidP="00120DF7">
      <w:pPr>
        <w:pStyle w:val="ListParagraph"/>
        <w:numPr>
          <w:ilvl w:val="0"/>
          <w:numId w:val="28"/>
        </w:numPr>
        <w:spacing w:after="200" w:line="276" w:lineRule="auto"/>
        <w:jc w:val="both"/>
        <w:rPr>
          <w:lang w:val="en-US"/>
        </w:rPr>
      </w:pPr>
      <w:r>
        <w:rPr>
          <w:lang w:val="en-US"/>
        </w:rPr>
        <w:t xml:space="preserve">If the network decides it is interested in SPR and it is likely the </w:t>
      </w:r>
      <w:proofErr w:type="gramStart"/>
      <w:r>
        <w:rPr>
          <w:lang w:val="en-US"/>
        </w:rPr>
        <w:t>UE</w:t>
      </w:r>
      <w:proofErr w:type="gramEnd"/>
      <w:r>
        <w:rPr>
          <w:lang w:val="en-US"/>
        </w:rPr>
        <w:t xml:space="preserve"> has it, the network sends </w:t>
      </w:r>
      <w:proofErr w:type="spellStart"/>
      <w:r w:rsidRPr="00550FCA">
        <w:rPr>
          <w:lang w:val="en-US"/>
        </w:rPr>
        <w:t>UEInformationRequest</w:t>
      </w:r>
      <w:proofErr w:type="spellEnd"/>
      <w:r>
        <w:rPr>
          <w:lang w:val="en-US"/>
        </w:rPr>
        <w:t xml:space="preserve"> to the UE</w:t>
      </w:r>
    </w:p>
    <w:p w14:paraId="59CE06EA" w14:textId="77777777" w:rsidR="00120DF7" w:rsidRPr="00550FCA" w:rsidRDefault="00120DF7" w:rsidP="00120DF7">
      <w:pPr>
        <w:pStyle w:val="ListParagraph"/>
        <w:numPr>
          <w:ilvl w:val="0"/>
          <w:numId w:val="28"/>
        </w:numPr>
        <w:spacing w:after="200" w:line="276" w:lineRule="auto"/>
        <w:jc w:val="both"/>
        <w:rPr>
          <w:lang w:val="en-US"/>
        </w:rPr>
      </w:pPr>
      <w:r>
        <w:rPr>
          <w:lang w:val="en-US"/>
        </w:rPr>
        <w:t xml:space="preserve">If the UE has SPR, it sends it in </w:t>
      </w:r>
      <w:proofErr w:type="spellStart"/>
      <w:r w:rsidRPr="00550FCA">
        <w:rPr>
          <w:lang w:val="en-US"/>
        </w:rPr>
        <w:t>UEInformationResponse</w:t>
      </w:r>
      <w:proofErr w:type="spellEnd"/>
      <w:r>
        <w:rPr>
          <w:lang w:val="en-US"/>
        </w:rPr>
        <w:t xml:space="preserve">, if not the UE sends an empty </w:t>
      </w:r>
      <w:proofErr w:type="spellStart"/>
      <w:r w:rsidRPr="00550FCA">
        <w:rPr>
          <w:lang w:val="en-US"/>
        </w:rPr>
        <w:t>UEInformationResponse</w:t>
      </w:r>
      <w:proofErr w:type="spellEnd"/>
      <w:r>
        <w:rPr>
          <w:lang w:val="en-US"/>
        </w:rPr>
        <w:t xml:space="preserve"> (potentially with an appropriate cause value)</w:t>
      </w:r>
    </w:p>
    <w:p w14:paraId="4FEC14CD" w14:textId="77777777" w:rsidR="00120DF7" w:rsidRPr="00550FCA" w:rsidRDefault="00120DF7" w:rsidP="00120DF7">
      <w:pPr>
        <w:rPr>
          <w:b/>
          <w:bCs/>
          <w:lang w:val="en-US"/>
        </w:rPr>
      </w:pPr>
      <w:r w:rsidRPr="00550FCA">
        <w:rPr>
          <w:b/>
          <w:bCs/>
          <w:lang w:val="en-US"/>
        </w:rPr>
        <w:t xml:space="preserve">Proposal 1: to consider allowing the network to fetch the SPR “blindly” using </w:t>
      </w:r>
      <w:proofErr w:type="spellStart"/>
      <w:r w:rsidRPr="00550FCA">
        <w:rPr>
          <w:b/>
          <w:bCs/>
          <w:lang w:val="en-US"/>
        </w:rPr>
        <w:t>UEInformationRequest</w:t>
      </w:r>
      <w:proofErr w:type="spellEnd"/>
      <w:r w:rsidRPr="00550FCA">
        <w:rPr>
          <w:b/>
          <w:bCs/>
          <w:lang w:val="en-US"/>
        </w:rPr>
        <w:t xml:space="preserve"> without an explicit availability indication from the UE.</w:t>
      </w:r>
    </w:p>
    <w:p w14:paraId="2EE6D57D" w14:textId="5CB4CB26" w:rsidR="00120DF7" w:rsidRPr="003A1A44" w:rsidRDefault="00120DF7" w:rsidP="00120DF7">
      <w:pPr>
        <w:rPr>
          <w:lang w:val="en-US"/>
        </w:rPr>
      </w:pPr>
      <w:r>
        <w:rPr>
          <w:lang w:val="en-US"/>
        </w:rPr>
        <w:t>The advantage of the proposed solution is nearly zero standards an implementation impact, while solving the issue at hand.</w:t>
      </w:r>
      <w:r w:rsidR="00383127">
        <w:rPr>
          <w:lang w:val="en-US"/>
        </w:rPr>
        <w:t xml:space="preserve"> It may look like this approach adds a little bit of unnecessary signaling if the network attempts to fetch the report which is not available. However, such overhead is </w:t>
      </w:r>
      <w:proofErr w:type="gramStart"/>
      <w:r w:rsidR="00383127">
        <w:rPr>
          <w:lang w:val="en-US"/>
        </w:rPr>
        <w:t>actually unavoidable</w:t>
      </w:r>
      <w:proofErr w:type="gramEnd"/>
      <w:r w:rsidR="00383127">
        <w:rPr>
          <w:lang w:val="en-US"/>
        </w:rPr>
        <w:t xml:space="preserve"> as any other approach would require some extra RRC message exchange anyway. </w:t>
      </w:r>
    </w:p>
    <w:p w14:paraId="6898EE28" w14:textId="77777777" w:rsidR="00120DF7" w:rsidRDefault="00120DF7" w:rsidP="00120DF7">
      <w:pPr>
        <w:pStyle w:val="Heading1"/>
        <w:rPr>
          <w:lang w:val="en-US"/>
        </w:rPr>
      </w:pPr>
      <w:r w:rsidRPr="007925C6">
        <w:rPr>
          <w:lang w:val="en-US"/>
        </w:rPr>
        <w:t>3</w:t>
      </w:r>
      <w:r w:rsidRPr="007925C6">
        <w:rPr>
          <w:lang w:val="en-US"/>
        </w:rPr>
        <w:tab/>
        <w:t>Conclusions and Proposals</w:t>
      </w:r>
    </w:p>
    <w:p w14:paraId="4CC1E385" w14:textId="667CC3F1" w:rsidR="008E3CB8" w:rsidRPr="007B3A9C" w:rsidRDefault="008E3CB8" w:rsidP="008E3CB8">
      <w:pPr>
        <w:rPr>
          <w:b/>
          <w:bCs/>
          <w:lang w:val="en-US"/>
        </w:rPr>
      </w:pPr>
      <w:r w:rsidRPr="008E3CB8">
        <w:rPr>
          <w:b/>
          <w:bCs/>
          <w:lang w:val="en-US"/>
        </w:rPr>
        <w:t xml:space="preserve"> </w:t>
      </w:r>
      <w:r w:rsidRPr="007B3A9C">
        <w:rPr>
          <w:b/>
          <w:bCs/>
          <w:lang w:val="en-US"/>
        </w:rPr>
        <w:t>Observation 1: the actions for SPR generations would be performed after step 7 of the SN change procedure as defined in TR 37.340, whereas the UE is expected to provide the SPR availability indication in step 5.</w:t>
      </w:r>
    </w:p>
    <w:p w14:paraId="45424633" w14:textId="77777777" w:rsidR="008E3CB8" w:rsidRPr="005B6065" w:rsidRDefault="008E3CB8" w:rsidP="008E3CB8">
      <w:pPr>
        <w:rPr>
          <w:b/>
          <w:bCs/>
          <w:lang w:val="en-US"/>
        </w:rPr>
      </w:pPr>
      <w:r w:rsidRPr="005B6065">
        <w:rPr>
          <w:b/>
          <w:bCs/>
          <w:lang w:val="en-US"/>
        </w:rPr>
        <w:t>Observation 2: legacy SON report availability mechanism wouldn’t work (at least not without modifications) for SPR.</w:t>
      </w:r>
    </w:p>
    <w:p w14:paraId="1A8BE70D" w14:textId="77777777" w:rsidR="008E3CB8" w:rsidRPr="005B6065" w:rsidRDefault="008E3CB8" w:rsidP="008E3CB8">
      <w:pPr>
        <w:rPr>
          <w:b/>
          <w:bCs/>
          <w:lang w:val="en-US"/>
        </w:rPr>
      </w:pPr>
      <w:r w:rsidRPr="005B6065">
        <w:rPr>
          <w:b/>
          <w:bCs/>
          <w:lang w:val="en-US"/>
        </w:rPr>
        <w:t xml:space="preserve">Observation 3: if we are to extend an existing RRC message to carry the SPR availability indication, </w:t>
      </w:r>
      <w:proofErr w:type="spellStart"/>
      <w:r w:rsidRPr="005B6065">
        <w:rPr>
          <w:b/>
          <w:bCs/>
          <w:lang w:val="en-US"/>
        </w:rPr>
        <w:t>SCGFailureInformation</w:t>
      </w:r>
      <w:proofErr w:type="spellEnd"/>
      <w:r w:rsidRPr="005B6065">
        <w:rPr>
          <w:b/>
          <w:bCs/>
          <w:lang w:val="en-US"/>
        </w:rPr>
        <w:t xml:space="preserve"> seems to be the most appropriate, however of course other messages can also be considered.</w:t>
      </w:r>
    </w:p>
    <w:p w14:paraId="042B8D02" w14:textId="729166E5" w:rsidR="008E3CB8" w:rsidRPr="005B6065" w:rsidRDefault="008E3CB8" w:rsidP="008E3CB8">
      <w:pPr>
        <w:rPr>
          <w:b/>
          <w:bCs/>
          <w:lang w:val="en-US"/>
        </w:rPr>
      </w:pPr>
      <w:r w:rsidRPr="005B6065">
        <w:rPr>
          <w:b/>
          <w:bCs/>
          <w:lang w:val="en-US"/>
        </w:rPr>
        <w:t xml:space="preserve">Observation 4: “leaking” SON functionality (SPR availability indication in this case) to new </w:t>
      </w:r>
      <w:r w:rsidR="00383127">
        <w:rPr>
          <w:b/>
          <w:bCs/>
          <w:lang w:val="en-US"/>
        </w:rPr>
        <w:t xml:space="preserve">RRC </w:t>
      </w:r>
      <w:r w:rsidRPr="005B6065">
        <w:rPr>
          <w:b/>
          <w:bCs/>
          <w:lang w:val="en-US"/>
        </w:rPr>
        <w:t xml:space="preserve">messages which have not been used for SON so far has non negligible implementation cost. </w:t>
      </w:r>
    </w:p>
    <w:p w14:paraId="57C678EE" w14:textId="5B75EF95" w:rsidR="00120DF7" w:rsidRPr="007357BA" w:rsidRDefault="008E3CB8" w:rsidP="008E3CB8">
      <w:pPr>
        <w:rPr>
          <w:b/>
          <w:bCs/>
          <w:lang w:val="en-US"/>
        </w:rPr>
      </w:pPr>
      <w:r w:rsidRPr="00550FCA">
        <w:rPr>
          <w:b/>
          <w:bCs/>
          <w:lang w:val="en-US"/>
        </w:rPr>
        <w:t xml:space="preserve">Proposal 1: to consider allowing the network to fetch the SPR “blindly” using </w:t>
      </w:r>
      <w:proofErr w:type="spellStart"/>
      <w:r w:rsidRPr="00550FCA">
        <w:rPr>
          <w:b/>
          <w:bCs/>
          <w:lang w:val="en-US"/>
        </w:rPr>
        <w:t>UEInformationRequest</w:t>
      </w:r>
      <w:proofErr w:type="spellEnd"/>
      <w:r w:rsidRPr="00550FCA">
        <w:rPr>
          <w:b/>
          <w:bCs/>
          <w:lang w:val="en-US"/>
        </w:rPr>
        <w:t xml:space="preserve"> without an explicit availability indication from the UE.</w:t>
      </w:r>
    </w:p>
    <w:bookmarkEnd w:id="0"/>
    <w:p w14:paraId="741A34F3" w14:textId="77777777" w:rsidR="00120DF7" w:rsidRPr="007925C6" w:rsidRDefault="00120DF7" w:rsidP="00120DF7">
      <w:pPr>
        <w:pStyle w:val="Heading1"/>
        <w:rPr>
          <w:lang w:val="en-US"/>
        </w:rPr>
      </w:pPr>
      <w:r w:rsidRPr="007925C6">
        <w:rPr>
          <w:lang w:val="en-US"/>
        </w:rPr>
        <w:t>6</w:t>
      </w:r>
      <w:r w:rsidRPr="007925C6">
        <w:rPr>
          <w:lang w:val="en-US"/>
        </w:rPr>
        <w:tab/>
        <w:t>References</w:t>
      </w:r>
    </w:p>
    <w:p w14:paraId="2C6E3D19" w14:textId="77777777" w:rsidR="00120DF7" w:rsidRDefault="00120DF7" w:rsidP="00120DF7">
      <w:pPr>
        <w:tabs>
          <w:tab w:val="left" w:pos="1052"/>
        </w:tabs>
        <w:rPr>
          <w:bCs/>
        </w:rPr>
      </w:pPr>
      <w:r w:rsidRPr="007925C6">
        <w:rPr>
          <w:lang w:val="en-US"/>
        </w:rPr>
        <w:t>[</w:t>
      </w:r>
      <w:r>
        <w:rPr>
          <w:lang w:val="en-US"/>
        </w:rPr>
        <w:t>1</w:t>
      </w:r>
      <w:r w:rsidRPr="007925C6">
        <w:rPr>
          <w:lang w:val="en-US"/>
        </w:rPr>
        <w:t>]</w:t>
      </w:r>
      <w:r w:rsidRPr="007925C6">
        <w:rPr>
          <w:lang w:val="en-US"/>
        </w:rPr>
        <w:tab/>
      </w:r>
      <w:r w:rsidRPr="00255DB2">
        <w:rPr>
          <w:bCs/>
        </w:rPr>
        <w:t>R2-2311520</w:t>
      </w:r>
      <w:r>
        <w:rPr>
          <w:bCs/>
        </w:rPr>
        <w:t xml:space="preserve">, </w:t>
      </w:r>
      <w:r w:rsidRPr="00255DB2">
        <w:rPr>
          <w:bCs/>
        </w:rPr>
        <w:t>Pre-meeting summary for 7.13.4 (SHR and SPCR) (Nokia)</w:t>
      </w:r>
    </w:p>
    <w:p w14:paraId="1C2AB470" w14:textId="77777777" w:rsidR="00120DF7" w:rsidRDefault="00120DF7" w:rsidP="00120DF7">
      <w:pPr>
        <w:tabs>
          <w:tab w:val="left" w:pos="1052"/>
        </w:tabs>
        <w:rPr>
          <w:bCs/>
        </w:rPr>
      </w:pPr>
      <w:r>
        <w:rPr>
          <w:bCs/>
        </w:rPr>
        <w:t>[2]</w:t>
      </w:r>
      <w:r>
        <w:rPr>
          <w:bCs/>
        </w:rPr>
        <w:tab/>
      </w:r>
      <w:r w:rsidRPr="000E61C4">
        <w:rPr>
          <w:bCs/>
        </w:rPr>
        <w:t>R2-2310703</w:t>
      </w:r>
      <w:r>
        <w:rPr>
          <w:bCs/>
        </w:rPr>
        <w:t xml:space="preserve">, </w:t>
      </w:r>
      <w:r w:rsidRPr="000E61C4">
        <w:rPr>
          <w:bCs/>
        </w:rPr>
        <w:t>SPR configuration and reporting related issues</w:t>
      </w:r>
      <w:r>
        <w:rPr>
          <w:bCs/>
        </w:rPr>
        <w:t xml:space="preserve">, </w:t>
      </w:r>
      <w:proofErr w:type="gramStart"/>
      <w:r>
        <w:rPr>
          <w:bCs/>
        </w:rPr>
        <w:t>Nokia</w:t>
      </w:r>
      <w:proofErr w:type="gramEnd"/>
      <w:r>
        <w:rPr>
          <w:bCs/>
        </w:rPr>
        <w:tab/>
      </w:r>
    </w:p>
    <w:p w14:paraId="2D58E3B0" w14:textId="77777777" w:rsidR="00120DF7" w:rsidRPr="00255DB2" w:rsidRDefault="00120DF7" w:rsidP="00120DF7">
      <w:pPr>
        <w:tabs>
          <w:tab w:val="left" w:pos="1052"/>
        </w:tabs>
      </w:pPr>
      <w:r>
        <w:rPr>
          <w:bCs/>
        </w:rPr>
        <w:lastRenderedPageBreak/>
        <w:t>[3]</w:t>
      </w:r>
      <w:r>
        <w:rPr>
          <w:bCs/>
        </w:rPr>
        <w:tab/>
      </w:r>
      <w:r w:rsidRPr="007B3A9C">
        <w:rPr>
          <w:bCs/>
        </w:rPr>
        <w:t>R2-2310750</w:t>
      </w:r>
      <w:r>
        <w:rPr>
          <w:bCs/>
        </w:rPr>
        <w:t xml:space="preserve">, </w:t>
      </w:r>
      <w:r>
        <w:t>Running CR 38331 for Rel-18 SON MRO, Ericsson</w:t>
      </w:r>
    </w:p>
    <w:p w14:paraId="462396DA" w14:textId="77777777" w:rsidR="00120DF7" w:rsidRPr="007925C6" w:rsidRDefault="00120DF7" w:rsidP="00120DF7">
      <w:pPr>
        <w:tabs>
          <w:tab w:val="left" w:pos="1052"/>
        </w:tabs>
        <w:rPr>
          <w:lang w:val="en-US"/>
        </w:rPr>
      </w:pPr>
    </w:p>
    <w:p w14:paraId="207462FB" w14:textId="2ED0F298" w:rsidR="000C7E53" w:rsidRPr="00120DF7" w:rsidRDefault="000C7E53" w:rsidP="00120DF7">
      <w:pPr>
        <w:rPr>
          <w:lang w:val="en-US"/>
        </w:rPr>
      </w:pPr>
    </w:p>
    <w:sectPr w:rsidR="000C7E53" w:rsidRPr="00120DF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D8B4" w14:textId="77777777" w:rsidR="00EA56CE" w:rsidRDefault="00EA56CE">
      <w:r>
        <w:separator/>
      </w:r>
    </w:p>
  </w:endnote>
  <w:endnote w:type="continuationSeparator" w:id="0">
    <w:p w14:paraId="038E0734" w14:textId="77777777" w:rsidR="00EA56CE" w:rsidRDefault="00EA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F9A3" w14:textId="77777777" w:rsidR="00EA56CE" w:rsidRDefault="00EA56CE">
      <w:r>
        <w:separator/>
      </w:r>
    </w:p>
  </w:footnote>
  <w:footnote w:type="continuationSeparator" w:id="0">
    <w:p w14:paraId="1C87CC07" w14:textId="77777777" w:rsidR="00EA56CE" w:rsidRDefault="00EA5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5621E"/>
    <w:multiLevelType w:val="hybridMultilevel"/>
    <w:tmpl w:val="EC6C6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E537B"/>
    <w:multiLevelType w:val="multilevel"/>
    <w:tmpl w:val="117E537B"/>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6341A"/>
    <w:multiLevelType w:val="hybridMultilevel"/>
    <w:tmpl w:val="09E4E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E3FF6"/>
    <w:multiLevelType w:val="hybridMultilevel"/>
    <w:tmpl w:val="E4F06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7554AC"/>
    <w:multiLevelType w:val="hybridMultilevel"/>
    <w:tmpl w:val="10D2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A6C4A"/>
    <w:multiLevelType w:val="hybridMultilevel"/>
    <w:tmpl w:val="E4F06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5D69A6"/>
    <w:multiLevelType w:val="hybridMultilevel"/>
    <w:tmpl w:val="A300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D4890"/>
    <w:multiLevelType w:val="hybridMultilevel"/>
    <w:tmpl w:val="F444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700D62A6"/>
    <w:multiLevelType w:val="hybridMultilevel"/>
    <w:tmpl w:val="A90E0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4"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23"/>
  </w:num>
  <w:num w:numId="3" w16cid:durableId="2117361261">
    <w:abstractNumId w:val="14"/>
  </w:num>
  <w:num w:numId="4" w16cid:durableId="1774083706">
    <w:abstractNumId w:val="26"/>
  </w:num>
  <w:num w:numId="5" w16cid:durableId="13923365">
    <w:abstractNumId w:val="0"/>
  </w:num>
  <w:num w:numId="6" w16cid:durableId="1339498581">
    <w:abstractNumId w:val="8"/>
  </w:num>
  <w:num w:numId="7" w16cid:durableId="386994929">
    <w:abstractNumId w:val="15"/>
  </w:num>
  <w:num w:numId="8" w16cid:durableId="2022122391">
    <w:abstractNumId w:val="5"/>
  </w:num>
  <w:num w:numId="9" w16cid:durableId="439111198">
    <w:abstractNumId w:val="9"/>
  </w:num>
  <w:num w:numId="10" w16cid:durableId="941374417">
    <w:abstractNumId w:val="27"/>
  </w:num>
  <w:num w:numId="11" w16cid:durableId="406264192">
    <w:abstractNumId w:val="21"/>
  </w:num>
  <w:num w:numId="12" w16cid:durableId="1770468089">
    <w:abstractNumId w:val="10"/>
  </w:num>
  <w:num w:numId="13" w16cid:durableId="2063554591">
    <w:abstractNumId w:val="19"/>
  </w:num>
  <w:num w:numId="14" w16cid:durableId="64837463">
    <w:abstractNumId w:val="25"/>
  </w:num>
  <w:num w:numId="15" w16cid:durableId="1792899789">
    <w:abstractNumId w:val="18"/>
  </w:num>
  <w:num w:numId="16" w16cid:durableId="588581347">
    <w:abstractNumId w:val="24"/>
  </w:num>
  <w:num w:numId="17" w16cid:durableId="2090493134">
    <w:abstractNumId w:val="2"/>
  </w:num>
  <w:num w:numId="18" w16cid:durableId="948971608">
    <w:abstractNumId w:val="20"/>
  </w:num>
  <w:num w:numId="19" w16cid:durableId="960763550">
    <w:abstractNumId w:val="13"/>
  </w:num>
  <w:num w:numId="20" w16cid:durableId="436407447">
    <w:abstractNumId w:val="11"/>
  </w:num>
  <w:num w:numId="21" w16cid:durableId="754860109">
    <w:abstractNumId w:val="3"/>
  </w:num>
  <w:num w:numId="22" w16cid:durableId="125121748">
    <w:abstractNumId w:val="16"/>
  </w:num>
  <w:num w:numId="23" w16cid:durableId="1229152779">
    <w:abstractNumId w:val="4"/>
  </w:num>
  <w:num w:numId="24" w16cid:durableId="1070155172">
    <w:abstractNumId w:val="17"/>
  </w:num>
  <w:num w:numId="25" w16cid:durableId="665596727">
    <w:abstractNumId w:val="22"/>
  </w:num>
  <w:num w:numId="26" w16cid:durableId="1687291290">
    <w:abstractNumId w:val="7"/>
  </w:num>
  <w:num w:numId="27" w16cid:durableId="405961442">
    <w:abstractNumId w:val="12"/>
  </w:num>
  <w:num w:numId="28" w16cid:durableId="1928132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26C1"/>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20DF7"/>
    <w:rsid w:val="00130174"/>
    <w:rsid w:val="001302B0"/>
    <w:rsid w:val="00133525"/>
    <w:rsid w:val="0013608F"/>
    <w:rsid w:val="001378F3"/>
    <w:rsid w:val="0014649D"/>
    <w:rsid w:val="00150830"/>
    <w:rsid w:val="00151156"/>
    <w:rsid w:val="00160F3D"/>
    <w:rsid w:val="0016132D"/>
    <w:rsid w:val="001644D8"/>
    <w:rsid w:val="0017007C"/>
    <w:rsid w:val="00173532"/>
    <w:rsid w:val="00176EFB"/>
    <w:rsid w:val="0018138E"/>
    <w:rsid w:val="0019189A"/>
    <w:rsid w:val="0019410B"/>
    <w:rsid w:val="001A2850"/>
    <w:rsid w:val="001A2988"/>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472B"/>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23657"/>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3127"/>
    <w:rsid w:val="00386301"/>
    <w:rsid w:val="00394984"/>
    <w:rsid w:val="003965DB"/>
    <w:rsid w:val="00396E1F"/>
    <w:rsid w:val="00396F2A"/>
    <w:rsid w:val="003A0483"/>
    <w:rsid w:val="003A2259"/>
    <w:rsid w:val="003A32FD"/>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1CAF"/>
    <w:rsid w:val="00493055"/>
    <w:rsid w:val="004A0FC8"/>
    <w:rsid w:val="004A138D"/>
    <w:rsid w:val="004A38B8"/>
    <w:rsid w:val="004A4C1D"/>
    <w:rsid w:val="004B18E2"/>
    <w:rsid w:val="004B4F36"/>
    <w:rsid w:val="004B5EC9"/>
    <w:rsid w:val="004B722E"/>
    <w:rsid w:val="004C1236"/>
    <w:rsid w:val="004C1601"/>
    <w:rsid w:val="004C337A"/>
    <w:rsid w:val="004D20BD"/>
    <w:rsid w:val="004D22AC"/>
    <w:rsid w:val="004D3578"/>
    <w:rsid w:val="004D5AC2"/>
    <w:rsid w:val="004D6027"/>
    <w:rsid w:val="004D6DA4"/>
    <w:rsid w:val="004E213A"/>
    <w:rsid w:val="004E26A2"/>
    <w:rsid w:val="004E350F"/>
    <w:rsid w:val="004E3F1E"/>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4640F"/>
    <w:rsid w:val="00547ADA"/>
    <w:rsid w:val="005510CB"/>
    <w:rsid w:val="00551E22"/>
    <w:rsid w:val="00553C1C"/>
    <w:rsid w:val="00555A5C"/>
    <w:rsid w:val="00560C1A"/>
    <w:rsid w:val="00562B5D"/>
    <w:rsid w:val="00563D63"/>
    <w:rsid w:val="00565087"/>
    <w:rsid w:val="00566043"/>
    <w:rsid w:val="005668CB"/>
    <w:rsid w:val="005724C2"/>
    <w:rsid w:val="00572E14"/>
    <w:rsid w:val="00574F89"/>
    <w:rsid w:val="00575751"/>
    <w:rsid w:val="00581FF0"/>
    <w:rsid w:val="00583ADE"/>
    <w:rsid w:val="00584261"/>
    <w:rsid w:val="00584A7F"/>
    <w:rsid w:val="00584FF4"/>
    <w:rsid w:val="005871AA"/>
    <w:rsid w:val="005876C4"/>
    <w:rsid w:val="005914AB"/>
    <w:rsid w:val="00592406"/>
    <w:rsid w:val="005973BE"/>
    <w:rsid w:val="005A0AB6"/>
    <w:rsid w:val="005A5986"/>
    <w:rsid w:val="005A7C32"/>
    <w:rsid w:val="005B0515"/>
    <w:rsid w:val="005C5CA2"/>
    <w:rsid w:val="005D2E01"/>
    <w:rsid w:val="005D315E"/>
    <w:rsid w:val="005D6A1F"/>
    <w:rsid w:val="005D7526"/>
    <w:rsid w:val="005E2040"/>
    <w:rsid w:val="005E352F"/>
    <w:rsid w:val="005E4B4C"/>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37104"/>
    <w:rsid w:val="00642550"/>
    <w:rsid w:val="00643D98"/>
    <w:rsid w:val="00647114"/>
    <w:rsid w:val="0065231F"/>
    <w:rsid w:val="00654E0E"/>
    <w:rsid w:val="00656B23"/>
    <w:rsid w:val="00666C51"/>
    <w:rsid w:val="0067257B"/>
    <w:rsid w:val="0067359C"/>
    <w:rsid w:val="00675CA7"/>
    <w:rsid w:val="00676E3E"/>
    <w:rsid w:val="006774C8"/>
    <w:rsid w:val="006923A8"/>
    <w:rsid w:val="00692656"/>
    <w:rsid w:val="006A158A"/>
    <w:rsid w:val="006A2A85"/>
    <w:rsid w:val="006A2B4F"/>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CD0"/>
    <w:rsid w:val="00730341"/>
    <w:rsid w:val="00734A5B"/>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63A"/>
    <w:rsid w:val="00830747"/>
    <w:rsid w:val="00835F9B"/>
    <w:rsid w:val="00846F18"/>
    <w:rsid w:val="00855AF5"/>
    <w:rsid w:val="00857745"/>
    <w:rsid w:val="00866EDF"/>
    <w:rsid w:val="00871376"/>
    <w:rsid w:val="008719DA"/>
    <w:rsid w:val="00872100"/>
    <w:rsid w:val="008730C8"/>
    <w:rsid w:val="008768CA"/>
    <w:rsid w:val="00882458"/>
    <w:rsid w:val="00885E96"/>
    <w:rsid w:val="0088743A"/>
    <w:rsid w:val="00895C3A"/>
    <w:rsid w:val="008A37DD"/>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3CB8"/>
    <w:rsid w:val="008E579D"/>
    <w:rsid w:val="008E71F1"/>
    <w:rsid w:val="008E7986"/>
    <w:rsid w:val="008F1588"/>
    <w:rsid w:val="008F5733"/>
    <w:rsid w:val="0090271F"/>
    <w:rsid w:val="00902E23"/>
    <w:rsid w:val="009051EC"/>
    <w:rsid w:val="00906AD7"/>
    <w:rsid w:val="00910E77"/>
    <w:rsid w:val="009114D7"/>
    <w:rsid w:val="0091348E"/>
    <w:rsid w:val="00913853"/>
    <w:rsid w:val="00915B59"/>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A86"/>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604BE"/>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4666"/>
    <w:rsid w:val="00C060EE"/>
    <w:rsid w:val="00C120EB"/>
    <w:rsid w:val="00C1496A"/>
    <w:rsid w:val="00C15754"/>
    <w:rsid w:val="00C20C9A"/>
    <w:rsid w:val="00C21E56"/>
    <w:rsid w:val="00C32093"/>
    <w:rsid w:val="00C33079"/>
    <w:rsid w:val="00C35A42"/>
    <w:rsid w:val="00C45231"/>
    <w:rsid w:val="00C45A33"/>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4D6D"/>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48D2"/>
    <w:rsid w:val="00D262A5"/>
    <w:rsid w:val="00D26579"/>
    <w:rsid w:val="00D27771"/>
    <w:rsid w:val="00D30147"/>
    <w:rsid w:val="00D309CC"/>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40D"/>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057E"/>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56CE"/>
    <w:rsid w:val="00EA6F9B"/>
    <w:rsid w:val="00EA7B4C"/>
    <w:rsid w:val="00EB369C"/>
    <w:rsid w:val="00EC4A25"/>
    <w:rsid w:val="00EC55C0"/>
    <w:rsid w:val="00ED6A47"/>
    <w:rsid w:val="00EE0817"/>
    <w:rsid w:val="00EE48CD"/>
    <w:rsid w:val="00EE5AA7"/>
    <w:rsid w:val="00EF51D5"/>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00520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4</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cp:revision>
  <cp:lastPrinted>2019-02-25T14:05:00Z</cp:lastPrinted>
  <dcterms:created xsi:type="dcterms:W3CDTF">2023-11-02T12:12:00Z</dcterms:created>
  <dcterms:modified xsi:type="dcterms:W3CDTF">2023-11-02T19:03:00Z</dcterms:modified>
  <cp:category/>
</cp:coreProperties>
</file>