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AEB0" w14:textId="30888095" w:rsidR="00543145" w:rsidRDefault="004E578E">
      <w:pPr>
        <w:pStyle w:val="Header"/>
        <w:tabs>
          <w:tab w:val="right" w:pos="9639"/>
        </w:tabs>
        <w:rPr>
          <w:bCs/>
          <w:i/>
          <w:sz w:val="32"/>
          <w:highlight w:val="cyan"/>
          <w:lang w:eastAsia="zh-CN"/>
        </w:rPr>
      </w:pPr>
      <w:r>
        <w:rPr>
          <w:sz w:val="24"/>
          <w:lang w:eastAsia="zh-CN"/>
        </w:rPr>
        <w:t>3GPP T</w:t>
      </w:r>
      <w:bookmarkStart w:id="0" w:name="_Ref452454252"/>
      <w:bookmarkEnd w:id="0"/>
      <w:r>
        <w:rPr>
          <w:sz w:val="24"/>
          <w:lang w:eastAsia="zh-CN"/>
        </w:rPr>
        <w:t>SG RAN WG2 Meeting #12</w:t>
      </w:r>
      <w:r w:rsidR="00C5663D">
        <w:rPr>
          <w:sz w:val="24"/>
          <w:lang w:eastAsia="zh-CN"/>
        </w:rPr>
        <w:t>4</w:t>
      </w:r>
      <w:r>
        <w:rPr>
          <w:sz w:val="24"/>
          <w:lang w:eastAsia="zh-CN"/>
        </w:rPr>
        <w:t xml:space="preserve">        </w:t>
      </w:r>
      <w:r>
        <w:rPr>
          <w:bCs/>
          <w:sz w:val="24"/>
        </w:rPr>
        <w:t xml:space="preserve">                                               </w:t>
      </w:r>
      <w:bookmarkStart w:id="1" w:name="_Hlk142565802"/>
      <w:r w:rsidR="00AE5782" w:rsidRPr="00AE5782">
        <w:rPr>
          <w:bCs/>
          <w:sz w:val="24"/>
        </w:rPr>
        <w:t>R2-2312162</w:t>
      </w:r>
      <w:bookmarkEnd w:id="1"/>
    </w:p>
    <w:p w14:paraId="42BF6EE1" w14:textId="420F1E94" w:rsidR="00543145" w:rsidRDefault="00C5663D">
      <w:pPr>
        <w:pStyle w:val="CRCoverPage"/>
        <w:spacing w:after="240"/>
        <w:outlineLvl w:val="0"/>
        <w:rPr>
          <w:b/>
          <w:sz w:val="24"/>
        </w:rPr>
      </w:pPr>
      <w:r>
        <w:rPr>
          <w:b/>
          <w:sz w:val="24"/>
        </w:rPr>
        <w:t>Chicago</w:t>
      </w:r>
      <w:r w:rsidR="004E578E">
        <w:rPr>
          <w:b/>
          <w:sz w:val="24"/>
        </w:rPr>
        <w:t xml:space="preserve">, </w:t>
      </w:r>
      <w:r>
        <w:rPr>
          <w:b/>
          <w:sz w:val="24"/>
        </w:rPr>
        <w:t>US</w:t>
      </w:r>
      <w:r w:rsidR="004E578E">
        <w:rPr>
          <w:b/>
          <w:sz w:val="24"/>
        </w:rPr>
        <w:t xml:space="preserve">, </w:t>
      </w:r>
      <w:r>
        <w:rPr>
          <w:b/>
          <w:sz w:val="24"/>
        </w:rPr>
        <w:t>November</w:t>
      </w:r>
      <w:r w:rsidR="004E578E">
        <w:rPr>
          <w:b/>
          <w:sz w:val="24"/>
        </w:rPr>
        <w:t xml:space="preserve"> 13</w:t>
      </w:r>
      <w:r>
        <w:rPr>
          <w:b/>
          <w:sz w:val="24"/>
        </w:rPr>
        <w:t>-17</w:t>
      </w:r>
      <w:r w:rsidR="004E578E">
        <w:rPr>
          <w:b/>
          <w:sz w:val="24"/>
        </w:rPr>
        <w:t>, 2023</w:t>
      </w:r>
    </w:p>
    <w:p w14:paraId="450D7884" w14:textId="1A5104D6" w:rsidR="00543145" w:rsidRDefault="004E578E">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Agenda item:</w:t>
      </w:r>
      <w:r>
        <w:rPr>
          <w:rFonts w:ascii="Arial" w:hAnsi="Arial" w:cs="Arial"/>
          <w:bCs/>
          <w:sz w:val="24"/>
        </w:rPr>
        <w:tab/>
      </w:r>
      <w:r w:rsidRPr="00920898">
        <w:rPr>
          <w:rFonts w:ascii="Arial" w:hAnsi="Arial" w:cs="Arial"/>
          <w:bCs/>
          <w:sz w:val="24"/>
        </w:rPr>
        <w:t>7.</w:t>
      </w:r>
      <w:r w:rsidR="000353C4">
        <w:rPr>
          <w:rFonts w:ascii="Arial" w:hAnsi="Arial" w:cs="Arial"/>
          <w:bCs/>
          <w:sz w:val="24"/>
        </w:rPr>
        <w:t>7</w:t>
      </w:r>
      <w:r w:rsidRPr="00920898">
        <w:rPr>
          <w:rFonts w:ascii="Arial" w:hAnsi="Arial" w:cs="Arial"/>
          <w:bCs/>
          <w:sz w:val="24"/>
        </w:rPr>
        <w:t>.</w:t>
      </w:r>
      <w:r w:rsidR="00C5663D" w:rsidRPr="00920898">
        <w:rPr>
          <w:rFonts w:ascii="Arial" w:hAnsi="Arial" w:cs="Arial"/>
          <w:bCs/>
          <w:sz w:val="24"/>
        </w:rPr>
        <w:t>1</w:t>
      </w:r>
    </w:p>
    <w:p w14:paraId="30D5446F" w14:textId="77777777" w:rsidR="00543145" w:rsidRDefault="004E578E">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Intel Corporation</w:t>
      </w:r>
    </w:p>
    <w:p w14:paraId="00AF200F" w14:textId="70A70E0E" w:rsidR="00543145" w:rsidRDefault="004E578E">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190162" w:rsidRPr="00190162">
        <w:rPr>
          <w:rFonts w:ascii="Arial" w:hAnsi="Arial" w:cs="Arial"/>
          <w:bCs/>
          <w:sz w:val="24"/>
        </w:rPr>
        <w:t>Open topics on UE capabilities for Rel-18 NR NTN Enh. WI including summary report of email discussion [Post123bis][310]</w:t>
      </w:r>
    </w:p>
    <w:p w14:paraId="596D88BC" w14:textId="77777777" w:rsidR="00543145" w:rsidRDefault="004E578E">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t>Discussion and decision</w:t>
      </w:r>
    </w:p>
    <w:p w14:paraId="5A23715C" w14:textId="77777777" w:rsidR="00543145" w:rsidRDefault="004E578E">
      <w:pPr>
        <w:pStyle w:val="Heading1"/>
        <w:numPr>
          <w:ilvl w:val="0"/>
          <w:numId w:val="4"/>
        </w:numPr>
      </w:pPr>
      <w:r>
        <w:t>Introduction</w:t>
      </w:r>
    </w:p>
    <w:p w14:paraId="1CC0AC4B" w14:textId="77777777" w:rsidR="00543145" w:rsidRDefault="004E578E">
      <w:pPr>
        <w:jc w:val="both"/>
        <w:rPr>
          <w:lang w:val="en-GB"/>
        </w:rPr>
      </w:pPr>
      <w:bookmarkStart w:id="2" w:name="Proposal_Pattern_Length"/>
      <w:r>
        <w:rPr>
          <w:lang w:val="en-GB"/>
        </w:rPr>
        <w:t xml:space="preserve">This document aims to review the running CRs on UE capabilities for Rel-18 NR NTN Enhancement and to also discuss the open topics, if any. </w:t>
      </w:r>
    </w:p>
    <w:p w14:paraId="269E72DE" w14:textId="77777777" w:rsidR="00543145" w:rsidRDefault="004E578E">
      <w:pPr>
        <w:pStyle w:val="EmailDiscussion"/>
      </w:pPr>
      <w:r>
        <w:t>[Post123bis][310][NR-NTN Enh] UE caps running CR (Intel)</w:t>
      </w:r>
    </w:p>
    <w:p w14:paraId="27A97C47" w14:textId="77777777" w:rsidR="00543145" w:rsidRDefault="004E578E">
      <w:pPr>
        <w:pStyle w:val="EmailDiscussion2"/>
      </w:pPr>
      <w:r>
        <w:tab/>
        <w:t xml:space="preserve">Scope: running CR update and list of open issues </w:t>
      </w:r>
    </w:p>
    <w:p w14:paraId="2C116A2A" w14:textId="77777777" w:rsidR="00543145" w:rsidRDefault="004E578E">
      <w:pPr>
        <w:pStyle w:val="EmailDiscussion2"/>
      </w:pPr>
      <w:r>
        <w:tab/>
        <w:t xml:space="preserve">Intended outcome: </w:t>
      </w:r>
    </w:p>
    <w:p w14:paraId="332293D7" w14:textId="77777777" w:rsidR="00543145" w:rsidRDefault="004E578E">
      <w:pPr>
        <w:pStyle w:val="EmailDiscussion2"/>
        <w:numPr>
          <w:ilvl w:val="4"/>
          <w:numId w:val="5"/>
        </w:numPr>
      </w:pPr>
      <w:r>
        <w:t>Endorsed running CRs</w:t>
      </w:r>
    </w:p>
    <w:p w14:paraId="508E7CFD" w14:textId="77777777" w:rsidR="00543145" w:rsidRDefault="004E578E">
      <w:pPr>
        <w:pStyle w:val="EmailDiscussion2"/>
        <w:numPr>
          <w:ilvl w:val="4"/>
          <w:numId w:val="5"/>
        </w:numPr>
      </w:pPr>
      <w:r>
        <w:t>List of open issues to be addressed by company Tdocs</w:t>
      </w:r>
    </w:p>
    <w:p w14:paraId="055DE69B" w14:textId="77777777" w:rsidR="00543145" w:rsidRDefault="004E578E">
      <w:pPr>
        <w:pStyle w:val="EmailDiscussion2"/>
      </w:pPr>
      <w:r>
        <w:tab/>
        <w:t>Deadline: Long</w:t>
      </w:r>
    </w:p>
    <w:p w14:paraId="37AD023E" w14:textId="2EC1FC7D" w:rsidR="006D2ECC" w:rsidRDefault="004E578E" w:rsidP="00AF29F0">
      <w:pPr>
        <w:spacing w:before="240" w:after="0"/>
        <w:jc w:val="both"/>
        <w:rPr>
          <w:lang w:val="en-GB"/>
        </w:rPr>
      </w:pPr>
      <w:r>
        <w:rPr>
          <w:lang w:val="en-GB"/>
        </w:rPr>
        <w:t xml:space="preserve">For reference, two annex sections are included: </w:t>
      </w:r>
      <w:r>
        <w:rPr>
          <w:lang w:val="en-GB"/>
        </w:rPr>
        <w:fldChar w:fldCharType="begin"/>
      </w:r>
      <w:r>
        <w:rPr>
          <w:lang w:val="en-GB"/>
        </w:rPr>
        <w:instrText xml:space="preserve"> REF _Ref149036486 \h </w:instrText>
      </w:r>
      <w:r>
        <w:rPr>
          <w:lang w:val="en-GB"/>
        </w:rPr>
      </w:r>
      <w:r>
        <w:rPr>
          <w:lang w:val="en-GB"/>
        </w:rPr>
        <w:fldChar w:fldCharType="separate"/>
      </w:r>
      <w:r>
        <w:t>Annex A (RAN2#123bis agreements)</w:t>
      </w:r>
      <w:r>
        <w:rPr>
          <w:lang w:val="en-GB"/>
        </w:rPr>
        <w:fldChar w:fldCharType="end"/>
      </w:r>
      <w:r>
        <w:rPr>
          <w:lang w:val="en-GB"/>
        </w:rPr>
        <w:t xml:space="preserve"> and </w:t>
      </w:r>
      <w:r>
        <w:rPr>
          <w:lang w:val="en-GB"/>
        </w:rPr>
        <w:fldChar w:fldCharType="begin"/>
      </w:r>
      <w:r>
        <w:rPr>
          <w:lang w:val="en-GB"/>
        </w:rPr>
        <w:instrText xml:space="preserve"> REF _Ref149036508 \h </w:instrText>
      </w:r>
      <w:r>
        <w:rPr>
          <w:lang w:val="en-GB"/>
        </w:rPr>
      </w:r>
      <w:r>
        <w:rPr>
          <w:lang w:val="en-GB"/>
        </w:rPr>
        <w:fldChar w:fldCharType="separate"/>
      </w:r>
      <w:r>
        <w:t>Annex B (RAN1 feature list on Rel-18 NR NTN Enh)</w:t>
      </w:r>
      <w:r>
        <w:rPr>
          <w:lang w:val="en-GB"/>
        </w:rPr>
        <w:fldChar w:fldCharType="end"/>
      </w:r>
      <w:r>
        <w:rPr>
          <w:lang w:val="en-GB"/>
        </w:rPr>
        <w:t xml:space="preserve">. </w:t>
      </w:r>
      <w:r>
        <w:rPr>
          <w:lang w:val="en-GB"/>
        </w:rPr>
        <w:fldChar w:fldCharType="begin"/>
      </w:r>
      <w:r>
        <w:rPr>
          <w:lang w:val="en-GB"/>
        </w:rPr>
        <w:instrText xml:space="preserve"> REF _Ref149036635 \r \h </w:instrText>
      </w:r>
      <w:r>
        <w:rPr>
          <w:lang w:val="en-GB"/>
        </w:rPr>
      </w:r>
      <w:r>
        <w:rPr>
          <w:lang w:val="en-GB"/>
        </w:rPr>
        <w:fldChar w:fldCharType="separate"/>
      </w:r>
      <w:r>
        <w:rPr>
          <w:lang w:val="en-GB"/>
        </w:rPr>
        <w:t>Discussion point 4)</w:t>
      </w:r>
      <w:r>
        <w:rPr>
          <w:lang w:val="en-GB"/>
        </w:rPr>
        <w:fldChar w:fldCharType="end"/>
      </w:r>
      <w:r>
        <w:rPr>
          <w:lang w:val="en-GB"/>
        </w:rPr>
        <w:t xml:space="preserve"> and </w:t>
      </w:r>
      <w:r>
        <w:rPr>
          <w:lang w:val="en-GB"/>
        </w:rPr>
        <w:fldChar w:fldCharType="begin"/>
      </w:r>
      <w:r>
        <w:rPr>
          <w:lang w:val="en-GB"/>
        </w:rPr>
        <w:instrText xml:space="preserve"> REF _Ref149036637 \r \h </w:instrText>
      </w:r>
      <w:r>
        <w:rPr>
          <w:lang w:val="en-GB"/>
        </w:rPr>
      </w:r>
      <w:r>
        <w:rPr>
          <w:lang w:val="en-GB"/>
        </w:rPr>
        <w:fldChar w:fldCharType="separate"/>
      </w:r>
      <w:r>
        <w:rPr>
          <w:lang w:val="en-GB"/>
        </w:rPr>
        <w:t>Discussion point 5)</w:t>
      </w:r>
      <w:r>
        <w:rPr>
          <w:lang w:val="en-GB"/>
        </w:rPr>
        <w:fldChar w:fldCharType="end"/>
      </w:r>
      <w:r>
        <w:rPr>
          <w:lang w:val="en-GB"/>
        </w:rPr>
        <w:t xml:space="preserve"> are added based on a company inputs on a new possible UE capabilities to be considered.</w:t>
      </w:r>
      <w:r w:rsidR="00E31364">
        <w:rPr>
          <w:lang w:val="en-GB"/>
        </w:rPr>
        <w:t xml:space="preserve"> </w:t>
      </w:r>
      <w:r w:rsidR="00E865D1">
        <w:rPr>
          <w:lang w:val="en-GB"/>
        </w:rPr>
        <w:t>Companies' inputs are required for the 2</w:t>
      </w:r>
      <w:r w:rsidR="00E865D1" w:rsidRPr="00920898">
        <w:rPr>
          <w:vertAlign w:val="superscript"/>
          <w:lang w:val="en-GB"/>
        </w:rPr>
        <w:t>nd</w:t>
      </w:r>
      <w:r w:rsidR="00E865D1">
        <w:rPr>
          <w:lang w:val="en-GB"/>
        </w:rPr>
        <w:t xml:space="preserve"> </w:t>
      </w:r>
      <w:r w:rsidR="00E865D1" w:rsidRPr="00AE5782">
        <w:rPr>
          <w:lang w:val="en-GB"/>
        </w:rPr>
        <w:t>phase</w:t>
      </w:r>
      <w:r w:rsidRPr="00AE5782">
        <w:rPr>
          <w:lang w:val="en-GB"/>
        </w:rPr>
        <w:t xml:space="preserve"> </w:t>
      </w:r>
      <w:r w:rsidRPr="00920898">
        <w:rPr>
          <w:lang w:val="en-GB"/>
        </w:rPr>
        <w:t>before/by Thursday October 26th 3pm UCT (8am PST)</w:t>
      </w:r>
      <w:r w:rsidRPr="00AE5782">
        <w:rPr>
          <w:lang w:val="en-GB"/>
        </w:rPr>
        <w:t xml:space="preserve"> to</w:t>
      </w:r>
      <w:r>
        <w:rPr>
          <w:lang w:val="en-GB"/>
        </w:rPr>
        <w:t xml:space="preserve"> have time to update the running CRs and further review/discuss the report and updated CRs (as official email discussion deadline is Friday Oct. 27th 1000 UTC, 2023). </w:t>
      </w:r>
    </w:p>
    <w:p w14:paraId="647BD858" w14:textId="77777777" w:rsidR="00543145" w:rsidRDefault="004E578E">
      <w:pPr>
        <w:pStyle w:val="Heading1"/>
        <w:numPr>
          <w:ilvl w:val="0"/>
          <w:numId w:val="4"/>
        </w:numPr>
      </w:pPr>
      <w:r>
        <w:t>Companies’ point of contact (PoC)</w:t>
      </w:r>
    </w:p>
    <w:tbl>
      <w:tblPr>
        <w:tblStyle w:val="TableGrid"/>
        <w:tblW w:w="0" w:type="auto"/>
        <w:tblLook w:val="04A0" w:firstRow="1" w:lastRow="0" w:firstColumn="1" w:lastColumn="0" w:noHBand="0" w:noVBand="1"/>
      </w:tblPr>
      <w:tblGrid>
        <w:gridCol w:w="1760"/>
        <w:gridCol w:w="2687"/>
        <w:gridCol w:w="4903"/>
      </w:tblGrid>
      <w:tr w:rsidR="00543145" w14:paraId="5BFF3C62" w14:textId="77777777">
        <w:tc>
          <w:tcPr>
            <w:tcW w:w="1760" w:type="dxa"/>
            <w:shd w:val="clear" w:color="auto" w:fill="BFBFBF" w:themeFill="background1" w:themeFillShade="BF"/>
          </w:tcPr>
          <w:p w14:paraId="7E2781CE" w14:textId="77777777" w:rsidR="00543145" w:rsidRDefault="004E578E">
            <w:pPr>
              <w:spacing w:after="0"/>
              <w:jc w:val="center"/>
              <w:rPr>
                <w:b/>
                <w:bCs/>
              </w:rPr>
            </w:pPr>
            <w:r>
              <w:rPr>
                <w:b/>
                <w:bCs/>
              </w:rPr>
              <w:t>Company’s name</w:t>
            </w:r>
          </w:p>
        </w:tc>
        <w:tc>
          <w:tcPr>
            <w:tcW w:w="2687" w:type="dxa"/>
            <w:shd w:val="clear" w:color="auto" w:fill="BFBFBF" w:themeFill="background1" w:themeFillShade="BF"/>
          </w:tcPr>
          <w:p w14:paraId="4CABB3DF" w14:textId="77777777" w:rsidR="00543145" w:rsidRDefault="004E578E">
            <w:pPr>
              <w:spacing w:after="0"/>
              <w:jc w:val="center"/>
              <w:rPr>
                <w:b/>
                <w:bCs/>
              </w:rPr>
            </w:pPr>
            <w:r>
              <w:rPr>
                <w:b/>
                <w:bCs/>
              </w:rPr>
              <w:t>PoC’s name</w:t>
            </w:r>
          </w:p>
        </w:tc>
        <w:tc>
          <w:tcPr>
            <w:tcW w:w="4903" w:type="dxa"/>
            <w:shd w:val="clear" w:color="auto" w:fill="BFBFBF" w:themeFill="background1" w:themeFillShade="BF"/>
          </w:tcPr>
          <w:p w14:paraId="72204B8C" w14:textId="77777777" w:rsidR="00543145" w:rsidRDefault="004E578E">
            <w:pPr>
              <w:spacing w:after="0"/>
              <w:jc w:val="center"/>
              <w:rPr>
                <w:b/>
                <w:bCs/>
              </w:rPr>
            </w:pPr>
            <w:r>
              <w:rPr>
                <w:b/>
                <w:bCs/>
              </w:rPr>
              <w:t>PoC’s email address</w:t>
            </w:r>
          </w:p>
        </w:tc>
      </w:tr>
      <w:tr w:rsidR="00543145" w14:paraId="0A21DAAF" w14:textId="77777777">
        <w:tc>
          <w:tcPr>
            <w:tcW w:w="1760" w:type="dxa"/>
          </w:tcPr>
          <w:p w14:paraId="69BC659F" w14:textId="77777777" w:rsidR="00543145" w:rsidRDefault="004E578E">
            <w:pPr>
              <w:spacing w:after="0"/>
            </w:pPr>
            <w:r>
              <w:t>Ericsson</w:t>
            </w:r>
          </w:p>
        </w:tc>
        <w:tc>
          <w:tcPr>
            <w:tcW w:w="2687" w:type="dxa"/>
          </w:tcPr>
          <w:p w14:paraId="7B9385C9" w14:textId="77777777" w:rsidR="00543145" w:rsidRDefault="004E578E">
            <w:pPr>
              <w:spacing w:after="0"/>
            </w:pPr>
            <w:r>
              <w:t>Ignacio Pascual</w:t>
            </w:r>
          </w:p>
        </w:tc>
        <w:tc>
          <w:tcPr>
            <w:tcW w:w="4903" w:type="dxa"/>
          </w:tcPr>
          <w:p w14:paraId="658067FA" w14:textId="77777777" w:rsidR="00543145" w:rsidRDefault="004E578E">
            <w:pPr>
              <w:spacing w:after="0"/>
            </w:pPr>
            <w:r>
              <w:t>Ignacio.pascual.pelayo@ericsson.com</w:t>
            </w:r>
          </w:p>
        </w:tc>
      </w:tr>
      <w:tr w:rsidR="00543145" w14:paraId="521BCD6F" w14:textId="77777777">
        <w:tc>
          <w:tcPr>
            <w:tcW w:w="1760" w:type="dxa"/>
          </w:tcPr>
          <w:p w14:paraId="4FCF1E86" w14:textId="77777777" w:rsidR="00543145" w:rsidRDefault="004E578E">
            <w:pPr>
              <w:spacing w:after="0"/>
              <w:rPr>
                <w:lang w:eastAsia="zh-CN"/>
              </w:rPr>
            </w:pPr>
            <w:r>
              <w:rPr>
                <w:rFonts w:hint="eastAsia"/>
                <w:lang w:eastAsia="zh-CN"/>
              </w:rPr>
              <w:t>v</w:t>
            </w:r>
            <w:r>
              <w:rPr>
                <w:lang w:eastAsia="zh-CN"/>
              </w:rPr>
              <w:t>ivo</w:t>
            </w:r>
          </w:p>
        </w:tc>
        <w:tc>
          <w:tcPr>
            <w:tcW w:w="2687" w:type="dxa"/>
          </w:tcPr>
          <w:p w14:paraId="57D2E84C" w14:textId="77777777" w:rsidR="00543145" w:rsidRDefault="004E578E">
            <w:pPr>
              <w:spacing w:after="0"/>
              <w:rPr>
                <w:lang w:eastAsia="zh-CN"/>
              </w:rPr>
            </w:pPr>
            <w:r>
              <w:rPr>
                <w:rFonts w:hint="eastAsia"/>
                <w:lang w:eastAsia="zh-CN"/>
              </w:rPr>
              <w:t>Y</w:t>
            </w:r>
            <w:r>
              <w:rPr>
                <w:lang w:eastAsia="zh-CN"/>
              </w:rPr>
              <w:t>itao Mo (Stephen)</w:t>
            </w:r>
          </w:p>
        </w:tc>
        <w:tc>
          <w:tcPr>
            <w:tcW w:w="4903" w:type="dxa"/>
          </w:tcPr>
          <w:p w14:paraId="5126A1D8" w14:textId="77777777" w:rsidR="00543145" w:rsidRDefault="004E578E">
            <w:pPr>
              <w:spacing w:after="0"/>
              <w:rPr>
                <w:lang w:eastAsia="zh-CN"/>
              </w:rPr>
            </w:pPr>
            <w:r>
              <w:rPr>
                <w:rFonts w:hint="eastAsia"/>
                <w:lang w:eastAsia="zh-CN"/>
              </w:rPr>
              <w:t>y</w:t>
            </w:r>
            <w:r>
              <w:rPr>
                <w:lang w:eastAsia="zh-CN"/>
              </w:rPr>
              <w:t>itao.</w:t>
            </w:r>
            <w:r>
              <w:rPr>
                <w:rFonts w:hint="eastAsia"/>
                <w:lang w:eastAsia="zh-CN"/>
              </w:rPr>
              <w:t>mo</w:t>
            </w:r>
            <w:r>
              <w:rPr>
                <w:lang w:eastAsia="zh-CN"/>
              </w:rPr>
              <w:t>@vivo.com</w:t>
            </w:r>
          </w:p>
        </w:tc>
      </w:tr>
      <w:tr w:rsidR="00543145" w14:paraId="5E950202" w14:textId="77777777">
        <w:tc>
          <w:tcPr>
            <w:tcW w:w="1760" w:type="dxa"/>
          </w:tcPr>
          <w:p w14:paraId="0FA4FFBB" w14:textId="77777777" w:rsidR="00543145" w:rsidRDefault="004E578E">
            <w:pPr>
              <w:spacing w:after="0"/>
            </w:pPr>
            <w:r>
              <w:rPr>
                <w:rFonts w:hint="eastAsia"/>
                <w:lang w:eastAsia="zh-CN"/>
              </w:rPr>
              <w:t>H</w:t>
            </w:r>
            <w:r>
              <w:rPr>
                <w:lang w:eastAsia="zh-CN"/>
              </w:rPr>
              <w:t>uawei, HiSilicon</w:t>
            </w:r>
          </w:p>
        </w:tc>
        <w:tc>
          <w:tcPr>
            <w:tcW w:w="2687" w:type="dxa"/>
          </w:tcPr>
          <w:p w14:paraId="47F36BB2" w14:textId="77777777" w:rsidR="00543145" w:rsidRDefault="004E578E">
            <w:pPr>
              <w:spacing w:after="0"/>
            </w:pPr>
            <w:r>
              <w:rPr>
                <w:rFonts w:hint="eastAsia"/>
                <w:lang w:eastAsia="zh-CN"/>
              </w:rPr>
              <w:t>L</w:t>
            </w:r>
            <w:r>
              <w:rPr>
                <w:lang w:eastAsia="zh-CN"/>
              </w:rPr>
              <w:t>ili Zheng</w:t>
            </w:r>
          </w:p>
        </w:tc>
        <w:tc>
          <w:tcPr>
            <w:tcW w:w="4903" w:type="dxa"/>
          </w:tcPr>
          <w:p w14:paraId="60775F6F" w14:textId="77777777" w:rsidR="00543145" w:rsidRDefault="004E578E">
            <w:pPr>
              <w:spacing w:after="0"/>
            </w:pPr>
            <w:r>
              <w:t>zhengl</w:t>
            </w:r>
            <w:r>
              <w:rPr>
                <w:lang w:eastAsia="zh-CN"/>
              </w:rPr>
              <w:t>ili4@huawei.com</w:t>
            </w:r>
          </w:p>
        </w:tc>
      </w:tr>
      <w:tr w:rsidR="00543145" w14:paraId="30C27E03" w14:textId="77777777">
        <w:tc>
          <w:tcPr>
            <w:tcW w:w="1760" w:type="dxa"/>
          </w:tcPr>
          <w:p w14:paraId="157AFB05" w14:textId="7EFBCCC2" w:rsidR="00543145" w:rsidRDefault="004B5D6F">
            <w:pPr>
              <w:spacing w:after="0"/>
              <w:rPr>
                <w:lang w:eastAsia="zh-CN"/>
              </w:rPr>
            </w:pPr>
            <w:r>
              <w:rPr>
                <w:rFonts w:hint="eastAsia"/>
                <w:lang w:eastAsia="zh-CN"/>
              </w:rPr>
              <w:t>X</w:t>
            </w:r>
            <w:r>
              <w:rPr>
                <w:lang w:eastAsia="zh-CN"/>
              </w:rPr>
              <w:t>iaomi</w:t>
            </w:r>
          </w:p>
        </w:tc>
        <w:tc>
          <w:tcPr>
            <w:tcW w:w="2687" w:type="dxa"/>
          </w:tcPr>
          <w:p w14:paraId="29FC9EB2" w14:textId="2A3FDC75" w:rsidR="00543145" w:rsidRDefault="004B5D6F">
            <w:pPr>
              <w:spacing w:after="0"/>
              <w:rPr>
                <w:lang w:eastAsia="zh-CN"/>
              </w:rPr>
            </w:pPr>
            <w:r>
              <w:rPr>
                <w:rFonts w:hint="eastAsia"/>
                <w:lang w:eastAsia="zh-CN"/>
              </w:rPr>
              <w:t>X</w:t>
            </w:r>
            <w:r>
              <w:rPr>
                <w:lang w:eastAsia="zh-CN"/>
              </w:rPr>
              <w:t>iaolong Li</w:t>
            </w:r>
          </w:p>
        </w:tc>
        <w:tc>
          <w:tcPr>
            <w:tcW w:w="4903" w:type="dxa"/>
          </w:tcPr>
          <w:p w14:paraId="5B60EF20" w14:textId="713E7B6A" w:rsidR="00543145" w:rsidRDefault="004B5D6F">
            <w:pPr>
              <w:spacing w:after="0"/>
              <w:rPr>
                <w:lang w:eastAsia="zh-CN"/>
              </w:rPr>
            </w:pPr>
            <w:r>
              <w:rPr>
                <w:lang w:eastAsia="zh-CN"/>
              </w:rPr>
              <w:t>Lixiaolong1@xiaomi.com</w:t>
            </w:r>
          </w:p>
        </w:tc>
      </w:tr>
      <w:tr w:rsidR="00543145" w14:paraId="0A6ECA29" w14:textId="77777777">
        <w:tc>
          <w:tcPr>
            <w:tcW w:w="1760" w:type="dxa"/>
          </w:tcPr>
          <w:p w14:paraId="3068F555" w14:textId="02BEE2BE" w:rsidR="00543145" w:rsidRDefault="00645A64">
            <w:pPr>
              <w:spacing w:after="0"/>
            </w:pPr>
            <w:r>
              <w:t>Intel</w:t>
            </w:r>
          </w:p>
        </w:tc>
        <w:tc>
          <w:tcPr>
            <w:tcW w:w="2687" w:type="dxa"/>
          </w:tcPr>
          <w:p w14:paraId="45989937" w14:textId="769C40E1" w:rsidR="00543145" w:rsidRDefault="00645A64">
            <w:pPr>
              <w:spacing w:after="0"/>
            </w:pPr>
            <w:r>
              <w:t>Marta Martinez Tarradell</w:t>
            </w:r>
          </w:p>
        </w:tc>
        <w:tc>
          <w:tcPr>
            <w:tcW w:w="4903" w:type="dxa"/>
          </w:tcPr>
          <w:p w14:paraId="0A3ABCEF" w14:textId="1CF4AFB8" w:rsidR="00543145" w:rsidRDefault="00645A64">
            <w:pPr>
              <w:spacing w:after="0"/>
            </w:pPr>
            <w:r>
              <w:t>m.m.tarradell@intel.com</w:t>
            </w:r>
          </w:p>
        </w:tc>
      </w:tr>
      <w:tr w:rsidR="00543145" w14:paraId="03365C75" w14:textId="77777777">
        <w:tc>
          <w:tcPr>
            <w:tcW w:w="1760" w:type="dxa"/>
          </w:tcPr>
          <w:p w14:paraId="574E3640" w14:textId="77777777" w:rsidR="00543145" w:rsidRDefault="00543145">
            <w:pPr>
              <w:spacing w:after="0"/>
            </w:pPr>
          </w:p>
        </w:tc>
        <w:tc>
          <w:tcPr>
            <w:tcW w:w="2687" w:type="dxa"/>
          </w:tcPr>
          <w:p w14:paraId="6E84074B" w14:textId="77777777" w:rsidR="00543145" w:rsidRDefault="00543145">
            <w:pPr>
              <w:spacing w:after="0"/>
            </w:pPr>
          </w:p>
        </w:tc>
        <w:tc>
          <w:tcPr>
            <w:tcW w:w="4903" w:type="dxa"/>
          </w:tcPr>
          <w:p w14:paraId="5A18C47A" w14:textId="77777777" w:rsidR="00543145" w:rsidRDefault="00543145">
            <w:pPr>
              <w:spacing w:after="0"/>
            </w:pPr>
          </w:p>
        </w:tc>
      </w:tr>
      <w:tr w:rsidR="00543145" w14:paraId="7E344876" w14:textId="77777777">
        <w:tc>
          <w:tcPr>
            <w:tcW w:w="1760" w:type="dxa"/>
          </w:tcPr>
          <w:p w14:paraId="5785A9B4" w14:textId="77777777" w:rsidR="00543145" w:rsidRDefault="00543145">
            <w:pPr>
              <w:spacing w:after="0"/>
            </w:pPr>
          </w:p>
        </w:tc>
        <w:tc>
          <w:tcPr>
            <w:tcW w:w="2687" w:type="dxa"/>
          </w:tcPr>
          <w:p w14:paraId="3DCC36E2" w14:textId="77777777" w:rsidR="00543145" w:rsidRDefault="00543145">
            <w:pPr>
              <w:spacing w:after="0"/>
            </w:pPr>
          </w:p>
        </w:tc>
        <w:tc>
          <w:tcPr>
            <w:tcW w:w="4903" w:type="dxa"/>
          </w:tcPr>
          <w:p w14:paraId="5E625A6F" w14:textId="77777777" w:rsidR="00543145" w:rsidRDefault="00543145">
            <w:pPr>
              <w:spacing w:after="0"/>
            </w:pPr>
          </w:p>
        </w:tc>
      </w:tr>
    </w:tbl>
    <w:p w14:paraId="6EBAE0FA" w14:textId="77777777" w:rsidR="00543145" w:rsidRDefault="00543145">
      <w:pPr>
        <w:rPr>
          <w:lang w:val="en-GB" w:eastAsia="zh-CN"/>
        </w:rPr>
      </w:pPr>
    </w:p>
    <w:p w14:paraId="1255DBAC" w14:textId="77777777" w:rsidR="00543145" w:rsidRDefault="004E578E">
      <w:pPr>
        <w:pStyle w:val="Heading1"/>
        <w:numPr>
          <w:ilvl w:val="0"/>
          <w:numId w:val="4"/>
        </w:numPr>
      </w:pPr>
      <w:r>
        <w:t>Discussion</w:t>
      </w:r>
    </w:p>
    <w:p w14:paraId="02D90AEA" w14:textId="77777777" w:rsidR="00543145" w:rsidRDefault="004E578E">
      <w:pPr>
        <w:rPr>
          <w:lang w:val="en-GB" w:eastAsia="zh-CN"/>
        </w:rPr>
      </w:pPr>
      <w:r>
        <w:rPr>
          <w:lang w:val="en-GB" w:eastAsia="zh-CN"/>
        </w:rPr>
        <w:t>The following was agreed in last RAN2#123bis meeting “</w:t>
      </w:r>
      <w:r>
        <w:rPr>
          <w:i/>
          <w:iCs/>
        </w:rPr>
        <w:t>Combination of RACH-less HO with time-based CHO is supported in Rel-18 NTN for both Configured and Dynamic Grant.</w:t>
      </w:r>
      <w:r>
        <w:rPr>
          <w:lang w:val="en-GB" w:eastAsia="zh-CN"/>
        </w:rPr>
        <w:t>”. RAN2 should discuss whether related UE capabilities are desirable.</w:t>
      </w:r>
    </w:p>
    <w:p w14:paraId="36B50182" w14:textId="207DF762" w:rsidR="00AF29F0" w:rsidRDefault="004E578E" w:rsidP="00AF29F0">
      <w:pPr>
        <w:pStyle w:val="ListParagraph"/>
        <w:numPr>
          <w:ilvl w:val="0"/>
          <w:numId w:val="6"/>
        </w:numPr>
        <w:ind w:left="360"/>
        <w:jc w:val="both"/>
      </w:pPr>
      <w:bookmarkStart w:id="3" w:name="_Ref148519897"/>
      <w:r>
        <w:t>Do you support defining a new UE capability to indicate UE’s support of RACH-less HO with time-based CHO?</w:t>
      </w:r>
      <w:bookmarkEnd w:id="3"/>
      <w:r>
        <w:t xml:space="preserve"> </w:t>
      </w:r>
    </w:p>
    <w:p w14:paraId="2AB7DA4E" w14:textId="77777777" w:rsidR="00AF29F0" w:rsidRDefault="00AF29F0" w:rsidP="00AF29F0">
      <w:pPr>
        <w:jc w:val="both"/>
      </w:pPr>
    </w:p>
    <w:p w14:paraId="748FD1ED" w14:textId="77777777" w:rsidR="00AF29F0" w:rsidRDefault="00AF29F0" w:rsidP="00AF29F0">
      <w:pPr>
        <w:jc w:val="both"/>
      </w:pPr>
    </w:p>
    <w:tbl>
      <w:tblPr>
        <w:tblStyle w:val="TableGrid"/>
        <w:tblW w:w="9355" w:type="dxa"/>
        <w:tblLook w:val="04A0" w:firstRow="1" w:lastRow="0" w:firstColumn="1" w:lastColumn="0" w:noHBand="0" w:noVBand="1"/>
      </w:tblPr>
      <w:tblGrid>
        <w:gridCol w:w="1713"/>
        <w:gridCol w:w="1005"/>
        <w:gridCol w:w="6637"/>
      </w:tblGrid>
      <w:tr w:rsidR="00543145" w14:paraId="08E8909F" w14:textId="77777777">
        <w:tc>
          <w:tcPr>
            <w:tcW w:w="1713" w:type="dxa"/>
            <w:shd w:val="clear" w:color="auto" w:fill="BFBFBF" w:themeFill="background1" w:themeFillShade="BF"/>
          </w:tcPr>
          <w:p w14:paraId="7E8AF52E" w14:textId="77777777" w:rsidR="00543145" w:rsidRDefault="004E578E">
            <w:pPr>
              <w:spacing w:after="0"/>
              <w:jc w:val="center"/>
              <w:rPr>
                <w:b/>
                <w:bCs/>
              </w:rPr>
            </w:pPr>
            <w:r>
              <w:rPr>
                <w:b/>
                <w:bCs/>
              </w:rPr>
              <w:t>Company’s name</w:t>
            </w:r>
          </w:p>
        </w:tc>
        <w:tc>
          <w:tcPr>
            <w:tcW w:w="1005" w:type="dxa"/>
            <w:shd w:val="clear" w:color="auto" w:fill="BFBFBF" w:themeFill="background1" w:themeFillShade="BF"/>
          </w:tcPr>
          <w:p w14:paraId="33ECD4AE" w14:textId="77777777" w:rsidR="00543145" w:rsidRDefault="004E578E">
            <w:pPr>
              <w:spacing w:after="0"/>
              <w:rPr>
                <w:b/>
                <w:bCs/>
              </w:rPr>
            </w:pPr>
            <w:r>
              <w:rPr>
                <w:b/>
                <w:bCs/>
              </w:rPr>
              <w:t>Yes/No</w:t>
            </w:r>
          </w:p>
        </w:tc>
        <w:tc>
          <w:tcPr>
            <w:tcW w:w="6637" w:type="dxa"/>
            <w:shd w:val="clear" w:color="auto" w:fill="BFBFBF" w:themeFill="background1" w:themeFillShade="BF"/>
          </w:tcPr>
          <w:p w14:paraId="1FA7F180" w14:textId="77777777" w:rsidR="00543145" w:rsidRDefault="004E578E">
            <w:pPr>
              <w:spacing w:after="0"/>
              <w:jc w:val="center"/>
              <w:rPr>
                <w:b/>
                <w:bCs/>
              </w:rPr>
            </w:pPr>
            <w:r>
              <w:rPr>
                <w:b/>
                <w:bCs/>
              </w:rPr>
              <w:t>Comments, if any</w:t>
            </w:r>
          </w:p>
        </w:tc>
      </w:tr>
      <w:tr w:rsidR="00543145" w14:paraId="57173B7A" w14:textId="77777777">
        <w:tc>
          <w:tcPr>
            <w:tcW w:w="1713" w:type="dxa"/>
          </w:tcPr>
          <w:p w14:paraId="5D00E46C" w14:textId="77777777" w:rsidR="00543145" w:rsidRDefault="004E578E">
            <w:pPr>
              <w:spacing w:after="0"/>
            </w:pPr>
            <w:r>
              <w:t>Ericsson</w:t>
            </w:r>
          </w:p>
        </w:tc>
        <w:tc>
          <w:tcPr>
            <w:tcW w:w="1005" w:type="dxa"/>
          </w:tcPr>
          <w:p w14:paraId="0647FA13" w14:textId="77777777" w:rsidR="00543145" w:rsidRDefault="004E578E">
            <w:pPr>
              <w:spacing w:after="0"/>
            </w:pPr>
            <w:r>
              <w:t xml:space="preserve">No </w:t>
            </w:r>
          </w:p>
        </w:tc>
        <w:tc>
          <w:tcPr>
            <w:tcW w:w="6637" w:type="dxa"/>
          </w:tcPr>
          <w:p w14:paraId="12516187" w14:textId="77777777" w:rsidR="00543145" w:rsidRDefault="004E578E">
            <w:pPr>
              <w:spacing w:after="0"/>
            </w:pPr>
            <w:r>
              <w:t>Existing capabilities, CHO and RACH-less, should be enough.</w:t>
            </w:r>
          </w:p>
        </w:tc>
      </w:tr>
      <w:tr w:rsidR="00543145" w14:paraId="3BB48AE0" w14:textId="77777777">
        <w:tc>
          <w:tcPr>
            <w:tcW w:w="1713" w:type="dxa"/>
          </w:tcPr>
          <w:p w14:paraId="3151A371" w14:textId="77777777" w:rsidR="00543145" w:rsidRDefault="004E578E">
            <w:pPr>
              <w:spacing w:after="0"/>
              <w:rPr>
                <w:lang w:eastAsia="zh-CN"/>
              </w:rPr>
            </w:pPr>
            <w:r>
              <w:rPr>
                <w:rFonts w:hint="eastAsia"/>
                <w:lang w:eastAsia="zh-CN"/>
              </w:rPr>
              <w:t>v</w:t>
            </w:r>
            <w:r>
              <w:rPr>
                <w:lang w:eastAsia="zh-CN"/>
              </w:rPr>
              <w:t>ivo</w:t>
            </w:r>
          </w:p>
        </w:tc>
        <w:tc>
          <w:tcPr>
            <w:tcW w:w="1005" w:type="dxa"/>
          </w:tcPr>
          <w:p w14:paraId="23F80403" w14:textId="77777777" w:rsidR="00543145" w:rsidRDefault="004E578E">
            <w:pPr>
              <w:spacing w:after="0"/>
              <w:rPr>
                <w:lang w:eastAsia="zh-CN"/>
              </w:rPr>
            </w:pPr>
            <w:r>
              <w:rPr>
                <w:rFonts w:hint="eastAsia"/>
                <w:lang w:eastAsia="zh-CN"/>
              </w:rPr>
              <w:t>N</w:t>
            </w:r>
            <w:r>
              <w:rPr>
                <w:lang w:eastAsia="zh-CN"/>
              </w:rPr>
              <w:t>o</w:t>
            </w:r>
          </w:p>
        </w:tc>
        <w:tc>
          <w:tcPr>
            <w:tcW w:w="6637" w:type="dxa"/>
          </w:tcPr>
          <w:p w14:paraId="7CBEB862" w14:textId="77777777" w:rsidR="00543145" w:rsidRDefault="004E578E">
            <w:pPr>
              <w:spacing w:after="0"/>
              <w:rPr>
                <w:lang w:eastAsia="zh-CN"/>
              </w:rPr>
            </w:pPr>
            <w:r>
              <w:rPr>
                <w:lang w:eastAsia="zh-CN"/>
              </w:rPr>
              <w:t xml:space="preserve">We don’t have specific UE behavior when CHI is configured with RACH-less. So we agree with Ericsson that reusing the CHO and RACH-less capabilities are sufficient.  </w:t>
            </w:r>
          </w:p>
        </w:tc>
      </w:tr>
      <w:tr w:rsidR="00543145" w14:paraId="41DD8E02" w14:textId="77777777">
        <w:tc>
          <w:tcPr>
            <w:tcW w:w="1713" w:type="dxa"/>
          </w:tcPr>
          <w:p w14:paraId="18409635" w14:textId="77777777" w:rsidR="00543145" w:rsidRDefault="004E578E">
            <w:pPr>
              <w:spacing w:after="0"/>
            </w:pPr>
            <w:r>
              <w:rPr>
                <w:rFonts w:hint="eastAsia"/>
                <w:lang w:eastAsia="zh-CN"/>
              </w:rPr>
              <w:t>H</w:t>
            </w:r>
            <w:r>
              <w:rPr>
                <w:lang w:eastAsia="zh-CN"/>
              </w:rPr>
              <w:t>uawei, HiSilicon</w:t>
            </w:r>
          </w:p>
        </w:tc>
        <w:tc>
          <w:tcPr>
            <w:tcW w:w="1005" w:type="dxa"/>
          </w:tcPr>
          <w:p w14:paraId="00CF3923" w14:textId="77777777" w:rsidR="00543145" w:rsidRDefault="004E578E">
            <w:pPr>
              <w:spacing w:after="0"/>
            </w:pPr>
            <w:r>
              <w:rPr>
                <w:rFonts w:hint="eastAsia"/>
                <w:lang w:eastAsia="zh-CN"/>
              </w:rPr>
              <w:t>N</w:t>
            </w:r>
            <w:r>
              <w:rPr>
                <w:lang w:eastAsia="zh-CN"/>
              </w:rPr>
              <w:t>o</w:t>
            </w:r>
          </w:p>
        </w:tc>
        <w:tc>
          <w:tcPr>
            <w:tcW w:w="6637" w:type="dxa"/>
          </w:tcPr>
          <w:p w14:paraId="28CFAAF0" w14:textId="77777777" w:rsidR="00543145" w:rsidRDefault="004E578E">
            <w:pPr>
              <w:spacing w:after="0"/>
            </w:pPr>
            <w:r>
              <w:rPr>
                <w:lang w:eastAsia="zh-CN"/>
              </w:rPr>
              <w:t>We think the UE implementation of RACH-less HO and time-based CHO are quite independent features, the combination is more of a NW configuration issue. If we introduce a separate capability for this, RAN2 may end up introducing a separate capability for every combination of CHO event with RACH-less or other feature with RACH-less if agreed in the future.</w:t>
            </w:r>
          </w:p>
        </w:tc>
      </w:tr>
      <w:tr w:rsidR="00543145" w14:paraId="4E13D680" w14:textId="77777777">
        <w:tc>
          <w:tcPr>
            <w:tcW w:w="1713" w:type="dxa"/>
          </w:tcPr>
          <w:p w14:paraId="6B9DB961" w14:textId="77777777" w:rsidR="00543145" w:rsidRDefault="004E578E">
            <w:pPr>
              <w:spacing w:after="0"/>
              <w:rPr>
                <w:lang w:eastAsia="zh-CN"/>
              </w:rPr>
            </w:pPr>
            <w:r>
              <w:rPr>
                <w:lang w:eastAsia="zh-CN"/>
              </w:rPr>
              <w:t>Qualcomm</w:t>
            </w:r>
          </w:p>
        </w:tc>
        <w:tc>
          <w:tcPr>
            <w:tcW w:w="1005" w:type="dxa"/>
          </w:tcPr>
          <w:p w14:paraId="1CDDADE2" w14:textId="77777777" w:rsidR="00543145" w:rsidRDefault="00543145">
            <w:pPr>
              <w:spacing w:after="0"/>
              <w:rPr>
                <w:lang w:eastAsia="zh-CN"/>
              </w:rPr>
            </w:pPr>
          </w:p>
        </w:tc>
        <w:tc>
          <w:tcPr>
            <w:tcW w:w="6637" w:type="dxa"/>
          </w:tcPr>
          <w:p w14:paraId="7F648373" w14:textId="77777777" w:rsidR="00543145" w:rsidRDefault="004E578E">
            <w:pPr>
              <w:spacing w:after="0"/>
              <w:rPr>
                <w:lang w:val="en-GB" w:eastAsia="zh-CN"/>
              </w:rPr>
            </w:pPr>
            <w:r>
              <w:rPr>
                <w:lang w:val="en-GB" w:eastAsia="zh-CN"/>
              </w:rPr>
              <w:t>For now ok the time-based CHO + Rel-18 band specific RACH-less HO UE capabilities could be sufficient.</w:t>
            </w:r>
          </w:p>
        </w:tc>
      </w:tr>
      <w:tr w:rsidR="00543145" w14:paraId="7B66B55C" w14:textId="77777777">
        <w:tc>
          <w:tcPr>
            <w:tcW w:w="1713" w:type="dxa"/>
          </w:tcPr>
          <w:p w14:paraId="6A18D2ED" w14:textId="77777777" w:rsidR="00543145" w:rsidRDefault="004E578E">
            <w:pPr>
              <w:spacing w:after="0"/>
              <w:rPr>
                <w:lang w:eastAsia="zh-CN"/>
              </w:rPr>
            </w:pPr>
            <w:r>
              <w:rPr>
                <w:rFonts w:hint="eastAsia"/>
                <w:lang w:eastAsia="zh-CN"/>
              </w:rPr>
              <w:t>ZTE</w:t>
            </w:r>
          </w:p>
        </w:tc>
        <w:tc>
          <w:tcPr>
            <w:tcW w:w="1005" w:type="dxa"/>
          </w:tcPr>
          <w:p w14:paraId="5560B38D" w14:textId="77777777" w:rsidR="00543145" w:rsidRDefault="004E578E">
            <w:pPr>
              <w:spacing w:after="0"/>
              <w:rPr>
                <w:lang w:eastAsia="zh-CN"/>
              </w:rPr>
            </w:pPr>
            <w:r>
              <w:rPr>
                <w:rFonts w:hint="eastAsia"/>
                <w:lang w:eastAsia="zh-CN"/>
              </w:rPr>
              <w:t>No</w:t>
            </w:r>
          </w:p>
        </w:tc>
        <w:tc>
          <w:tcPr>
            <w:tcW w:w="6637" w:type="dxa"/>
          </w:tcPr>
          <w:p w14:paraId="79D4FFD0" w14:textId="77777777" w:rsidR="00543145" w:rsidRDefault="00543145">
            <w:pPr>
              <w:spacing w:after="0"/>
              <w:rPr>
                <w:lang w:val="en-GB"/>
              </w:rPr>
            </w:pPr>
          </w:p>
        </w:tc>
      </w:tr>
      <w:tr w:rsidR="00C47847" w14:paraId="79DD2BCF" w14:textId="77777777">
        <w:tc>
          <w:tcPr>
            <w:tcW w:w="1713" w:type="dxa"/>
          </w:tcPr>
          <w:p w14:paraId="5F9D4F49" w14:textId="0B5F264A" w:rsidR="00C47847" w:rsidRDefault="00C47847">
            <w:pPr>
              <w:spacing w:after="0"/>
              <w:rPr>
                <w:lang w:eastAsia="zh-CN"/>
              </w:rPr>
            </w:pPr>
            <w:r>
              <w:rPr>
                <w:rFonts w:hint="eastAsia"/>
                <w:lang w:eastAsia="zh-CN"/>
              </w:rPr>
              <w:t>X</w:t>
            </w:r>
            <w:r>
              <w:rPr>
                <w:lang w:eastAsia="zh-CN"/>
              </w:rPr>
              <w:t>iaomi</w:t>
            </w:r>
          </w:p>
        </w:tc>
        <w:tc>
          <w:tcPr>
            <w:tcW w:w="1005" w:type="dxa"/>
          </w:tcPr>
          <w:p w14:paraId="30F79FD4" w14:textId="0107F866" w:rsidR="00C47847" w:rsidRDefault="00C47847">
            <w:pPr>
              <w:spacing w:after="0"/>
              <w:rPr>
                <w:lang w:eastAsia="zh-CN"/>
              </w:rPr>
            </w:pPr>
            <w:r>
              <w:rPr>
                <w:rFonts w:hint="eastAsia"/>
                <w:lang w:eastAsia="zh-CN"/>
              </w:rPr>
              <w:t>N</w:t>
            </w:r>
            <w:r>
              <w:rPr>
                <w:lang w:eastAsia="zh-CN"/>
              </w:rPr>
              <w:t>o</w:t>
            </w:r>
          </w:p>
        </w:tc>
        <w:tc>
          <w:tcPr>
            <w:tcW w:w="6637" w:type="dxa"/>
          </w:tcPr>
          <w:p w14:paraId="26BB489B" w14:textId="165B9866" w:rsidR="00C47847" w:rsidRPr="00C47847" w:rsidRDefault="00C47847">
            <w:pPr>
              <w:spacing w:after="0"/>
              <w:rPr>
                <w:lang w:eastAsia="zh-CN"/>
              </w:rPr>
            </w:pPr>
            <w:r>
              <w:rPr>
                <w:rFonts w:hint="eastAsia"/>
                <w:lang w:val="en-GB" w:eastAsia="zh-CN"/>
              </w:rPr>
              <w:t>I</w:t>
            </w:r>
            <w:r>
              <w:rPr>
                <w:lang w:val="en-GB" w:eastAsia="zh-CN"/>
              </w:rPr>
              <w:t>f UE supports both RACH-less HO and time based CHO, the UE should support RACH-less HO with time-based CHO.</w:t>
            </w:r>
          </w:p>
        </w:tc>
      </w:tr>
    </w:tbl>
    <w:p w14:paraId="2E4892B8" w14:textId="08453AD4" w:rsidR="00543145" w:rsidRPr="00BE417D" w:rsidRDefault="00887F94" w:rsidP="00BE417D">
      <w:pPr>
        <w:spacing w:before="120"/>
        <w:rPr>
          <w:b/>
          <w:bCs/>
          <w:color w:val="000099"/>
        </w:rPr>
      </w:pPr>
      <w:r w:rsidRPr="00BE417D">
        <w:rPr>
          <w:b/>
          <w:bCs/>
          <w:color w:val="000099"/>
        </w:rPr>
        <w:t>[</w:t>
      </w:r>
      <w:r>
        <w:rPr>
          <w:b/>
          <w:bCs/>
          <w:color w:val="000099"/>
        </w:rPr>
        <w:t>Summary</w:t>
      </w:r>
      <w:r w:rsidRPr="00BE417D">
        <w:rPr>
          <w:b/>
          <w:bCs/>
          <w:color w:val="000099"/>
        </w:rPr>
        <w:t xml:space="preserve"> report] </w:t>
      </w:r>
      <w:r>
        <w:rPr>
          <w:b/>
          <w:bCs/>
          <w:color w:val="000099"/>
        </w:rPr>
        <w:t xml:space="preserve">[Rapp(v2)] </w:t>
      </w:r>
      <w:r w:rsidR="006244A5">
        <w:rPr>
          <w:color w:val="000099"/>
        </w:rPr>
        <w:t>All c</w:t>
      </w:r>
      <w:r w:rsidRPr="00BE417D">
        <w:rPr>
          <w:color w:val="000099"/>
        </w:rPr>
        <w:t>ompanies do not see the need to defining a new UE capability to indicate UE’s support of RACH-less HO with time-based CHO</w:t>
      </w:r>
      <w:r>
        <w:rPr>
          <w:color w:val="000099"/>
        </w:rPr>
        <w:t xml:space="preserve"> </w:t>
      </w:r>
      <w:r w:rsidR="006244A5">
        <w:rPr>
          <w:color w:val="000099"/>
        </w:rPr>
        <w:t xml:space="preserve">understanding that this could be indicated via the UE’s capabilities for </w:t>
      </w:r>
      <w:r w:rsidR="006244A5" w:rsidRPr="006244A5">
        <w:rPr>
          <w:color w:val="000099"/>
        </w:rPr>
        <w:t>time-based CHO + Rel-18 band specific RACH-less HO UE</w:t>
      </w:r>
      <w:r w:rsidR="006244A5">
        <w:rPr>
          <w:color w:val="000099"/>
        </w:rPr>
        <w:t>.</w:t>
      </w:r>
    </w:p>
    <w:p w14:paraId="31315FE8" w14:textId="77777777" w:rsidR="00543145" w:rsidRDefault="004E578E">
      <w:pPr>
        <w:pStyle w:val="ListParagraph"/>
        <w:numPr>
          <w:ilvl w:val="0"/>
          <w:numId w:val="6"/>
        </w:numPr>
        <w:ind w:left="360"/>
        <w:jc w:val="both"/>
      </w:pPr>
      <w:r>
        <w:t xml:space="preserve">If your response to previous </w:t>
      </w:r>
      <w:r>
        <w:fldChar w:fldCharType="begin"/>
      </w:r>
      <w:r>
        <w:instrText xml:space="preserve"> REF _Ref148519897 \r \h </w:instrText>
      </w:r>
      <w:r>
        <w:fldChar w:fldCharType="separate"/>
      </w:r>
      <w:r>
        <w:t>Discussion point 1)</w:t>
      </w:r>
      <w:r>
        <w:fldChar w:fldCharType="end"/>
      </w:r>
      <w:r>
        <w:t xml:space="preserve"> is yes, do you support having two new UE capabilities to indicate UE’s support differently with CG and DG for the combination of RACH-less HO with time-based CHO? </w:t>
      </w:r>
    </w:p>
    <w:tbl>
      <w:tblPr>
        <w:tblStyle w:val="TableGrid"/>
        <w:tblW w:w="9355" w:type="dxa"/>
        <w:tblLook w:val="04A0" w:firstRow="1" w:lastRow="0" w:firstColumn="1" w:lastColumn="0" w:noHBand="0" w:noVBand="1"/>
      </w:tblPr>
      <w:tblGrid>
        <w:gridCol w:w="1713"/>
        <w:gridCol w:w="1005"/>
        <w:gridCol w:w="6637"/>
      </w:tblGrid>
      <w:tr w:rsidR="00543145" w14:paraId="66D6DC64" w14:textId="77777777">
        <w:tc>
          <w:tcPr>
            <w:tcW w:w="1713" w:type="dxa"/>
            <w:shd w:val="clear" w:color="auto" w:fill="BFBFBF" w:themeFill="background1" w:themeFillShade="BF"/>
          </w:tcPr>
          <w:p w14:paraId="4E391090" w14:textId="77777777" w:rsidR="00543145" w:rsidRDefault="004E578E">
            <w:pPr>
              <w:spacing w:after="0"/>
              <w:jc w:val="center"/>
              <w:rPr>
                <w:b/>
                <w:bCs/>
              </w:rPr>
            </w:pPr>
            <w:r>
              <w:rPr>
                <w:b/>
                <w:bCs/>
              </w:rPr>
              <w:t>Company’s name</w:t>
            </w:r>
          </w:p>
        </w:tc>
        <w:tc>
          <w:tcPr>
            <w:tcW w:w="1005" w:type="dxa"/>
            <w:shd w:val="clear" w:color="auto" w:fill="BFBFBF" w:themeFill="background1" w:themeFillShade="BF"/>
          </w:tcPr>
          <w:p w14:paraId="7E3D3083" w14:textId="77777777" w:rsidR="00543145" w:rsidRDefault="004E578E">
            <w:pPr>
              <w:spacing w:after="0"/>
              <w:rPr>
                <w:b/>
                <w:bCs/>
              </w:rPr>
            </w:pPr>
            <w:r>
              <w:rPr>
                <w:b/>
                <w:bCs/>
              </w:rPr>
              <w:t>Yes/No</w:t>
            </w:r>
          </w:p>
        </w:tc>
        <w:tc>
          <w:tcPr>
            <w:tcW w:w="6637" w:type="dxa"/>
            <w:shd w:val="clear" w:color="auto" w:fill="BFBFBF" w:themeFill="background1" w:themeFillShade="BF"/>
          </w:tcPr>
          <w:p w14:paraId="0C7B0761" w14:textId="77777777" w:rsidR="00543145" w:rsidRDefault="004E578E">
            <w:pPr>
              <w:spacing w:after="0"/>
              <w:jc w:val="center"/>
              <w:rPr>
                <w:b/>
                <w:bCs/>
              </w:rPr>
            </w:pPr>
            <w:r>
              <w:rPr>
                <w:b/>
                <w:bCs/>
              </w:rPr>
              <w:t>Comments, if any</w:t>
            </w:r>
          </w:p>
        </w:tc>
      </w:tr>
      <w:tr w:rsidR="00543145" w14:paraId="1FD02DF2" w14:textId="77777777">
        <w:tc>
          <w:tcPr>
            <w:tcW w:w="1713" w:type="dxa"/>
          </w:tcPr>
          <w:p w14:paraId="5BD1E575" w14:textId="77777777" w:rsidR="00543145" w:rsidRDefault="00543145">
            <w:pPr>
              <w:spacing w:after="0"/>
            </w:pPr>
          </w:p>
        </w:tc>
        <w:tc>
          <w:tcPr>
            <w:tcW w:w="1005" w:type="dxa"/>
          </w:tcPr>
          <w:p w14:paraId="1E5CA062" w14:textId="77777777" w:rsidR="00543145" w:rsidRDefault="00543145">
            <w:pPr>
              <w:spacing w:after="0"/>
            </w:pPr>
          </w:p>
        </w:tc>
        <w:tc>
          <w:tcPr>
            <w:tcW w:w="6637" w:type="dxa"/>
          </w:tcPr>
          <w:p w14:paraId="62819223" w14:textId="77777777" w:rsidR="00543145" w:rsidRDefault="00543145">
            <w:pPr>
              <w:spacing w:after="0"/>
            </w:pPr>
          </w:p>
        </w:tc>
      </w:tr>
      <w:tr w:rsidR="00543145" w14:paraId="2F6786B8" w14:textId="77777777">
        <w:tc>
          <w:tcPr>
            <w:tcW w:w="1713" w:type="dxa"/>
          </w:tcPr>
          <w:p w14:paraId="107F5F9A" w14:textId="77777777" w:rsidR="00543145" w:rsidRDefault="00543145">
            <w:pPr>
              <w:spacing w:after="0"/>
              <w:rPr>
                <w:lang w:eastAsia="zh-CN"/>
              </w:rPr>
            </w:pPr>
          </w:p>
        </w:tc>
        <w:tc>
          <w:tcPr>
            <w:tcW w:w="1005" w:type="dxa"/>
          </w:tcPr>
          <w:p w14:paraId="018363C0" w14:textId="77777777" w:rsidR="00543145" w:rsidRDefault="00543145">
            <w:pPr>
              <w:spacing w:after="0"/>
              <w:rPr>
                <w:lang w:eastAsia="zh-CN"/>
              </w:rPr>
            </w:pPr>
          </w:p>
        </w:tc>
        <w:tc>
          <w:tcPr>
            <w:tcW w:w="6637" w:type="dxa"/>
          </w:tcPr>
          <w:p w14:paraId="28967732" w14:textId="77777777" w:rsidR="00543145" w:rsidRDefault="00543145">
            <w:pPr>
              <w:pStyle w:val="ListParagraph"/>
              <w:spacing w:after="0"/>
              <w:ind w:left="420"/>
            </w:pPr>
          </w:p>
        </w:tc>
      </w:tr>
    </w:tbl>
    <w:p w14:paraId="584CD825" w14:textId="77777777" w:rsidR="00543145" w:rsidRDefault="00543145">
      <w:pPr>
        <w:jc w:val="both"/>
      </w:pPr>
    </w:p>
    <w:p w14:paraId="170CE2C1" w14:textId="77777777" w:rsidR="00543145" w:rsidRDefault="004E578E">
      <w:pPr>
        <w:pStyle w:val="ListParagraph"/>
        <w:numPr>
          <w:ilvl w:val="0"/>
          <w:numId w:val="6"/>
        </w:numPr>
        <w:ind w:left="360"/>
        <w:jc w:val="both"/>
      </w:pPr>
      <w:r>
        <w:t>Please indicate if you have any suggested change on the TPs provided on UE capability running draftCRs to TS 38.306 and 38.331.</w:t>
      </w:r>
    </w:p>
    <w:tbl>
      <w:tblPr>
        <w:tblStyle w:val="TableGrid"/>
        <w:tblW w:w="9355" w:type="dxa"/>
        <w:tblLook w:val="04A0" w:firstRow="1" w:lastRow="0" w:firstColumn="1" w:lastColumn="0" w:noHBand="0" w:noVBand="1"/>
      </w:tblPr>
      <w:tblGrid>
        <w:gridCol w:w="1728"/>
        <w:gridCol w:w="864"/>
        <w:gridCol w:w="1008"/>
        <w:gridCol w:w="5755"/>
      </w:tblGrid>
      <w:tr w:rsidR="00543145" w14:paraId="7ADEC4D4" w14:textId="77777777">
        <w:tc>
          <w:tcPr>
            <w:tcW w:w="1728" w:type="dxa"/>
            <w:shd w:val="clear" w:color="auto" w:fill="BFBFBF" w:themeFill="background1" w:themeFillShade="BF"/>
          </w:tcPr>
          <w:p w14:paraId="6463BB63" w14:textId="77777777" w:rsidR="00543145" w:rsidRDefault="004E578E">
            <w:pPr>
              <w:spacing w:after="0"/>
              <w:jc w:val="center"/>
              <w:rPr>
                <w:b/>
                <w:bCs/>
              </w:rPr>
            </w:pPr>
            <w:r>
              <w:rPr>
                <w:b/>
                <w:bCs/>
              </w:rPr>
              <w:t>Company’s name</w:t>
            </w:r>
          </w:p>
        </w:tc>
        <w:tc>
          <w:tcPr>
            <w:tcW w:w="864" w:type="dxa"/>
            <w:shd w:val="clear" w:color="auto" w:fill="BFBFBF" w:themeFill="background1" w:themeFillShade="BF"/>
          </w:tcPr>
          <w:p w14:paraId="6118A46C" w14:textId="77777777" w:rsidR="00543145" w:rsidRDefault="004E578E">
            <w:pPr>
              <w:spacing w:after="0"/>
              <w:jc w:val="center"/>
              <w:rPr>
                <w:b/>
                <w:bCs/>
              </w:rPr>
            </w:pPr>
            <w:r>
              <w:rPr>
                <w:b/>
                <w:bCs/>
              </w:rPr>
              <w:t>TS #</w:t>
            </w:r>
          </w:p>
        </w:tc>
        <w:tc>
          <w:tcPr>
            <w:tcW w:w="1008" w:type="dxa"/>
            <w:shd w:val="clear" w:color="auto" w:fill="BFBFBF" w:themeFill="background1" w:themeFillShade="BF"/>
          </w:tcPr>
          <w:p w14:paraId="0968ACD0" w14:textId="77777777" w:rsidR="00543145" w:rsidRDefault="004E578E">
            <w:pPr>
              <w:spacing w:after="0"/>
              <w:jc w:val="center"/>
              <w:rPr>
                <w:b/>
                <w:bCs/>
              </w:rPr>
            </w:pPr>
            <w:r>
              <w:rPr>
                <w:b/>
                <w:bCs/>
              </w:rPr>
              <w:t>Section</w:t>
            </w:r>
          </w:p>
        </w:tc>
        <w:tc>
          <w:tcPr>
            <w:tcW w:w="5755" w:type="dxa"/>
            <w:shd w:val="clear" w:color="auto" w:fill="BFBFBF" w:themeFill="background1" w:themeFillShade="BF"/>
          </w:tcPr>
          <w:p w14:paraId="0FBA586B" w14:textId="77777777" w:rsidR="00543145" w:rsidRDefault="004E578E">
            <w:pPr>
              <w:spacing w:after="0"/>
              <w:jc w:val="center"/>
              <w:rPr>
                <w:b/>
                <w:bCs/>
              </w:rPr>
            </w:pPr>
            <w:r>
              <w:rPr>
                <w:b/>
                <w:bCs/>
              </w:rPr>
              <w:t>Comments, if any</w:t>
            </w:r>
          </w:p>
        </w:tc>
      </w:tr>
      <w:tr w:rsidR="00543145" w14:paraId="15F26739" w14:textId="77777777">
        <w:tc>
          <w:tcPr>
            <w:tcW w:w="1728" w:type="dxa"/>
          </w:tcPr>
          <w:p w14:paraId="4F31EF8D" w14:textId="77777777" w:rsidR="00543145" w:rsidRDefault="00543145">
            <w:pPr>
              <w:spacing w:after="0"/>
            </w:pPr>
          </w:p>
        </w:tc>
        <w:tc>
          <w:tcPr>
            <w:tcW w:w="864" w:type="dxa"/>
          </w:tcPr>
          <w:p w14:paraId="49BFDBD9" w14:textId="77777777" w:rsidR="00543145" w:rsidRDefault="00543145">
            <w:pPr>
              <w:spacing w:after="0"/>
            </w:pPr>
          </w:p>
        </w:tc>
        <w:tc>
          <w:tcPr>
            <w:tcW w:w="1008" w:type="dxa"/>
          </w:tcPr>
          <w:p w14:paraId="6061F5B0" w14:textId="77777777" w:rsidR="00543145" w:rsidRDefault="00543145">
            <w:pPr>
              <w:spacing w:after="0"/>
            </w:pPr>
          </w:p>
        </w:tc>
        <w:tc>
          <w:tcPr>
            <w:tcW w:w="5755" w:type="dxa"/>
          </w:tcPr>
          <w:p w14:paraId="291B4352" w14:textId="77777777" w:rsidR="00543145" w:rsidRDefault="00543145">
            <w:pPr>
              <w:spacing w:after="0"/>
            </w:pPr>
          </w:p>
        </w:tc>
      </w:tr>
      <w:tr w:rsidR="00543145" w14:paraId="3BDE074A" w14:textId="77777777">
        <w:tc>
          <w:tcPr>
            <w:tcW w:w="1728" w:type="dxa"/>
          </w:tcPr>
          <w:p w14:paraId="0F6EC5A9" w14:textId="77777777" w:rsidR="00543145" w:rsidRDefault="00543145">
            <w:pPr>
              <w:spacing w:after="0"/>
            </w:pPr>
          </w:p>
        </w:tc>
        <w:tc>
          <w:tcPr>
            <w:tcW w:w="864" w:type="dxa"/>
          </w:tcPr>
          <w:p w14:paraId="27A1909B" w14:textId="77777777" w:rsidR="00543145" w:rsidRDefault="00543145">
            <w:pPr>
              <w:spacing w:after="0"/>
              <w:rPr>
                <w:lang w:eastAsia="zh-CN"/>
              </w:rPr>
            </w:pPr>
          </w:p>
        </w:tc>
        <w:tc>
          <w:tcPr>
            <w:tcW w:w="1008" w:type="dxa"/>
          </w:tcPr>
          <w:p w14:paraId="7C35443A" w14:textId="77777777" w:rsidR="00543145" w:rsidRDefault="00543145">
            <w:pPr>
              <w:spacing w:after="0"/>
            </w:pPr>
          </w:p>
        </w:tc>
        <w:tc>
          <w:tcPr>
            <w:tcW w:w="5755" w:type="dxa"/>
          </w:tcPr>
          <w:p w14:paraId="22874E92" w14:textId="77777777" w:rsidR="00543145" w:rsidRDefault="00543145">
            <w:pPr>
              <w:spacing w:after="0"/>
            </w:pPr>
          </w:p>
        </w:tc>
      </w:tr>
    </w:tbl>
    <w:p w14:paraId="6FCA3A37" w14:textId="77777777" w:rsidR="00543145" w:rsidRDefault="00543145" w:rsidP="00AF29F0">
      <w:pPr>
        <w:spacing w:after="0"/>
      </w:pPr>
    </w:p>
    <w:p w14:paraId="3C28446B" w14:textId="77777777" w:rsidR="00543145" w:rsidRDefault="004E578E">
      <w:pPr>
        <w:pStyle w:val="ListParagraph"/>
        <w:numPr>
          <w:ilvl w:val="0"/>
          <w:numId w:val="6"/>
        </w:numPr>
        <w:ind w:left="360"/>
        <w:jc w:val="both"/>
      </w:pPr>
      <w:bookmarkStart w:id="4" w:name="_Ref149036635"/>
      <w:r>
        <w:t>Do you support defining a new UE capability to indicate UE’s support of location-based CHO for moving cell which involves the calculation of the present reference location from ephemeris and one reference location at epoch time?</w:t>
      </w:r>
      <w:bookmarkEnd w:id="4"/>
    </w:p>
    <w:tbl>
      <w:tblPr>
        <w:tblStyle w:val="TableGrid"/>
        <w:tblW w:w="9355" w:type="dxa"/>
        <w:tblLook w:val="04A0" w:firstRow="1" w:lastRow="0" w:firstColumn="1" w:lastColumn="0" w:noHBand="0" w:noVBand="1"/>
      </w:tblPr>
      <w:tblGrid>
        <w:gridCol w:w="1713"/>
        <w:gridCol w:w="1005"/>
        <w:gridCol w:w="6637"/>
      </w:tblGrid>
      <w:tr w:rsidR="00543145" w14:paraId="70DAF95B" w14:textId="77777777">
        <w:tc>
          <w:tcPr>
            <w:tcW w:w="1713" w:type="dxa"/>
            <w:shd w:val="clear" w:color="auto" w:fill="BFBFBF" w:themeFill="background1" w:themeFillShade="BF"/>
          </w:tcPr>
          <w:p w14:paraId="6FD5A133" w14:textId="77777777" w:rsidR="00543145" w:rsidRDefault="004E578E">
            <w:pPr>
              <w:spacing w:after="0"/>
              <w:jc w:val="center"/>
              <w:rPr>
                <w:b/>
                <w:bCs/>
              </w:rPr>
            </w:pPr>
            <w:r>
              <w:rPr>
                <w:b/>
                <w:bCs/>
              </w:rPr>
              <w:t>Company’s name</w:t>
            </w:r>
          </w:p>
        </w:tc>
        <w:tc>
          <w:tcPr>
            <w:tcW w:w="1005" w:type="dxa"/>
            <w:shd w:val="clear" w:color="auto" w:fill="BFBFBF" w:themeFill="background1" w:themeFillShade="BF"/>
          </w:tcPr>
          <w:p w14:paraId="719603AE" w14:textId="77777777" w:rsidR="00543145" w:rsidRDefault="004E578E">
            <w:pPr>
              <w:spacing w:after="0"/>
              <w:rPr>
                <w:b/>
                <w:bCs/>
              </w:rPr>
            </w:pPr>
            <w:r>
              <w:rPr>
                <w:b/>
                <w:bCs/>
              </w:rPr>
              <w:t>Yes/No</w:t>
            </w:r>
          </w:p>
        </w:tc>
        <w:tc>
          <w:tcPr>
            <w:tcW w:w="6637" w:type="dxa"/>
            <w:shd w:val="clear" w:color="auto" w:fill="BFBFBF" w:themeFill="background1" w:themeFillShade="BF"/>
          </w:tcPr>
          <w:p w14:paraId="2318289E" w14:textId="77777777" w:rsidR="00543145" w:rsidRDefault="004E578E">
            <w:pPr>
              <w:spacing w:after="0"/>
              <w:jc w:val="center"/>
              <w:rPr>
                <w:b/>
                <w:bCs/>
              </w:rPr>
            </w:pPr>
            <w:r>
              <w:rPr>
                <w:b/>
                <w:bCs/>
              </w:rPr>
              <w:t>Comments, if any</w:t>
            </w:r>
          </w:p>
        </w:tc>
      </w:tr>
      <w:tr w:rsidR="00543145" w14:paraId="718476AE" w14:textId="77777777">
        <w:tc>
          <w:tcPr>
            <w:tcW w:w="1713" w:type="dxa"/>
          </w:tcPr>
          <w:p w14:paraId="1B9D0E99" w14:textId="77777777" w:rsidR="00543145" w:rsidRDefault="004E578E">
            <w:pPr>
              <w:spacing w:after="0"/>
              <w:rPr>
                <w:lang w:eastAsia="zh-CN"/>
              </w:rPr>
            </w:pPr>
            <w:r>
              <w:rPr>
                <w:rFonts w:hint="eastAsia"/>
                <w:lang w:eastAsia="zh-CN"/>
              </w:rPr>
              <w:t>v</w:t>
            </w:r>
            <w:r>
              <w:rPr>
                <w:lang w:eastAsia="zh-CN"/>
              </w:rPr>
              <w:t>ivo</w:t>
            </w:r>
          </w:p>
        </w:tc>
        <w:tc>
          <w:tcPr>
            <w:tcW w:w="1005" w:type="dxa"/>
          </w:tcPr>
          <w:p w14:paraId="7345C4D7" w14:textId="77777777" w:rsidR="00543145" w:rsidRDefault="004E578E">
            <w:pPr>
              <w:spacing w:after="0"/>
              <w:rPr>
                <w:lang w:eastAsia="zh-CN"/>
              </w:rPr>
            </w:pPr>
            <w:r>
              <w:rPr>
                <w:rFonts w:hint="eastAsia"/>
                <w:lang w:eastAsia="zh-CN"/>
              </w:rPr>
              <w:t>Y</w:t>
            </w:r>
            <w:r>
              <w:rPr>
                <w:lang w:eastAsia="zh-CN"/>
              </w:rPr>
              <w:t>es</w:t>
            </w:r>
          </w:p>
        </w:tc>
        <w:tc>
          <w:tcPr>
            <w:tcW w:w="6637" w:type="dxa"/>
          </w:tcPr>
          <w:p w14:paraId="569D7453" w14:textId="77777777" w:rsidR="00543145" w:rsidRDefault="004E578E">
            <w:pPr>
              <w:spacing w:after="0"/>
              <w:rPr>
                <w:lang w:eastAsia="zh-CN"/>
              </w:rPr>
            </w:pPr>
            <w:r>
              <w:rPr>
                <w:rFonts w:hint="eastAsia"/>
                <w:lang w:eastAsia="zh-CN"/>
              </w:rPr>
              <w:t>I</w:t>
            </w:r>
            <w:r>
              <w:rPr>
                <w:lang w:eastAsia="zh-CN"/>
              </w:rPr>
              <w:t xml:space="preserve">n our understanding, the UE needs to indicated whether the candidate target cell is earth-moving and thus starting to derive the location distance. So the NW needs to know whether the UE supports this feature or not. </w:t>
            </w:r>
          </w:p>
        </w:tc>
      </w:tr>
      <w:tr w:rsidR="00543145" w14:paraId="01E1CEA8" w14:textId="77777777">
        <w:tc>
          <w:tcPr>
            <w:tcW w:w="1713" w:type="dxa"/>
          </w:tcPr>
          <w:p w14:paraId="01C9EBF3" w14:textId="77777777" w:rsidR="00543145" w:rsidRDefault="004E578E">
            <w:pPr>
              <w:spacing w:after="0"/>
              <w:rPr>
                <w:lang w:eastAsia="zh-CN"/>
              </w:rPr>
            </w:pPr>
            <w:r>
              <w:rPr>
                <w:lang w:eastAsia="zh-CN"/>
              </w:rPr>
              <w:t>Ericsson</w:t>
            </w:r>
          </w:p>
        </w:tc>
        <w:tc>
          <w:tcPr>
            <w:tcW w:w="1005" w:type="dxa"/>
          </w:tcPr>
          <w:p w14:paraId="3A6D6AC5" w14:textId="77777777" w:rsidR="00543145" w:rsidRDefault="004E578E">
            <w:pPr>
              <w:spacing w:after="0"/>
              <w:rPr>
                <w:lang w:eastAsia="zh-CN"/>
              </w:rPr>
            </w:pPr>
            <w:r>
              <w:rPr>
                <w:lang w:eastAsia="zh-CN"/>
              </w:rPr>
              <w:t>Yes</w:t>
            </w:r>
          </w:p>
        </w:tc>
        <w:tc>
          <w:tcPr>
            <w:tcW w:w="6637" w:type="dxa"/>
          </w:tcPr>
          <w:p w14:paraId="12A5E8D4" w14:textId="77777777" w:rsidR="00543145" w:rsidRDefault="00543145">
            <w:pPr>
              <w:pStyle w:val="ListParagraph"/>
              <w:spacing w:after="0"/>
              <w:ind w:left="420"/>
            </w:pPr>
          </w:p>
        </w:tc>
      </w:tr>
      <w:tr w:rsidR="00543145" w14:paraId="6A4C1367" w14:textId="77777777">
        <w:tc>
          <w:tcPr>
            <w:tcW w:w="1713" w:type="dxa"/>
          </w:tcPr>
          <w:p w14:paraId="4EC1BB01" w14:textId="77777777" w:rsidR="00543145" w:rsidRDefault="004E578E">
            <w:pPr>
              <w:spacing w:after="0"/>
            </w:pPr>
            <w:r>
              <w:rPr>
                <w:rFonts w:hint="eastAsia"/>
                <w:lang w:eastAsia="zh-CN"/>
              </w:rPr>
              <w:t>H</w:t>
            </w:r>
            <w:r>
              <w:rPr>
                <w:lang w:eastAsia="zh-CN"/>
              </w:rPr>
              <w:t>uawei, HiSilicon</w:t>
            </w:r>
          </w:p>
        </w:tc>
        <w:tc>
          <w:tcPr>
            <w:tcW w:w="1005" w:type="dxa"/>
          </w:tcPr>
          <w:p w14:paraId="792FE323" w14:textId="77777777" w:rsidR="00543145" w:rsidRDefault="004E578E">
            <w:pPr>
              <w:spacing w:after="0"/>
            </w:pPr>
            <w:r>
              <w:rPr>
                <w:rFonts w:hint="eastAsia"/>
                <w:lang w:eastAsia="zh-CN"/>
              </w:rPr>
              <w:t>Y</w:t>
            </w:r>
            <w:r>
              <w:rPr>
                <w:lang w:eastAsia="zh-CN"/>
              </w:rPr>
              <w:t>es</w:t>
            </w:r>
          </w:p>
        </w:tc>
        <w:tc>
          <w:tcPr>
            <w:tcW w:w="6637" w:type="dxa"/>
          </w:tcPr>
          <w:p w14:paraId="3D29BB63" w14:textId="77777777" w:rsidR="00543145" w:rsidRDefault="004E578E">
            <w:pPr>
              <w:spacing w:after="0"/>
              <w:rPr>
                <w:lang w:eastAsia="zh-CN"/>
              </w:rPr>
            </w:pPr>
            <w:r>
              <w:rPr>
                <w:lang w:eastAsia="zh-CN"/>
              </w:rPr>
              <w:t>Since an optional capability is introduced for Idle UEs on location-based measurement initiation in moving cells, we think a similar capability is needed for Connected UEs on location-based CHO.</w:t>
            </w:r>
          </w:p>
          <w:p w14:paraId="0506A09B" w14:textId="77777777" w:rsidR="00543145" w:rsidRDefault="004E578E">
            <w:pPr>
              <w:spacing w:after="0"/>
            </w:pPr>
            <w:r>
              <w:rPr>
                <w:lang w:eastAsia="zh-CN"/>
              </w:rPr>
              <w:t>One thing to note is that, in R17 location-based CHO, there is no agreement or spec clarification saying it cannot be used for moving cells, however there was no UE capability on predicting reference location then. We think the only understanding is that R17 location-based CHO relies on NW reconfiguration to update the reference location.</w:t>
            </w:r>
          </w:p>
        </w:tc>
      </w:tr>
      <w:tr w:rsidR="00543145" w14:paraId="68B6878B" w14:textId="77777777">
        <w:tc>
          <w:tcPr>
            <w:tcW w:w="1713" w:type="dxa"/>
          </w:tcPr>
          <w:p w14:paraId="03913FFF" w14:textId="77777777" w:rsidR="00543145" w:rsidRDefault="004E578E">
            <w:pPr>
              <w:spacing w:after="0"/>
              <w:rPr>
                <w:lang w:eastAsia="zh-CN"/>
              </w:rPr>
            </w:pPr>
            <w:r>
              <w:rPr>
                <w:lang w:eastAsia="zh-CN"/>
              </w:rPr>
              <w:t>Qualcomm</w:t>
            </w:r>
          </w:p>
        </w:tc>
        <w:tc>
          <w:tcPr>
            <w:tcW w:w="1005" w:type="dxa"/>
          </w:tcPr>
          <w:p w14:paraId="7650CA7D" w14:textId="77777777" w:rsidR="00543145" w:rsidRDefault="004E578E">
            <w:pPr>
              <w:spacing w:after="0"/>
              <w:rPr>
                <w:lang w:eastAsia="zh-CN"/>
              </w:rPr>
            </w:pPr>
            <w:r>
              <w:rPr>
                <w:lang w:eastAsia="zh-CN"/>
              </w:rPr>
              <w:t>Yes</w:t>
            </w:r>
          </w:p>
        </w:tc>
        <w:tc>
          <w:tcPr>
            <w:tcW w:w="6637" w:type="dxa"/>
          </w:tcPr>
          <w:p w14:paraId="147507BD" w14:textId="77777777" w:rsidR="00543145" w:rsidRDefault="00543145">
            <w:pPr>
              <w:spacing w:after="0"/>
              <w:rPr>
                <w:lang w:val="en-GB" w:eastAsia="zh-CN"/>
              </w:rPr>
            </w:pPr>
          </w:p>
        </w:tc>
      </w:tr>
      <w:tr w:rsidR="00543145" w14:paraId="3F3A320A" w14:textId="77777777">
        <w:tc>
          <w:tcPr>
            <w:tcW w:w="1713" w:type="dxa"/>
          </w:tcPr>
          <w:p w14:paraId="3D7ACDF1" w14:textId="77777777" w:rsidR="00543145" w:rsidRDefault="004E578E">
            <w:pPr>
              <w:spacing w:after="0"/>
              <w:rPr>
                <w:lang w:eastAsia="zh-CN"/>
              </w:rPr>
            </w:pPr>
            <w:r>
              <w:rPr>
                <w:rFonts w:hint="eastAsia"/>
                <w:lang w:eastAsia="zh-CN"/>
              </w:rPr>
              <w:t>ZTE</w:t>
            </w:r>
          </w:p>
        </w:tc>
        <w:tc>
          <w:tcPr>
            <w:tcW w:w="1005" w:type="dxa"/>
          </w:tcPr>
          <w:p w14:paraId="2B3B665A" w14:textId="77777777" w:rsidR="00543145" w:rsidRDefault="004E578E">
            <w:pPr>
              <w:spacing w:after="0"/>
              <w:rPr>
                <w:lang w:eastAsia="zh-CN"/>
              </w:rPr>
            </w:pPr>
            <w:r>
              <w:rPr>
                <w:rFonts w:hint="eastAsia"/>
                <w:lang w:eastAsia="zh-CN"/>
              </w:rPr>
              <w:t>Yes</w:t>
            </w:r>
          </w:p>
        </w:tc>
        <w:tc>
          <w:tcPr>
            <w:tcW w:w="6637" w:type="dxa"/>
          </w:tcPr>
          <w:p w14:paraId="20D24F55" w14:textId="77777777" w:rsidR="00543145" w:rsidRDefault="00543145">
            <w:pPr>
              <w:spacing w:after="0"/>
              <w:rPr>
                <w:lang w:val="en-GB"/>
              </w:rPr>
            </w:pPr>
          </w:p>
        </w:tc>
      </w:tr>
      <w:tr w:rsidR="00C47847" w14:paraId="3183BDEB" w14:textId="77777777">
        <w:tc>
          <w:tcPr>
            <w:tcW w:w="1713" w:type="dxa"/>
          </w:tcPr>
          <w:p w14:paraId="0D63DD06" w14:textId="626E0AB5" w:rsidR="00C47847" w:rsidRDefault="00C47847">
            <w:pPr>
              <w:spacing w:after="0"/>
              <w:rPr>
                <w:lang w:eastAsia="zh-CN"/>
              </w:rPr>
            </w:pPr>
            <w:r>
              <w:rPr>
                <w:rFonts w:hint="eastAsia"/>
                <w:lang w:eastAsia="zh-CN"/>
              </w:rPr>
              <w:lastRenderedPageBreak/>
              <w:t>X</w:t>
            </w:r>
            <w:r>
              <w:rPr>
                <w:lang w:eastAsia="zh-CN"/>
              </w:rPr>
              <w:t>iaomi</w:t>
            </w:r>
          </w:p>
        </w:tc>
        <w:tc>
          <w:tcPr>
            <w:tcW w:w="1005" w:type="dxa"/>
          </w:tcPr>
          <w:p w14:paraId="4B22F670" w14:textId="7FC1D347" w:rsidR="00C47847" w:rsidRDefault="00C47847">
            <w:pPr>
              <w:spacing w:after="0"/>
              <w:rPr>
                <w:lang w:eastAsia="zh-CN"/>
              </w:rPr>
            </w:pPr>
            <w:r>
              <w:rPr>
                <w:rFonts w:hint="eastAsia"/>
                <w:lang w:eastAsia="zh-CN"/>
              </w:rPr>
              <w:t>Y</w:t>
            </w:r>
            <w:r>
              <w:rPr>
                <w:lang w:eastAsia="zh-CN"/>
              </w:rPr>
              <w:t>es</w:t>
            </w:r>
          </w:p>
        </w:tc>
        <w:tc>
          <w:tcPr>
            <w:tcW w:w="6637" w:type="dxa"/>
          </w:tcPr>
          <w:p w14:paraId="1754F690" w14:textId="77777777" w:rsidR="00C47847" w:rsidRDefault="00C47847">
            <w:pPr>
              <w:spacing w:after="0"/>
              <w:rPr>
                <w:lang w:val="en-GB"/>
              </w:rPr>
            </w:pPr>
          </w:p>
        </w:tc>
      </w:tr>
    </w:tbl>
    <w:p w14:paraId="6B75730A" w14:textId="0FCEEEBF" w:rsidR="006244A5" w:rsidRDefault="006244A5" w:rsidP="006244A5">
      <w:pPr>
        <w:spacing w:before="120"/>
        <w:rPr>
          <w:color w:val="000099"/>
        </w:rPr>
      </w:pPr>
      <w:r w:rsidRPr="00354D23">
        <w:rPr>
          <w:b/>
          <w:bCs/>
          <w:color w:val="000099"/>
        </w:rPr>
        <w:t>[</w:t>
      </w:r>
      <w:r>
        <w:rPr>
          <w:b/>
          <w:bCs/>
          <w:color w:val="000099"/>
        </w:rPr>
        <w:t>Summary</w:t>
      </w:r>
      <w:r w:rsidRPr="00354D23">
        <w:rPr>
          <w:b/>
          <w:bCs/>
          <w:color w:val="000099"/>
        </w:rPr>
        <w:t xml:space="preserve"> report] </w:t>
      </w:r>
      <w:r>
        <w:rPr>
          <w:b/>
          <w:bCs/>
          <w:color w:val="000099"/>
        </w:rPr>
        <w:t>[Rapp(v2</w:t>
      </w:r>
      <w:r w:rsidRPr="009D431A">
        <w:rPr>
          <w:b/>
          <w:bCs/>
          <w:color w:val="000099"/>
        </w:rPr>
        <w:t xml:space="preserve">)] </w:t>
      </w:r>
      <w:r w:rsidRPr="009D431A">
        <w:rPr>
          <w:color w:val="000099"/>
        </w:rPr>
        <w:t xml:space="preserve">All companies support </w:t>
      </w:r>
      <w:r w:rsidRPr="00BE417D">
        <w:rPr>
          <w:color w:val="000099"/>
        </w:rPr>
        <w:t>defining a new optional signaling UE capability to indicate UE’s support of location-based CHO</w:t>
      </w:r>
      <w:r w:rsidR="00D53138" w:rsidRPr="00BE417D">
        <w:rPr>
          <w:color w:val="000099"/>
        </w:rPr>
        <w:t xml:space="preserve"> </w:t>
      </w:r>
      <w:r w:rsidRPr="00BE417D">
        <w:rPr>
          <w:color w:val="000099"/>
        </w:rPr>
        <w:t>for moving cell which involves the calculation of the present reference location from ephemeris and one reference location at epoch time</w:t>
      </w:r>
      <w:r w:rsidRPr="009D431A">
        <w:rPr>
          <w:color w:val="000099"/>
        </w:rPr>
        <w:t>.</w:t>
      </w:r>
      <w:r w:rsidR="00544DB0" w:rsidRPr="009D431A">
        <w:rPr>
          <w:color w:val="000099"/>
        </w:rPr>
        <w:t xml:space="preserve"> One company </w:t>
      </w:r>
      <w:r w:rsidR="00044E41" w:rsidRPr="009D431A">
        <w:rPr>
          <w:color w:val="000099"/>
        </w:rPr>
        <w:t xml:space="preserve">clarified that this UE capability is needed by the network as </w:t>
      </w:r>
      <w:r w:rsidR="00044E41" w:rsidRPr="00BE417D">
        <w:rPr>
          <w:color w:val="000099"/>
          <w:lang w:eastAsia="zh-CN"/>
        </w:rPr>
        <w:t>UE needs to indicate whether the candidate target cell is earth-moving and thus starting to derive the location distance. A</w:t>
      </w:r>
      <w:r w:rsidR="00044E41" w:rsidRPr="009D431A">
        <w:rPr>
          <w:color w:val="000099"/>
        </w:rPr>
        <w:t xml:space="preserve">nother one </w:t>
      </w:r>
      <w:r w:rsidR="00544DB0" w:rsidRPr="009D431A">
        <w:rPr>
          <w:color w:val="000099"/>
        </w:rPr>
        <w:t>pointed</w:t>
      </w:r>
      <w:r w:rsidR="00186D46" w:rsidRPr="009D431A">
        <w:rPr>
          <w:color w:val="000099"/>
        </w:rPr>
        <w:t xml:space="preserve"> </w:t>
      </w:r>
      <w:r w:rsidR="00544DB0" w:rsidRPr="009D431A">
        <w:rPr>
          <w:color w:val="000099"/>
        </w:rPr>
        <w:t>that</w:t>
      </w:r>
      <w:r w:rsidR="00186D46" w:rsidRPr="009D431A">
        <w:rPr>
          <w:color w:val="000099"/>
        </w:rPr>
        <w:t xml:space="preserve"> in R</w:t>
      </w:r>
      <w:r w:rsidR="00605FA0" w:rsidRPr="009D431A">
        <w:rPr>
          <w:color w:val="000099"/>
        </w:rPr>
        <w:t>el</w:t>
      </w:r>
      <w:r w:rsidR="00186D46" w:rsidRPr="009D431A">
        <w:rPr>
          <w:color w:val="000099"/>
        </w:rPr>
        <w:t>-17 location</w:t>
      </w:r>
      <w:r w:rsidR="008B516D" w:rsidRPr="009D431A">
        <w:rPr>
          <w:color w:val="000099"/>
        </w:rPr>
        <w:t>-</w:t>
      </w:r>
      <w:r w:rsidR="00186D46" w:rsidRPr="009D431A">
        <w:rPr>
          <w:color w:val="000099"/>
        </w:rPr>
        <w:t>based CHO there was no mention that it cannot be used for moving cell</w:t>
      </w:r>
      <w:r w:rsidR="008B516D" w:rsidRPr="009D431A">
        <w:rPr>
          <w:color w:val="000099"/>
        </w:rPr>
        <w:t>.</w:t>
      </w:r>
      <w:r w:rsidR="00186D46" w:rsidRPr="009D431A">
        <w:rPr>
          <w:color w:val="000099"/>
        </w:rPr>
        <w:t xml:space="preserve"> </w:t>
      </w:r>
    </w:p>
    <w:p w14:paraId="102A3F1C" w14:textId="36FD0926" w:rsidR="002B1917" w:rsidRPr="00BE417D" w:rsidRDefault="002B1917" w:rsidP="002B1917">
      <w:pPr>
        <w:spacing w:before="120"/>
        <w:jc w:val="both"/>
        <w:rPr>
          <w:color w:val="000099"/>
        </w:rPr>
      </w:pPr>
      <w:r w:rsidRPr="009D431A">
        <w:rPr>
          <w:b/>
          <w:bCs/>
          <w:color w:val="000099"/>
        </w:rPr>
        <w:t>[Summary report] [Rapp(v</w:t>
      </w:r>
      <w:r>
        <w:rPr>
          <w:b/>
          <w:bCs/>
          <w:color w:val="000099"/>
        </w:rPr>
        <w:t>3</w:t>
      </w:r>
      <w:r w:rsidRPr="009D431A">
        <w:rPr>
          <w:b/>
          <w:bCs/>
          <w:color w:val="000099"/>
        </w:rPr>
        <w:t>)]</w:t>
      </w:r>
      <w:r>
        <w:rPr>
          <w:b/>
          <w:bCs/>
          <w:color w:val="000099"/>
        </w:rPr>
        <w:t xml:space="preserve"> </w:t>
      </w:r>
      <w:r w:rsidRPr="00920898">
        <w:rPr>
          <w:color w:val="000099"/>
        </w:rPr>
        <w:t>One company</w:t>
      </w:r>
      <w:r>
        <w:rPr>
          <w:color w:val="000099"/>
        </w:rPr>
        <w:t xml:space="preserve"> raised the question on whether </w:t>
      </w:r>
      <w:r w:rsidR="003906FF" w:rsidRPr="003906FF">
        <w:rPr>
          <w:color w:val="000099"/>
        </w:rPr>
        <w:t>location</w:t>
      </w:r>
      <w:r w:rsidR="003906FF">
        <w:rPr>
          <w:color w:val="000099"/>
        </w:rPr>
        <w:t>-</w:t>
      </w:r>
      <w:r w:rsidR="003906FF" w:rsidRPr="003906FF">
        <w:rPr>
          <w:color w:val="000099"/>
        </w:rPr>
        <w:t>based CHO</w:t>
      </w:r>
      <w:r w:rsidR="003906FF">
        <w:rPr>
          <w:color w:val="000099"/>
        </w:rPr>
        <w:t xml:space="preserve"> here discussed</w:t>
      </w:r>
      <w:r w:rsidR="003906FF" w:rsidRPr="003906FF">
        <w:rPr>
          <w:color w:val="000099"/>
        </w:rPr>
        <w:t xml:space="preserve"> for moving cell case</w:t>
      </w:r>
      <w:r w:rsidR="003906FF">
        <w:rPr>
          <w:color w:val="000099"/>
        </w:rPr>
        <w:t xml:space="preserve"> </w:t>
      </w:r>
      <w:r w:rsidR="003906FF" w:rsidRPr="003906FF">
        <w:rPr>
          <w:color w:val="000099"/>
        </w:rPr>
        <w:t>is</w:t>
      </w:r>
      <w:r w:rsidR="003906FF">
        <w:rPr>
          <w:color w:val="000099"/>
        </w:rPr>
        <w:t xml:space="preserve"> for the</w:t>
      </w:r>
      <w:r w:rsidR="003906FF" w:rsidRPr="003906FF">
        <w:rPr>
          <w:color w:val="000099"/>
        </w:rPr>
        <w:t xml:space="preserve"> source cell or target cell or both</w:t>
      </w:r>
      <w:r w:rsidR="003906FF">
        <w:rPr>
          <w:color w:val="000099"/>
        </w:rPr>
        <w:t>.</w:t>
      </w:r>
    </w:p>
    <w:p w14:paraId="5D334ACB" w14:textId="0386B537" w:rsidR="00967477" w:rsidRPr="007D3687" w:rsidRDefault="00AD0FAB" w:rsidP="00AD0FAB">
      <w:pPr>
        <w:pStyle w:val="Proposal"/>
        <w:numPr>
          <w:ilvl w:val="0"/>
          <w:numId w:val="8"/>
        </w:numPr>
      </w:pPr>
      <w:bookmarkStart w:id="5" w:name="_Toc149766965"/>
      <w:bookmarkStart w:id="6" w:name="_Toc149212785"/>
      <w:bookmarkStart w:id="7" w:name="_Toc149212806"/>
      <w:bookmarkStart w:id="8" w:name="_Toc149213329"/>
      <w:bookmarkStart w:id="9" w:name="_Ref149766596"/>
      <w:bookmarkStart w:id="10" w:name="_Toc149766966"/>
      <w:bookmarkStart w:id="11" w:name="_Toc149833233"/>
      <w:bookmarkStart w:id="12" w:name="_Toc149833267"/>
      <w:bookmarkStart w:id="13" w:name="_Toc149833329"/>
      <w:bookmarkStart w:id="14" w:name="_Toc149833337"/>
      <w:bookmarkEnd w:id="5"/>
      <w:r w:rsidRPr="007D3687">
        <w:t xml:space="preserve">To define a new UE capability, e.g., </w:t>
      </w:r>
      <w:r w:rsidRPr="007D3687">
        <w:rPr>
          <w:i/>
          <w:iCs/>
        </w:rPr>
        <w:t>locationBasedCondHandoverNTN-r18</w:t>
      </w:r>
      <w:r w:rsidRPr="007D3687">
        <w:t xml:space="preserve">, to indicate whether the UE supports location-based conditional handover for moving cell </w:t>
      </w:r>
      <w:r w:rsidR="00BA5BED" w:rsidRPr="007D3687">
        <w:t>in NTN bands</w:t>
      </w:r>
      <w:r w:rsidR="003D7538" w:rsidRPr="007D3687">
        <w:t xml:space="preserve"> </w:t>
      </w:r>
      <w:r w:rsidRPr="007D3687">
        <w:t>(which involves the calculation of the present reference location from ephemeris and one reference location at epoch time, as specified in TS 38.331).</w:t>
      </w:r>
      <w:bookmarkEnd w:id="6"/>
      <w:bookmarkEnd w:id="7"/>
      <w:bookmarkEnd w:id="8"/>
      <w:bookmarkEnd w:id="9"/>
      <w:bookmarkEnd w:id="10"/>
      <w:bookmarkEnd w:id="11"/>
      <w:bookmarkEnd w:id="12"/>
      <w:bookmarkEnd w:id="13"/>
      <w:bookmarkEnd w:id="14"/>
      <w:r w:rsidRPr="007D3687">
        <w:t xml:space="preserve"> </w:t>
      </w:r>
    </w:p>
    <w:p w14:paraId="4727216B" w14:textId="52717D17" w:rsidR="00AD0FAB" w:rsidRPr="007D3687" w:rsidRDefault="00AD0FAB" w:rsidP="00BE417D">
      <w:pPr>
        <w:pStyle w:val="Proposal"/>
        <w:numPr>
          <w:ilvl w:val="1"/>
          <w:numId w:val="8"/>
        </w:numPr>
      </w:pPr>
      <w:bookmarkStart w:id="15" w:name="_Toc149212786"/>
      <w:bookmarkStart w:id="16" w:name="_Toc149212807"/>
      <w:bookmarkStart w:id="17" w:name="_Toc149213330"/>
      <w:bookmarkStart w:id="18" w:name="_Toc149766967"/>
      <w:bookmarkStart w:id="19" w:name="_Toc149833234"/>
      <w:bookmarkStart w:id="20" w:name="_Toc149833268"/>
      <w:bookmarkStart w:id="21" w:name="_Toc149833330"/>
      <w:bookmarkStart w:id="22" w:name="_Toc149833338"/>
      <w:r w:rsidRPr="007D3687">
        <w:t xml:space="preserve">This </w:t>
      </w:r>
      <w:r w:rsidR="00967477" w:rsidRPr="007D3687">
        <w:rPr>
          <w:i/>
          <w:iCs/>
        </w:rPr>
        <w:t xml:space="preserve">locationBasedCondHandoverNTN-r18 </w:t>
      </w:r>
      <w:r w:rsidR="00967477" w:rsidRPr="007D3687">
        <w:t xml:space="preserve">capability is defined per Band, </w:t>
      </w:r>
      <w:r w:rsidR="00BA5BED" w:rsidRPr="007D3687">
        <w:t xml:space="preserve">optional </w:t>
      </w:r>
      <w:r w:rsidR="00967477" w:rsidRPr="007D3687">
        <w:t xml:space="preserve">with </w:t>
      </w:r>
      <w:r w:rsidR="00BA5BED" w:rsidRPr="007D3687">
        <w:t xml:space="preserve">signaling capability, and N/A for </w:t>
      </w:r>
      <w:r w:rsidR="006217F1" w:rsidRPr="007D3687">
        <w:t>FDD/TDD DIFF and FR1/FR2 Diff.</w:t>
      </w:r>
      <w:r w:rsidR="00D41C2B" w:rsidRPr="007D3687">
        <w:t xml:space="preserve"> This is defined as part of §4.2.7.2 BandNR parameters in TS 38.306.</w:t>
      </w:r>
      <w:bookmarkEnd w:id="15"/>
      <w:bookmarkEnd w:id="16"/>
      <w:bookmarkEnd w:id="17"/>
      <w:bookmarkEnd w:id="18"/>
      <w:bookmarkEnd w:id="19"/>
      <w:bookmarkEnd w:id="20"/>
      <w:bookmarkEnd w:id="21"/>
      <w:bookmarkEnd w:id="22"/>
    </w:p>
    <w:p w14:paraId="0324AE0F" w14:textId="5CD3F4E9" w:rsidR="00D254B9" w:rsidRPr="007D3687" w:rsidRDefault="00D254B9" w:rsidP="00471C51">
      <w:pPr>
        <w:pStyle w:val="Proposal"/>
        <w:numPr>
          <w:ilvl w:val="1"/>
          <w:numId w:val="8"/>
        </w:numPr>
      </w:pPr>
      <w:bookmarkStart w:id="23" w:name="_Toc149766968"/>
      <w:bookmarkStart w:id="24" w:name="_Toc149212787"/>
      <w:bookmarkStart w:id="25" w:name="_Toc149212808"/>
      <w:bookmarkStart w:id="26" w:name="_Toc149213331"/>
      <w:bookmarkStart w:id="27" w:name="_Toc149833235"/>
      <w:bookmarkStart w:id="28" w:name="_Toc149833269"/>
      <w:bookmarkStart w:id="29" w:name="_Toc149833331"/>
      <w:bookmarkStart w:id="30" w:name="_Toc149833339"/>
      <w:r w:rsidRPr="007D3687">
        <w:t xml:space="preserve">An editor’s note is added to </w:t>
      </w:r>
      <w:r w:rsidRPr="007D3687">
        <w:rPr>
          <w:i/>
          <w:iCs/>
        </w:rPr>
        <w:t xml:space="preserve">locationBasedCondHandoverNTN-r18 </w:t>
      </w:r>
      <w:r w:rsidRPr="007D3687">
        <w:t xml:space="preserve">to capture “FFS whether any change or update is needed considering how </w:t>
      </w:r>
      <w:r w:rsidRPr="007D3687">
        <w:rPr>
          <w:i/>
          <w:iCs/>
        </w:rPr>
        <w:t>locationBasedCondHandover-r17</w:t>
      </w:r>
      <w:r w:rsidRPr="007D3687">
        <w:t xml:space="preserve"> is defined”</w:t>
      </w:r>
      <w:r w:rsidR="00471C51">
        <w:t xml:space="preserve">, or </w:t>
      </w:r>
      <w:bookmarkStart w:id="31" w:name="_Toc149766969"/>
      <w:bookmarkEnd w:id="23"/>
      <w:r w:rsidR="003906FF">
        <w:t xml:space="preserve">whether </w:t>
      </w:r>
      <w:r w:rsidR="003906FF" w:rsidRPr="007D3687">
        <w:t>location-based conditional handover for moving cell</w:t>
      </w:r>
      <w:r w:rsidR="003906FF">
        <w:t xml:space="preserve"> refers to source cell, target cell or both</w:t>
      </w:r>
      <w:r w:rsidRPr="00471C51">
        <w:rPr>
          <w:i/>
          <w:iCs/>
        </w:rPr>
        <w:t>.</w:t>
      </w:r>
      <w:bookmarkEnd w:id="24"/>
      <w:bookmarkEnd w:id="25"/>
      <w:bookmarkEnd w:id="26"/>
      <w:bookmarkEnd w:id="31"/>
      <w:bookmarkEnd w:id="27"/>
      <w:bookmarkEnd w:id="28"/>
      <w:bookmarkEnd w:id="29"/>
      <w:bookmarkEnd w:id="30"/>
    </w:p>
    <w:p w14:paraId="7C6290E4" w14:textId="77777777" w:rsidR="00543145" w:rsidRDefault="00543145"/>
    <w:p w14:paraId="3B4C9BF6" w14:textId="77777777" w:rsidR="00AF29F0" w:rsidRDefault="00AF29F0"/>
    <w:p w14:paraId="6C5D6C1E" w14:textId="77777777" w:rsidR="00543145" w:rsidRDefault="004E578E">
      <w:pPr>
        <w:pStyle w:val="ListParagraph"/>
        <w:numPr>
          <w:ilvl w:val="0"/>
          <w:numId w:val="6"/>
        </w:numPr>
        <w:ind w:left="360"/>
        <w:jc w:val="both"/>
      </w:pPr>
      <w:bookmarkStart w:id="32" w:name="_Ref149036637"/>
      <w:r>
        <w:t>Do you support defining a new UE capability to indicate UE’s support of unchanged PCI? If so, do you prefer having separate or same UE radio capabilities for hard and soft switch?</w:t>
      </w:r>
      <w:bookmarkEnd w:id="32"/>
      <w:r>
        <w:t xml:space="preserve"> </w:t>
      </w:r>
    </w:p>
    <w:tbl>
      <w:tblPr>
        <w:tblStyle w:val="TableGrid"/>
        <w:tblW w:w="5000" w:type="pct"/>
        <w:tblLook w:val="04A0" w:firstRow="1" w:lastRow="0" w:firstColumn="1" w:lastColumn="0" w:noHBand="0" w:noVBand="1"/>
      </w:tblPr>
      <w:tblGrid>
        <w:gridCol w:w="1706"/>
        <w:gridCol w:w="722"/>
        <w:gridCol w:w="1260"/>
        <w:gridCol w:w="5662"/>
      </w:tblGrid>
      <w:tr w:rsidR="00543145" w14:paraId="51C99445" w14:textId="77777777">
        <w:tc>
          <w:tcPr>
            <w:tcW w:w="912" w:type="pct"/>
            <w:shd w:val="clear" w:color="auto" w:fill="BFBFBF" w:themeFill="background1" w:themeFillShade="BF"/>
          </w:tcPr>
          <w:p w14:paraId="5709AD50" w14:textId="77777777" w:rsidR="00543145" w:rsidRDefault="004E578E">
            <w:pPr>
              <w:spacing w:after="0"/>
              <w:jc w:val="center"/>
              <w:rPr>
                <w:b/>
                <w:bCs/>
              </w:rPr>
            </w:pPr>
            <w:r>
              <w:rPr>
                <w:b/>
                <w:bCs/>
              </w:rPr>
              <w:t>Company’s name</w:t>
            </w:r>
          </w:p>
        </w:tc>
        <w:tc>
          <w:tcPr>
            <w:tcW w:w="386" w:type="pct"/>
            <w:shd w:val="clear" w:color="auto" w:fill="BFBFBF" w:themeFill="background1" w:themeFillShade="BF"/>
          </w:tcPr>
          <w:p w14:paraId="294ABDFD" w14:textId="77777777" w:rsidR="00543145" w:rsidRDefault="004E578E">
            <w:pPr>
              <w:spacing w:after="0"/>
              <w:rPr>
                <w:b/>
                <w:bCs/>
              </w:rPr>
            </w:pPr>
            <w:r>
              <w:rPr>
                <w:b/>
                <w:bCs/>
              </w:rPr>
              <w:t>Yes</w:t>
            </w:r>
          </w:p>
          <w:p w14:paraId="33676A47" w14:textId="77777777" w:rsidR="00543145" w:rsidRDefault="004E578E">
            <w:pPr>
              <w:spacing w:after="0"/>
              <w:rPr>
                <w:b/>
                <w:bCs/>
              </w:rPr>
            </w:pPr>
            <w:r>
              <w:rPr>
                <w:b/>
                <w:bCs/>
              </w:rPr>
              <w:t>/No</w:t>
            </w:r>
          </w:p>
        </w:tc>
        <w:tc>
          <w:tcPr>
            <w:tcW w:w="674" w:type="pct"/>
            <w:shd w:val="clear" w:color="auto" w:fill="BFBFBF" w:themeFill="background1" w:themeFillShade="BF"/>
          </w:tcPr>
          <w:p w14:paraId="2164F7B1" w14:textId="77777777" w:rsidR="00543145" w:rsidRDefault="004E578E">
            <w:pPr>
              <w:spacing w:after="0"/>
              <w:jc w:val="center"/>
              <w:rPr>
                <w:b/>
                <w:bCs/>
              </w:rPr>
            </w:pPr>
            <w:r>
              <w:rPr>
                <w:b/>
                <w:bCs/>
              </w:rPr>
              <w:t>Separate</w:t>
            </w:r>
          </w:p>
          <w:p w14:paraId="397F093C" w14:textId="77777777" w:rsidR="00543145" w:rsidRDefault="004E578E">
            <w:pPr>
              <w:spacing w:after="0"/>
              <w:jc w:val="center"/>
              <w:rPr>
                <w:b/>
                <w:bCs/>
              </w:rPr>
            </w:pPr>
            <w:r>
              <w:rPr>
                <w:b/>
                <w:bCs/>
              </w:rPr>
              <w:t>/Same</w:t>
            </w:r>
          </w:p>
        </w:tc>
        <w:tc>
          <w:tcPr>
            <w:tcW w:w="3028" w:type="pct"/>
            <w:shd w:val="clear" w:color="auto" w:fill="BFBFBF" w:themeFill="background1" w:themeFillShade="BF"/>
          </w:tcPr>
          <w:p w14:paraId="599204A8" w14:textId="77777777" w:rsidR="00543145" w:rsidRDefault="004E578E">
            <w:pPr>
              <w:spacing w:after="0"/>
              <w:jc w:val="center"/>
              <w:rPr>
                <w:b/>
                <w:bCs/>
              </w:rPr>
            </w:pPr>
            <w:r>
              <w:rPr>
                <w:b/>
                <w:bCs/>
              </w:rPr>
              <w:t>Comments, if any</w:t>
            </w:r>
          </w:p>
        </w:tc>
      </w:tr>
      <w:tr w:rsidR="00543145" w14:paraId="0D1B12E4" w14:textId="77777777">
        <w:tc>
          <w:tcPr>
            <w:tcW w:w="912" w:type="pct"/>
          </w:tcPr>
          <w:p w14:paraId="3D4A02D8" w14:textId="77777777" w:rsidR="00543145" w:rsidRDefault="004E578E">
            <w:pPr>
              <w:spacing w:after="0"/>
              <w:rPr>
                <w:lang w:eastAsia="zh-CN"/>
              </w:rPr>
            </w:pPr>
            <w:r>
              <w:rPr>
                <w:rFonts w:hint="eastAsia"/>
                <w:lang w:eastAsia="zh-CN"/>
              </w:rPr>
              <w:t>v</w:t>
            </w:r>
            <w:r>
              <w:rPr>
                <w:lang w:eastAsia="zh-CN"/>
              </w:rPr>
              <w:t>ivo</w:t>
            </w:r>
          </w:p>
        </w:tc>
        <w:tc>
          <w:tcPr>
            <w:tcW w:w="386" w:type="pct"/>
          </w:tcPr>
          <w:p w14:paraId="5B5BE1E6" w14:textId="77777777" w:rsidR="00543145" w:rsidRDefault="004E578E">
            <w:pPr>
              <w:spacing w:after="0"/>
              <w:rPr>
                <w:lang w:eastAsia="zh-CN"/>
              </w:rPr>
            </w:pPr>
            <w:r>
              <w:rPr>
                <w:rFonts w:hint="eastAsia"/>
                <w:lang w:eastAsia="zh-CN"/>
              </w:rPr>
              <w:t>Y</w:t>
            </w:r>
            <w:r>
              <w:rPr>
                <w:lang w:eastAsia="zh-CN"/>
              </w:rPr>
              <w:t>es</w:t>
            </w:r>
          </w:p>
        </w:tc>
        <w:tc>
          <w:tcPr>
            <w:tcW w:w="674" w:type="pct"/>
          </w:tcPr>
          <w:p w14:paraId="6EF60EB1" w14:textId="77777777" w:rsidR="00543145" w:rsidRDefault="004E578E">
            <w:pPr>
              <w:spacing w:after="0"/>
              <w:rPr>
                <w:lang w:eastAsia="zh-CN"/>
              </w:rPr>
            </w:pPr>
            <w:r>
              <w:rPr>
                <w:lang w:eastAsia="zh-CN"/>
              </w:rPr>
              <w:t>Slightly prefer one capability</w:t>
            </w:r>
          </w:p>
        </w:tc>
        <w:tc>
          <w:tcPr>
            <w:tcW w:w="3028" w:type="pct"/>
          </w:tcPr>
          <w:p w14:paraId="709E89D8" w14:textId="77777777" w:rsidR="00543145" w:rsidRDefault="004E578E">
            <w:pPr>
              <w:spacing w:after="0"/>
              <w:rPr>
                <w:lang w:eastAsia="zh-CN"/>
              </w:rPr>
            </w:pPr>
            <w:r>
              <w:rPr>
                <w:lang w:eastAsia="zh-CN"/>
              </w:rPr>
              <w:t>As L3 HO is supported, then unchanged PCI should be optional to UE for simplicity. Capability signaling is needed so that the NW can trigger L3 for the non-capable UE.</w:t>
            </w:r>
          </w:p>
        </w:tc>
      </w:tr>
      <w:tr w:rsidR="00543145" w14:paraId="05BC9792" w14:textId="77777777">
        <w:tc>
          <w:tcPr>
            <w:tcW w:w="912" w:type="pct"/>
          </w:tcPr>
          <w:p w14:paraId="62B06C33" w14:textId="77777777" w:rsidR="00543145" w:rsidRDefault="004E578E">
            <w:pPr>
              <w:spacing w:after="0"/>
              <w:rPr>
                <w:lang w:eastAsia="zh-CN"/>
              </w:rPr>
            </w:pPr>
            <w:r>
              <w:rPr>
                <w:lang w:eastAsia="zh-CN"/>
              </w:rPr>
              <w:t>Ericsson</w:t>
            </w:r>
          </w:p>
        </w:tc>
        <w:tc>
          <w:tcPr>
            <w:tcW w:w="386" w:type="pct"/>
          </w:tcPr>
          <w:p w14:paraId="2533C349" w14:textId="77777777" w:rsidR="00543145" w:rsidRDefault="004E578E">
            <w:pPr>
              <w:spacing w:after="0"/>
              <w:rPr>
                <w:lang w:eastAsia="zh-CN"/>
              </w:rPr>
            </w:pPr>
            <w:r>
              <w:rPr>
                <w:lang w:eastAsia="zh-CN"/>
              </w:rPr>
              <w:t>Yes</w:t>
            </w:r>
          </w:p>
        </w:tc>
        <w:tc>
          <w:tcPr>
            <w:tcW w:w="674" w:type="pct"/>
          </w:tcPr>
          <w:p w14:paraId="4DD78A6E" w14:textId="77777777" w:rsidR="00543145" w:rsidRDefault="004E578E">
            <w:pPr>
              <w:pStyle w:val="ListParagraph"/>
              <w:spacing w:after="0"/>
              <w:ind w:left="0"/>
            </w:pPr>
            <w:r>
              <w:t>Separate</w:t>
            </w:r>
          </w:p>
        </w:tc>
        <w:tc>
          <w:tcPr>
            <w:tcW w:w="3028" w:type="pct"/>
          </w:tcPr>
          <w:p w14:paraId="60E67FAA" w14:textId="77777777" w:rsidR="00543145" w:rsidRDefault="004E578E">
            <w:pPr>
              <w:pStyle w:val="ListParagraph"/>
              <w:spacing w:after="0"/>
              <w:ind w:left="0"/>
              <w:jc w:val="both"/>
            </w:pPr>
            <w:r>
              <w:t>Hard and soft switch require different implementations (e.g., SMTC handling). Thus, network should be informed to configure HO accordingly for those UEs not supporting the specific scenario.</w:t>
            </w:r>
          </w:p>
        </w:tc>
      </w:tr>
      <w:tr w:rsidR="00543145" w14:paraId="78AF1B7B" w14:textId="77777777">
        <w:tc>
          <w:tcPr>
            <w:tcW w:w="912" w:type="pct"/>
          </w:tcPr>
          <w:p w14:paraId="2F0F645A" w14:textId="77777777" w:rsidR="00543145" w:rsidRDefault="004E578E">
            <w:pPr>
              <w:spacing w:after="0"/>
            </w:pPr>
            <w:r>
              <w:rPr>
                <w:rFonts w:hint="eastAsia"/>
                <w:lang w:eastAsia="zh-CN"/>
              </w:rPr>
              <w:t>H</w:t>
            </w:r>
            <w:r>
              <w:rPr>
                <w:lang w:eastAsia="zh-CN"/>
              </w:rPr>
              <w:t>uawei, HiSilicon</w:t>
            </w:r>
          </w:p>
        </w:tc>
        <w:tc>
          <w:tcPr>
            <w:tcW w:w="386" w:type="pct"/>
          </w:tcPr>
          <w:p w14:paraId="7C899FE4" w14:textId="77777777" w:rsidR="00543145" w:rsidRDefault="004E578E">
            <w:pPr>
              <w:spacing w:after="0"/>
            </w:pPr>
            <w:r>
              <w:rPr>
                <w:rFonts w:hint="eastAsia"/>
                <w:lang w:eastAsia="zh-CN"/>
              </w:rPr>
              <w:t>Y</w:t>
            </w:r>
            <w:r>
              <w:rPr>
                <w:lang w:eastAsia="zh-CN"/>
              </w:rPr>
              <w:t>es</w:t>
            </w:r>
          </w:p>
        </w:tc>
        <w:tc>
          <w:tcPr>
            <w:tcW w:w="674" w:type="pct"/>
          </w:tcPr>
          <w:p w14:paraId="46C7EDCE" w14:textId="77777777" w:rsidR="00543145" w:rsidRDefault="004E578E">
            <w:pPr>
              <w:spacing w:after="0"/>
            </w:pPr>
            <w:r>
              <w:rPr>
                <w:rFonts w:hint="eastAsia"/>
                <w:lang w:eastAsia="zh-CN"/>
              </w:rPr>
              <w:t>P</w:t>
            </w:r>
            <w:r>
              <w:rPr>
                <w:lang w:eastAsia="zh-CN"/>
              </w:rPr>
              <w:t>ostpone</w:t>
            </w:r>
          </w:p>
        </w:tc>
        <w:tc>
          <w:tcPr>
            <w:tcW w:w="3028" w:type="pct"/>
          </w:tcPr>
          <w:p w14:paraId="7EFADAF6" w14:textId="77777777" w:rsidR="00543145" w:rsidRDefault="004E578E">
            <w:pPr>
              <w:spacing w:after="0"/>
            </w:pPr>
            <w:r>
              <w:rPr>
                <w:lang w:eastAsia="zh-CN"/>
              </w:rPr>
              <w:t>On whether separate capabilities are required for soft and hard switching, we think it can be postponed until more details on UE behaviors under soft switching are settled down (to check whether there is a big discrepancy).</w:t>
            </w:r>
          </w:p>
        </w:tc>
      </w:tr>
      <w:tr w:rsidR="00543145" w14:paraId="44708E20" w14:textId="77777777">
        <w:tc>
          <w:tcPr>
            <w:tcW w:w="912" w:type="pct"/>
          </w:tcPr>
          <w:p w14:paraId="70BE314C" w14:textId="77777777" w:rsidR="00543145" w:rsidRDefault="004E578E">
            <w:pPr>
              <w:spacing w:after="0"/>
              <w:rPr>
                <w:lang w:eastAsia="zh-CN"/>
              </w:rPr>
            </w:pPr>
            <w:r>
              <w:t>Qualcomm</w:t>
            </w:r>
          </w:p>
        </w:tc>
        <w:tc>
          <w:tcPr>
            <w:tcW w:w="386" w:type="pct"/>
          </w:tcPr>
          <w:p w14:paraId="4B7614F0" w14:textId="77777777" w:rsidR="00543145" w:rsidRDefault="004E578E">
            <w:pPr>
              <w:spacing w:after="0"/>
              <w:rPr>
                <w:lang w:eastAsia="zh-CN"/>
              </w:rPr>
            </w:pPr>
            <w:r>
              <w:t>Yes</w:t>
            </w:r>
          </w:p>
        </w:tc>
        <w:tc>
          <w:tcPr>
            <w:tcW w:w="674" w:type="pct"/>
          </w:tcPr>
          <w:p w14:paraId="0C0E1D6C" w14:textId="77777777" w:rsidR="00543145" w:rsidRDefault="004E578E">
            <w:pPr>
              <w:spacing w:after="0"/>
              <w:rPr>
                <w:lang w:val="en-GB" w:eastAsia="zh-CN"/>
              </w:rPr>
            </w:pPr>
            <w:r>
              <w:t>Separate</w:t>
            </w:r>
          </w:p>
        </w:tc>
        <w:tc>
          <w:tcPr>
            <w:tcW w:w="3028" w:type="pct"/>
          </w:tcPr>
          <w:p w14:paraId="148B70BC" w14:textId="77777777" w:rsidR="00543145" w:rsidRDefault="004E578E">
            <w:pPr>
              <w:spacing w:after="0"/>
              <w:rPr>
                <w:lang w:val="en-GB" w:eastAsia="zh-CN"/>
              </w:rPr>
            </w:pPr>
            <w:r>
              <w:t>Network needs to know whether the UE in connected mode needs interruption or not at t-Service.</w:t>
            </w:r>
          </w:p>
        </w:tc>
      </w:tr>
      <w:tr w:rsidR="00543145" w14:paraId="28F0B75F" w14:textId="77777777">
        <w:tc>
          <w:tcPr>
            <w:tcW w:w="912" w:type="pct"/>
          </w:tcPr>
          <w:p w14:paraId="2D093373" w14:textId="77777777" w:rsidR="00543145" w:rsidRDefault="004E578E">
            <w:pPr>
              <w:spacing w:after="0"/>
              <w:rPr>
                <w:lang w:eastAsia="zh-CN"/>
              </w:rPr>
            </w:pPr>
            <w:r>
              <w:rPr>
                <w:rFonts w:hint="eastAsia"/>
                <w:lang w:eastAsia="zh-CN"/>
              </w:rPr>
              <w:t>ZTE</w:t>
            </w:r>
          </w:p>
        </w:tc>
        <w:tc>
          <w:tcPr>
            <w:tcW w:w="386" w:type="pct"/>
          </w:tcPr>
          <w:p w14:paraId="550783BD" w14:textId="77777777" w:rsidR="00543145" w:rsidRDefault="004E578E">
            <w:pPr>
              <w:spacing w:after="0"/>
              <w:rPr>
                <w:lang w:eastAsia="zh-CN"/>
              </w:rPr>
            </w:pPr>
            <w:r>
              <w:rPr>
                <w:rFonts w:hint="eastAsia"/>
                <w:lang w:eastAsia="zh-CN"/>
              </w:rPr>
              <w:t>Yes</w:t>
            </w:r>
          </w:p>
        </w:tc>
        <w:tc>
          <w:tcPr>
            <w:tcW w:w="674" w:type="pct"/>
          </w:tcPr>
          <w:p w14:paraId="1C55D602" w14:textId="77777777" w:rsidR="00543145" w:rsidRDefault="004E578E">
            <w:pPr>
              <w:spacing w:after="0"/>
              <w:rPr>
                <w:lang w:eastAsia="zh-CN"/>
              </w:rPr>
            </w:pPr>
            <w:r>
              <w:rPr>
                <w:rFonts w:hint="eastAsia"/>
                <w:lang w:eastAsia="zh-CN"/>
              </w:rPr>
              <w:t>Postpone</w:t>
            </w:r>
          </w:p>
        </w:tc>
        <w:tc>
          <w:tcPr>
            <w:tcW w:w="3028" w:type="pct"/>
          </w:tcPr>
          <w:p w14:paraId="23FFD73B" w14:textId="77777777" w:rsidR="00543145" w:rsidRDefault="004E578E">
            <w:pPr>
              <w:spacing w:after="0"/>
              <w:rPr>
                <w:lang w:eastAsia="zh-CN"/>
              </w:rPr>
            </w:pPr>
            <w:r>
              <w:rPr>
                <w:rFonts w:hint="eastAsia"/>
                <w:lang w:eastAsia="zh-CN"/>
              </w:rPr>
              <w:t>Can discuss after having a clear view on UE procedures for both soft and hard switch.</w:t>
            </w:r>
          </w:p>
        </w:tc>
      </w:tr>
      <w:tr w:rsidR="00C47847" w14:paraId="01DAAF51" w14:textId="77777777">
        <w:tc>
          <w:tcPr>
            <w:tcW w:w="912" w:type="pct"/>
          </w:tcPr>
          <w:p w14:paraId="56162A2E" w14:textId="279DD7CF" w:rsidR="00C47847" w:rsidRDefault="00C47847">
            <w:pPr>
              <w:spacing w:after="0"/>
              <w:rPr>
                <w:lang w:eastAsia="zh-CN"/>
              </w:rPr>
            </w:pPr>
            <w:r>
              <w:rPr>
                <w:rFonts w:hint="eastAsia"/>
                <w:lang w:eastAsia="zh-CN"/>
              </w:rPr>
              <w:t>X</w:t>
            </w:r>
            <w:r>
              <w:rPr>
                <w:lang w:eastAsia="zh-CN"/>
              </w:rPr>
              <w:t>iaomi</w:t>
            </w:r>
          </w:p>
        </w:tc>
        <w:tc>
          <w:tcPr>
            <w:tcW w:w="386" w:type="pct"/>
          </w:tcPr>
          <w:p w14:paraId="2B5D0FB0" w14:textId="1C8F00E6" w:rsidR="00C47847" w:rsidRDefault="00C47847">
            <w:pPr>
              <w:spacing w:after="0"/>
              <w:rPr>
                <w:lang w:eastAsia="zh-CN"/>
              </w:rPr>
            </w:pPr>
            <w:r>
              <w:rPr>
                <w:rFonts w:hint="eastAsia"/>
                <w:lang w:eastAsia="zh-CN"/>
              </w:rPr>
              <w:t>Y</w:t>
            </w:r>
            <w:r>
              <w:rPr>
                <w:lang w:eastAsia="zh-CN"/>
              </w:rPr>
              <w:t>es</w:t>
            </w:r>
          </w:p>
        </w:tc>
        <w:tc>
          <w:tcPr>
            <w:tcW w:w="674" w:type="pct"/>
          </w:tcPr>
          <w:p w14:paraId="2C2F98C6" w14:textId="7B88FBB0" w:rsidR="00C47847" w:rsidRDefault="00C47847">
            <w:pPr>
              <w:spacing w:after="0"/>
              <w:rPr>
                <w:lang w:eastAsia="zh-CN"/>
              </w:rPr>
            </w:pPr>
            <w:r>
              <w:t>Separate</w:t>
            </w:r>
          </w:p>
        </w:tc>
        <w:tc>
          <w:tcPr>
            <w:tcW w:w="3028" w:type="pct"/>
          </w:tcPr>
          <w:p w14:paraId="3904A27F" w14:textId="63FA6C5B" w:rsidR="00C47847" w:rsidRDefault="00C47847">
            <w:pPr>
              <w:spacing w:after="0"/>
              <w:rPr>
                <w:lang w:eastAsia="zh-CN"/>
              </w:rPr>
            </w:pPr>
            <w:r>
              <w:rPr>
                <w:rFonts w:hint="eastAsia"/>
                <w:lang w:eastAsia="zh-CN"/>
              </w:rPr>
              <w:t>T</w:t>
            </w:r>
            <w:r>
              <w:rPr>
                <w:lang w:eastAsia="zh-CN"/>
              </w:rPr>
              <w:t>he UE behavior is different for the hard switch and soft switch.</w:t>
            </w:r>
          </w:p>
        </w:tc>
      </w:tr>
    </w:tbl>
    <w:p w14:paraId="59313657" w14:textId="68A2DB0F" w:rsidR="00543145" w:rsidRDefault="00667B64" w:rsidP="00BE417D">
      <w:pPr>
        <w:spacing w:before="120"/>
        <w:jc w:val="both"/>
        <w:rPr>
          <w:color w:val="000099"/>
        </w:rPr>
      </w:pPr>
      <w:r w:rsidRPr="009D431A">
        <w:rPr>
          <w:b/>
          <w:bCs/>
          <w:color w:val="000099"/>
        </w:rPr>
        <w:t xml:space="preserve">[Summary report] [Rapp(v2)] </w:t>
      </w:r>
      <w:r w:rsidRPr="009D431A">
        <w:rPr>
          <w:color w:val="000099"/>
        </w:rPr>
        <w:t xml:space="preserve">All companies support </w:t>
      </w:r>
      <w:r w:rsidRPr="00BE417D">
        <w:rPr>
          <w:color w:val="000099"/>
        </w:rPr>
        <w:t xml:space="preserve">defining a new optional signaling UE capability to indicate UE’s support of unchanged PCI. </w:t>
      </w:r>
      <w:r w:rsidR="00174EC4" w:rsidRPr="00BE417D">
        <w:rPr>
          <w:color w:val="000099"/>
        </w:rPr>
        <w:t xml:space="preserve">3 companies </w:t>
      </w:r>
      <w:r w:rsidRPr="00BE417D">
        <w:rPr>
          <w:color w:val="000099"/>
        </w:rPr>
        <w:t>prefer having separate UE radio capabilities for hard and soft switch</w:t>
      </w:r>
      <w:r w:rsidR="00174EC4" w:rsidRPr="00BE417D">
        <w:rPr>
          <w:color w:val="000099"/>
        </w:rPr>
        <w:t xml:space="preserve">, one company </w:t>
      </w:r>
      <w:r w:rsidR="00EA34E5" w:rsidRPr="00BE417D">
        <w:rPr>
          <w:color w:val="000099"/>
        </w:rPr>
        <w:t xml:space="preserve">prefers </w:t>
      </w:r>
      <w:r w:rsidR="00174EC4" w:rsidRPr="00BE417D">
        <w:rPr>
          <w:color w:val="000099"/>
        </w:rPr>
        <w:t xml:space="preserve">single </w:t>
      </w:r>
      <w:r w:rsidR="00EA34E5" w:rsidRPr="00BE417D">
        <w:rPr>
          <w:color w:val="000099"/>
        </w:rPr>
        <w:t>capability</w:t>
      </w:r>
      <w:r w:rsidR="00174EC4" w:rsidRPr="00BE417D">
        <w:rPr>
          <w:color w:val="000099"/>
        </w:rPr>
        <w:t xml:space="preserve"> for both, and two companies </w:t>
      </w:r>
      <w:r w:rsidR="00EA34E5" w:rsidRPr="00BE417D">
        <w:rPr>
          <w:color w:val="000099"/>
        </w:rPr>
        <w:t xml:space="preserve">prefers postponing the </w:t>
      </w:r>
      <w:r w:rsidR="006827CD" w:rsidRPr="00BE417D">
        <w:rPr>
          <w:color w:val="000099"/>
        </w:rPr>
        <w:t>decision. The suggestion is to define two different UE capabilities and add an FFS on whether this may not be needed when UE’s procedures as further clarified for both soft and hard switch.</w:t>
      </w:r>
    </w:p>
    <w:p w14:paraId="56FB3B67" w14:textId="77777777" w:rsidR="00AF29F0" w:rsidRDefault="00AF29F0" w:rsidP="00BE417D">
      <w:pPr>
        <w:spacing w:before="120"/>
        <w:jc w:val="both"/>
        <w:rPr>
          <w:color w:val="000099"/>
        </w:rPr>
      </w:pPr>
    </w:p>
    <w:p w14:paraId="0936F198" w14:textId="45E0B3C2" w:rsidR="006827CD" w:rsidRPr="007D3687" w:rsidRDefault="006827CD" w:rsidP="006827CD">
      <w:pPr>
        <w:pStyle w:val="Proposal"/>
        <w:numPr>
          <w:ilvl w:val="0"/>
          <w:numId w:val="8"/>
        </w:numPr>
      </w:pPr>
      <w:bookmarkStart w:id="33" w:name="_Toc149766970"/>
      <w:bookmarkStart w:id="34" w:name="_Toc149212788"/>
      <w:bookmarkStart w:id="35" w:name="_Toc149212809"/>
      <w:bookmarkStart w:id="36" w:name="_Toc149213332"/>
      <w:bookmarkStart w:id="37" w:name="_Ref149766598"/>
      <w:bookmarkStart w:id="38" w:name="_Toc149766971"/>
      <w:bookmarkStart w:id="39" w:name="_Toc149833236"/>
      <w:bookmarkStart w:id="40" w:name="_Toc149833270"/>
      <w:bookmarkStart w:id="41" w:name="_Toc149833332"/>
      <w:bookmarkStart w:id="42" w:name="_Toc149833340"/>
      <w:bookmarkEnd w:id="33"/>
      <w:r w:rsidRPr="007D3687">
        <w:lastRenderedPageBreak/>
        <w:t xml:space="preserve">To define a </w:t>
      </w:r>
      <w:r w:rsidR="00774CCC" w:rsidRPr="007D3687">
        <w:t xml:space="preserve">two </w:t>
      </w:r>
      <w:r w:rsidRPr="007D3687">
        <w:t xml:space="preserve">new UE capability, e.g., </w:t>
      </w:r>
      <w:r w:rsidR="00A80663" w:rsidRPr="007D3687">
        <w:rPr>
          <w:i/>
          <w:iCs/>
        </w:rPr>
        <w:t>unchange</w:t>
      </w:r>
      <w:r w:rsidR="004800AB" w:rsidRPr="007D3687">
        <w:rPr>
          <w:i/>
          <w:iCs/>
        </w:rPr>
        <w:t>d</w:t>
      </w:r>
      <w:r w:rsidR="00A80663" w:rsidRPr="007D3687">
        <w:rPr>
          <w:i/>
          <w:iCs/>
        </w:rPr>
        <w:t>PCI-</w:t>
      </w:r>
      <w:r w:rsidRPr="007D3687">
        <w:rPr>
          <w:i/>
          <w:iCs/>
        </w:rPr>
        <w:t>NTN</w:t>
      </w:r>
      <w:r w:rsidR="00774CCC" w:rsidRPr="007D3687">
        <w:rPr>
          <w:i/>
          <w:iCs/>
        </w:rPr>
        <w:t>-SoftSwitch</w:t>
      </w:r>
      <w:r w:rsidRPr="007D3687">
        <w:rPr>
          <w:i/>
          <w:iCs/>
        </w:rPr>
        <w:t>-r18</w:t>
      </w:r>
      <w:r w:rsidR="00774CCC" w:rsidRPr="007D3687">
        <w:rPr>
          <w:i/>
          <w:iCs/>
        </w:rPr>
        <w:t xml:space="preserve"> and unchange</w:t>
      </w:r>
      <w:r w:rsidR="004800AB" w:rsidRPr="007D3687">
        <w:rPr>
          <w:i/>
          <w:iCs/>
        </w:rPr>
        <w:t>d</w:t>
      </w:r>
      <w:r w:rsidR="00774CCC" w:rsidRPr="007D3687">
        <w:rPr>
          <w:i/>
          <w:iCs/>
        </w:rPr>
        <w:t>PCI-NTN-HardSwitch-r18</w:t>
      </w:r>
      <w:r w:rsidRPr="007D3687">
        <w:t>, to indicate whether</w:t>
      </w:r>
      <w:r w:rsidR="00774CCC" w:rsidRPr="007D3687">
        <w:t xml:space="preserve"> UE support unchanged PCI with soft or hard switch</w:t>
      </w:r>
      <w:r w:rsidRPr="007D3687">
        <w:t>, as specified in TS 38.331.</w:t>
      </w:r>
      <w:bookmarkEnd w:id="34"/>
      <w:bookmarkEnd w:id="35"/>
      <w:bookmarkEnd w:id="36"/>
      <w:bookmarkEnd w:id="37"/>
      <w:bookmarkEnd w:id="38"/>
      <w:bookmarkEnd w:id="39"/>
      <w:bookmarkEnd w:id="40"/>
      <w:bookmarkEnd w:id="41"/>
      <w:bookmarkEnd w:id="42"/>
      <w:r w:rsidRPr="007D3687">
        <w:t xml:space="preserve"> </w:t>
      </w:r>
    </w:p>
    <w:p w14:paraId="1BDF1C74" w14:textId="751FFA5E" w:rsidR="006827CD" w:rsidRPr="007D3687" w:rsidRDefault="00774CCC" w:rsidP="006827CD">
      <w:pPr>
        <w:pStyle w:val="Proposal"/>
        <w:numPr>
          <w:ilvl w:val="1"/>
          <w:numId w:val="8"/>
        </w:numPr>
      </w:pPr>
      <w:bookmarkStart w:id="43" w:name="_Toc149212789"/>
      <w:bookmarkStart w:id="44" w:name="_Toc149212810"/>
      <w:bookmarkStart w:id="45" w:name="_Toc149213333"/>
      <w:bookmarkStart w:id="46" w:name="_Toc149766972"/>
      <w:bookmarkStart w:id="47" w:name="_Toc149833237"/>
      <w:bookmarkStart w:id="48" w:name="_Toc149833271"/>
      <w:bookmarkStart w:id="49" w:name="_Toc149833333"/>
      <w:bookmarkStart w:id="50" w:name="_Toc149833341"/>
      <w:r w:rsidRPr="007D3687">
        <w:rPr>
          <w:i/>
          <w:iCs/>
        </w:rPr>
        <w:t>unchange</w:t>
      </w:r>
      <w:r w:rsidR="004800AB" w:rsidRPr="007D3687">
        <w:rPr>
          <w:i/>
          <w:iCs/>
        </w:rPr>
        <w:t>d</w:t>
      </w:r>
      <w:r w:rsidRPr="007D3687">
        <w:rPr>
          <w:i/>
          <w:iCs/>
        </w:rPr>
        <w:t>PCI-NTN-SoftSwitch-r18 and unchange</w:t>
      </w:r>
      <w:r w:rsidR="004800AB" w:rsidRPr="007D3687">
        <w:rPr>
          <w:i/>
          <w:iCs/>
        </w:rPr>
        <w:t>d</w:t>
      </w:r>
      <w:r w:rsidRPr="007D3687">
        <w:rPr>
          <w:i/>
          <w:iCs/>
        </w:rPr>
        <w:t xml:space="preserve">PCI-NTN-HardSwitch-r18 </w:t>
      </w:r>
      <w:r w:rsidR="006827CD" w:rsidRPr="007D3687">
        <w:t>capabilit</w:t>
      </w:r>
      <w:r w:rsidRPr="007D3687">
        <w:t>ies are</w:t>
      </w:r>
      <w:r w:rsidR="006827CD" w:rsidRPr="007D3687">
        <w:t xml:space="preserve"> defined per </w:t>
      </w:r>
      <w:r w:rsidRPr="007D3687">
        <w:t>UE</w:t>
      </w:r>
      <w:r w:rsidR="006827CD" w:rsidRPr="007D3687">
        <w:t>, optional with signaling capability, and N</w:t>
      </w:r>
      <w:r w:rsidR="00D664C1">
        <w:t>o</w:t>
      </w:r>
      <w:r w:rsidR="006827CD" w:rsidRPr="007D3687">
        <w:t xml:space="preserve"> for FDD/TDD DIFF and FR1/FR2 Diff. This is defined as part of §</w:t>
      </w:r>
      <w:r w:rsidR="00271E7A" w:rsidRPr="00271E7A">
        <w:t>4.2.2</w:t>
      </w:r>
      <w:r w:rsidR="00271E7A">
        <w:t xml:space="preserve"> </w:t>
      </w:r>
      <w:r w:rsidR="00271E7A" w:rsidRPr="00271E7A">
        <w:t>General parameters</w:t>
      </w:r>
      <w:r w:rsidR="006827CD" w:rsidRPr="007D3687">
        <w:t xml:space="preserve"> in TS 38.306.</w:t>
      </w:r>
      <w:bookmarkEnd w:id="43"/>
      <w:bookmarkEnd w:id="44"/>
      <w:bookmarkEnd w:id="45"/>
      <w:bookmarkEnd w:id="46"/>
      <w:bookmarkEnd w:id="47"/>
      <w:bookmarkEnd w:id="48"/>
      <w:bookmarkEnd w:id="49"/>
      <w:bookmarkEnd w:id="50"/>
    </w:p>
    <w:p w14:paraId="626EA632" w14:textId="75C153F9" w:rsidR="00774CCC" w:rsidRPr="007D3687" w:rsidRDefault="00774CCC" w:rsidP="006827CD">
      <w:pPr>
        <w:pStyle w:val="Proposal"/>
        <w:numPr>
          <w:ilvl w:val="1"/>
          <w:numId w:val="8"/>
        </w:numPr>
      </w:pPr>
      <w:bookmarkStart w:id="51" w:name="_Toc149212790"/>
      <w:bookmarkStart w:id="52" w:name="_Toc149212811"/>
      <w:bookmarkStart w:id="53" w:name="_Toc149213334"/>
      <w:bookmarkStart w:id="54" w:name="_Toc149766973"/>
      <w:bookmarkStart w:id="55" w:name="_Toc149833238"/>
      <w:bookmarkStart w:id="56" w:name="_Toc149833272"/>
      <w:bookmarkStart w:id="57" w:name="_Toc149833334"/>
      <w:bookmarkStart w:id="58" w:name="_Toc149833342"/>
      <w:r w:rsidRPr="007D3687">
        <w:t xml:space="preserve">An editor’s note is added to </w:t>
      </w:r>
      <w:r w:rsidRPr="007D3687">
        <w:rPr>
          <w:i/>
          <w:iCs/>
        </w:rPr>
        <w:t>unchange</w:t>
      </w:r>
      <w:r w:rsidR="004800AB" w:rsidRPr="007D3687">
        <w:rPr>
          <w:i/>
          <w:iCs/>
        </w:rPr>
        <w:t>d</w:t>
      </w:r>
      <w:r w:rsidRPr="007D3687">
        <w:rPr>
          <w:i/>
          <w:iCs/>
        </w:rPr>
        <w:t xml:space="preserve">PCI-NTN-SoftSwitch-r18 </w:t>
      </w:r>
      <w:r w:rsidRPr="007D3687">
        <w:t>and</w:t>
      </w:r>
      <w:r w:rsidRPr="007D3687">
        <w:rPr>
          <w:i/>
          <w:iCs/>
        </w:rPr>
        <w:t xml:space="preserve"> unchange</w:t>
      </w:r>
      <w:r w:rsidR="004800AB" w:rsidRPr="007D3687">
        <w:rPr>
          <w:i/>
          <w:iCs/>
        </w:rPr>
        <w:t>d</w:t>
      </w:r>
      <w:r w:rsidRPr="007D3687">
        <w:rPr>
          <w:i/>
          <w:iCs/>
        </w:rPr>
        <w:t xml:space="preserve">PCI-NTN-HardSwitch-r18 </w:t>
      </w:r>
      <w:r w:rsidR="004800AB" w:rsidRPr="007D3687">
        <w:t xml:space="preserve">to capture “FFS whether </w:t>
      </w:r>
      <w:r w:rsidR="00444EA5" w:rsidRPr="007D3687">
        <w:t xml:space="preserve">further changes </w:t>
      </w:r>
      <w:r w:rsidR="004800AB" w:rsidRPr="007D3687">
        <w:t xml:space="preserve">may be </w:t>
      </w:r>
      <w:r w:rsidR="00444EA5" w:rsidRPr="007D3687">
        <w:t xml:space="preserve">needed after further progressing on the design to support </w:t>
      </w:r>
      <w:r w:rsidR="004800AB" w:rsidRPr="007D3687">
        <w:t xml:space="preserve">unchanged </w:t>
      </w:r>
      <w:r w:rsidR="00444EA5" w:rsidRPr="007D3687">
        <w:t>PCI with</w:t>
      </w:r>
      <w:r w:rsidR="004800AB" w:rsidRPr="007D3687">
        <w:t xml:space="preserve"> soft and hard switch”</w:t>
      </w:r>
      <w:r w:rsidRPr="007D3687">
        <w:rPr>
          <w:i/>
          <w:iCs/>
        </w:rPr>
        <w:t>.</w:t>
      </w:r>
      <w:bookmarkEnd w:id="51"/>
      <w:bookmarkEnd w:id="52"/>
      <w:bookmarkEnd w:id="53"/>
      <w:bookmarkEnd w:id="54"/>
      <w:bookmarkEnd w:id="55"/>
      <w:bookmarkEnd w:id="56"/>
      <w:bookmarkEnd w:id="57"/>
      <w:bookmarkEnd w:id="58"/>
    </w:p>
    <w:p w14:paraId="4C118C72" w14:textId="77777777" w:rsidR="006827CD" w:rsidRDefault="006827CD"/>
    <w:p w14:paraId="719085E5" w14:textId="77777777" w:rsidR="00543145" w:rsidRDefault="004E578E">
      <w:pPr>
        <w:pStyle w:val="ListParagraph"/>
        <w:numPr>
          <w:ilvl w:val="0"/>
          <w:numId w:val="6"/>
        </w:numPr>
        <w:ind w:left="360"/>
        <w:jc w:val="both"/>
      </w:pPr>
      <w:r>
        <w:t>Please indicate if there are any other UE capabilities that needs to be discussed/defined by RAN2 for Rel-18 NR NTN Enhancements.</w:t>
      </w:r>
    </w:p>
    <w:tbl>
      <w:tblPr>
        <w:tblStyle w:val="TableGrid"/>
        <w:tblW w:w="9355" w:type="dxa"/>
        <w:tblLook w:val="04A0" w:firstRow="1" w:lastRow="0" w:firstColumn="1" w:lastColumn="0" w:noHBand="0" w:noVBand="1"/>
      </w:tblPr>
      <w:tblGrid>
        <w:gridCol w:w="1713"/>
        <w:gridCol w:w="7642"/>
      </w:tblGrid>
      <w:tr w:rsidR="00543145" w14:paraId="0FA7F37A" w14:textId="77777777">
        <w:tc>
          <w:tcPr>
            <w:tcW w:w="1713" w:type="dxa"/>
            <w:shd w:val="clear" w:color="auto" w:fill="BFBFBF" w:themeFill="background1" w:themeFillShade="BF"/>
          </w:tcPr>
          <w:p w14:paraId="506D8EE9" w14:textId="77777777" w:rsidR="00543145" w:rsidRDefault="004E578E">
            <w:pPr>
              <w:spacing w:after="0"/>
              <w:jc w:val="center"/>
              <w:rPr>
                <w:b/>
                <w:bCs/>
              </w:rPr>
            </w:pPr>
            <w:r>
              <w:rPr>
                <w:b/>
                <w:bCs/>
              </w:rPr>
              <w:t>Company’s name</w:t>
            </w:r>
          </w:p>
        </w:tc>
        <w:tc>
          <w:tcPr>
            <w:tcW w:w="7642" w:type="dxa"/>
            <w:shd w:val="clear" w:color="auto" w:fill="BFBFBF" w:themeFill="background1" w:themeFillShade="BF"/>
          </w:tcPr>
          <w:p w14:paraId="16107011" w14:textId="77777777" w:rsidR="00543145" w:rsidRDefault="004E578E">
            <w:pPr>
              <w:spacing w:after="0"/>
              <w:jc w:val="center"/>
              <w:rPr>
                <w:b/>
                <w:bCs/>
              </w:rPr>
            </w:pPr>
            <w:r>
              <w:rPr>
                <w:b/>
                <w:bCs/>
              </w:rPr>
              <w:t>Comments, if any</w:t>
            </w:r>
          </w:p>
        </w:tc>
      </w:tr>
      <w:tr w:rsidR="00543145" w14:paraId="40D6676F" w14:textId="77777777">
        <w:tc>
          <w:tcPr>
            <w:tcW w:w="1713" w:type="dxa"/>
          </w:tcPr>
          <w:p w14:paraId="393444BF" w14:textId="77777777" w:rsidR="00543145" w:rsidRDefault="004E578E">
            <w:pPr>
              <w:spacing w:after="0"/>
            </w:pPr>
            <w:r>
              <w:t>Ericsson</w:t>
            </w:r>
          </w:p>
        </w:tc>
        <w:tc>
          <w:tcPr>
            <w:tcW w:w="7642" w:type="dxa"/>
          </w:tcPr>
          <w:p w14:paraId="253E1A6C" w14:textId="77777777" w:rsidR="00543145" w:rsidRDefault="004E578E">
            <w:pPr>
              <w:pStyle w:val="ListParagraph"/>
              <w:numPr>
                <w:ilvl w:val="0"/>
                <w:numId w:val="7"/>
              </w:numPr>
              <w:spacing w:after="0"/>
            </w:pPr>
            <w:bookmarkStart w:id="59" w:name="_Hlk149036163"/>
            <w:r>
              <w:t>In moving cells, location-based CHO involves the calculation of the present reference location from ephemeris and one reference location at epoch time. Thus, a new capability is needed</w:t>
            </w:r>
            <w:bookmarkEnd w:id="59"/>
            <w:r>
              <w:t>.</w:t>
            </w:r>
          </w:p>
          <w:p w14:paraId="5A885C34" w14:textId="77777777" w:rsidR="00543145" w:rsidRDefault="004E578E">
            <w:pPr>
              <w:pStyle w:val="ListParagraph"/>
              <w:numPr>
                <w:ilvl w:val="0"/>
                <w:numId w:val="7"/>
              </w:numPr>
              <w:spacing w:after="0"/>
            </w:pPr>
            <w:r>
              <w:t>Unchanged PCI. Separate capabilities for hard and soft switch.</w:t>
            </w:r>
          </w:p>
          <w:p w14:paraId="3C460EDB" w14:textId="77777777" w:rsidR="00543145" w:rsidRPr="00BE417D" w:rsidRDefault="004E578E">
            <w:pPr>
              <w:spacing w:after="0"/>
              <w:rPr>
                <w:color w:val="0000CC"/>
              </w:rPr>
            </w:pPr>
            <w:r w:rsidRPr="00BE417D">
              <w:rPr>
                <w:b/>
                <w:bCs/>
                <w:color w:val="0000CC"/>
              </w:rPr>
              <w:t>[Rapp(v1)]</w:t>
            </w:r>
            <w:r w:rsidRPr="00BE417D">
              <w:rPr>
                <w:color w:val="0000CC"/>
              </w:rPr>
              <w:t xml:space="preserve"> Added new discussion points</w:t>
            </w:r>
            <w:r>
              <w:rPr>
                <w:color w:val="0000CC"/>
              </w:rPr>
              <w:t xml:space="preserve"> (4 and 5) covering these two new points.</w:t>
            </w:r>
            <w:r w:rsidRPr="00BE417D">
              <w:rPr>
                <w:color w:val="0000CC"/>
              </w:rPr>
              <w:t xml:space="preserve"> </w:t>
            </w:r>
          </w:p>
          <w:p w14:paraId="66B4CAD6" w14:textId="77777777" w:rsidR="00543145" w:rsidRDefault="00543145" w:rsidP="00BE417D">
            <w:pPr>
              <w:spacing w:after="0"/>
            </w:pPr>
          </w:p>
        </w:tc>
      </w:tr>
      <w:tr w:rsidR="00543145" w14:paraId="66A03D9D" w14:textId="77777777">
        <w:tc>
          <w:tcPr>
            <w:tcW w:w="1713" w:type="dxa"/>
          </w:tcPr>
          <w:p w14:paraId="7C4AD22E" w14:textId="77777777" w:rsidR="00543145" w:rsidRDefault="004E578E">
            <w:pPr>
              <w:spacing w:after="0"/>
              <w:rPr>
                <w:lang w:eastAsia="zh-CN"/>
              </w:rPr>
            </w:pPr>
            <w:r>
              <w:rPr>
                <w:rFonts w:hint="eastAsia"/>
              </w:rPr>
              <w:t>v</w:t>
            </w:r>
            <w:r>
              <w:t>ivo</w:t>
            </w:r>
          </w:p>
        </w:tc>
        <w:tc>
          <w:tcPr>
            <w:tcW w:w="7642" w:type="dxa"/>
          </w:tcPr>
          <w:p w14:paraId="736D6DDA" w14:textId="77777777" w:rsidR="00543145" w:rsidRDefault="004E578E">
            <w:pPr>
              <w:spacing w:after="0"/>
              <w:rPr>
                <w:lang w:eastAsia="zh-CN"/>
              </w:rPr>
            </w:pPr>
            <w:r>
              <w:rPr>
                <w:lang w:eastAsia="zh-CN"/>
              </w:rPr>
              <w:t>P</w:t>
            </w:r>
            <w:r>
              <w:rPr>
                <w:rFonts w:hint="eastAsia"/>
                <w:lang w:eastAsia="zh-CN"/>
              </w:rPr>
              <w:t>erhaps</w:t>
            </w:r>
            <w:r>
              <w:t xml:space="preserve"> </w:t>
            </w:r>
            <w:r>
              <w:rPr>
                <w:rFonts w:hint="eastAsia"/>
                <w:lang w:eastAsia="zh-CN"/>
              </w:rPr>
              <w:t>a</w:t>
            </w:r>
            <w:r>
              <w:rPr>
                <w:lang w:eastAsia="zh-CN"/>
              </w:rPr>
              <w:t>n optional capability without signaling is needed for the support of common LCID solution</w:t>
            </w:r>
          </w:p>
          <w:p w14:paraId="5D6E2C24" w14:textId="4DC95E10" w:rsidR="00BC1D84" w:rsidRDefault="00BC1D84">
            <w:pPr>
              <w:spacing w:after="0"/>
              <w:rPr>
                <w:lang w:eastAsia="zh-CN"/>
              </w:rPr>
            </w:pPr>
            <w:r w:rsidRPr="00BE417D">
              <w:rPr>
                <w:b/>
                <w:bCs/>
                <w:color w:val="000099"/>
              </w:rPr>
              <w:t>[Rapp(v2)]</w:t>
            </w:r>
            <w:r w:rsidRPr="00BE417D">
              <w:rPr>
                <w:color w:val="000099"/>
              </w:rPr>
              <w:t xml:space="preserve"> </w:t>
            </w:r>
            <w:r w:rsidR="00444EA5">
              <w:rPr>
                <w:color w:val="000099"/>
              </w:rPr>
              <w:t>It might be v</w:t>
            </w:r>
            <w:r w:rsidR="003F2B0F" w:rsidRPr="00BE417D">
              <w:rPr>
                <w:color w:val="000099"/>
              </w:rPr>
              <w:t xml:space="preserve">alid </w:t>
            </w:r>
            <w:r w:rsidR="00444EA5">
              <w:rPr>
                <w:color w:val="000099"/>
              </w:rPr>
              <w:t>question for discussion</w:t>
            </w:r>
            <w:r w:rsidR="003F2B0F" w:rsidRPr="00BE417D">
              <w:rPr>
                <w:color w:val="000099"/>
              </w:rPr>
              <w:t xml:space="preserve"> but s</w:t>
            </w:r>
            <w:r w:rsidRPr="00BE417D">
              <w:rPr>
                <w:color w:val="000099"/>
              </w:rPr>
              <w:t xml:space="preserve">uggest waiting on this topic until </w:t>
            </w:r>
            <w:r w:rsidR="003F2B0F" w:rsidRPr="00BE417D">
              <w:rPr>
                <w:color w:val="000099"/>
              </w:rPr>
              <w:t>further progress</w:t>
            </w:r>
            <w:r w:rsidR="00444EA5">
              <w:rPr>
                <w:color w:val="000099"/>
              </w:rPr>
              <w:t>es</w:t>
            </w:r>
            <w:r w:rsidR="003F2B0F" w:rsidRPr="00BE417D">
              <w:rPr>
                <w:color w:val="000099"/>
              </w:rPr>
              <w:t xml:space="preserve"> on the joint session as well as NTN specific session.</w:t>
            </w:r>
          </w:p>
        </w:tc>
      </w:tr>
      <w:tr w:rsidR="00543145" w14:paraId="0FC2417E" w14:textId="77777777">
        <w:tc>
          <w:tcPr>
            <w:tcW w:w="1713" w:type="dxa"/>
          </w:tcPr>
          <w:p w14:paraId="2C689664" w14:textId="77777777" w:rsidR="00543145" w:rsidRDefault="00543145">
            <w:pPr>
              <w:spacing w:after="0"/>
            </w:pPr>
          </w:p>
        </w:tc>
        <w:tc>
          <w:tcPr>
            <w:tcW w:w="7642" w:type="dxa"/>
          </w:tcPr>
          <w:p w14:paraId="435E3273" w14:textId="77777777" w:rsidR="00543145" w:rsidRDefault="00543145">
            <w:pPr>
              <w:spacing w:after="0"/>
            </w:pPr>
          </w:p>
        </w:tc>
      </w:tr>
    </w:tbl>
    <w:p w14:paraId="0B555AA7" w14:textId="77777777" w:rsidR="00543145" w:rsidRDefault="00543145"/>
    <w:p w14:paraId="64835F41" w14:textId="4B40F213" w:rsidR="00543145" w:rsidRDefault="00A53C3D">
      <w:r>
        <w:t xml:space="preserve">Based on above </w:t>
      </w:r>
      <w:r>
        <w:fldChar w:fldCharType="begin"/>
      </w:r>
      <w:r>
        <w:instrText xml:space="preserve"> REF _Ref149766596 \r \h </w:instrText>
      </w:r>
      <w:r>
        <w:fldChar w:fldCharType="separate"/>
      </w:r>
      <w:r>
        <w:t>Proposal 1</w:t>
      </w:r>
      <w:r>
        <w:fldChar w:fldCharType="end"/>
      </w:r>
      <w:r>
        <w:t xml:space="preserve"> and </w:t>
      </w:r>
      <w:r>
        <w:fldChar w:fldCharType="begin"/>
      </w:r>
      <w:r>
        <w:instrText xml:space="preserve"> REF _Ref149766598 \r \h </w:instrText>
      </w:r>
      <w:r>
        <w:fldChar w:fldCharType="separate"/>
      </w:r>
      <w:r>
        <w:t>Proposal 2</w:t>
      </w:r>
      <w:r>
        <w:fldChar w:fldCharType="end"/>
      </w:r>
      <w:r>
        <w:t xml:space="preserve">, </w:t>
      </w:r>
      <w:r w:rsidR="007235CC">
        <w:t xml:space="preserve">NR NTN Enh. </w:t>
      </w:r>
      <w:r>
        <w:t xml:space="preserve">UE Capability draftCRs to TS 38.306 and 38.331 are </w:t>
      </w:r>
      <w:r w:rsidR="007235CC">
        <w:t xml:space="preserve">updated accordingly. </w:t>
      </w:r>
    </w:p>
    <w:p w14:paraId="19ED6E8B" w14:textId="7D841A43" w:rsidR="007235CC" w:rsidRPr="007D3687" w:rsidRDefault="007235CC" w:rsidP="007235CC">
      <w:pPr>
        <w:pStyle w:val="Proposal"/>
        <w:numPr>
          <w:ilvl w:val="0"/>
          <w:numId w:val="8"/>
        </w:numPr>
      </w:pPr>
      <w:bookmarkStart w:id="60" w:name="_Toc149766974"/>
      <w:bookmarkStart w:id="61" w:name="_Toc149833239"/>
      <w:bookmarkStart w:id="62" w:name="_Toc149833273"/>
      <w:bookmarkStart w:id="63" w:name="_Toc149833335"/>
      <w:bookmarkStart w:id="64" w:name="_Toc149833343"/>
      <w:r>
        <w:t xml:space="preserve">If </w:t>
      </w:r>
      <w:r>
        <w:fldChar w:fldCharType="begin"/>
      </w:r>
      <w:r>
        <w:instrText xml:space="preserve"> REF _Ref149766596 \r \h </w:instrText>
      </w:r>
      <w:r>
        <w:fldChar w:fldCharType="separate"/>
      </w:r>
      <w:r>
        <w:t>Proposal 1</w:t>
      </w:r>
      <w:r>
        <w:fldChar w:fldCharType="end"/>
      </w:r>
      <w:r>
        <w:t xml:space="preserve"> and </w:t>
      </w:r>
      <w:r>
        <w:fldChar w:fldCharType="begin"/>
      </w:r>
      <w:r>
        <w:instrText xml:space="preserve"> REF _Ref149766598 \r \h </w:instrText>
      </w:r>
      <w:r>
        <w:fldChar w:fldCharType="separate"/>
      </w:r>
      <w:r>
        <w:t>Proposal 2</w:t>
      </w:r>
      <w:r>
        <w:fldChar w:fldCharType="end"/>
      </w:r>
      <w:r>
        <w:t xml:space="preserve"> are agreeable, to endorse </w:t>
      </w:r>
      <w:r w:rsidR="008C25AB">
        <w:t>the</w:t>
      </w:r>
      <w:r>
        <w:t xml:space="preserve"> UE Capability draftCRs to TS 38.306 and 38.331 </w:t>
      </w:r>
      <w:r w:rsidR="008C25AB">
        <w:t xml:space="preserve">provided in </w:t>
      </w:r>
      <w:r w:rsidR="003A223A" w:rsidRPr="003A223A">
        <w:t>R2-231216</w:t>
      </w:r>
      <w:r w:rsidR="003A223A">
        <w:t>3</w:t>
      </w:r>
      <w:r w:rsidR="008C25AB">
        <w:t xml:space="preserve"> and in </w:t>
      </w:r>
      <w:r w:rsidR="003A223A" w:rsidRPr="003A223A">
        <w:t>R2-231216</w:t>
      </w:r>
      <w:r w:rsidR="003A223A">
        <w:t>4</w:t>
      </w:r>
      <w:r w:rsidR="007A63A4">
        <w:t xml:space="preserve"> for Rel-18 NR NTN Enh. WI</w:t>
      </w:r>
      <w:r w:rsidRPr="007D3687">
        <w:t>.</w:t>
      </w:r>
      <w:bookmarkEnd w:id="60"/>
      <w:bookmarkEnd w:id="61"/>
      <w:bookmarkEnd w:id="62"/>
      <w:bookmarkEnd w:id="63"/>
      <w:bookmarkEnd w:id="64"/>
      <w:r w:rsidRPr="007D3687">
        <w:t xml:space="preserve"> </w:t>
      </w:r>
    </w:p>
    <w:p w14:paraId="1927A1BC" w14:textId="77777777" w:rsidR="00543145" w:rsidRDefault="00543145"/>
    <w:p w14:paraId="2B31C870" w14:textId="719D393D" w:rsidR="00826A02" w:rsidRDefault="00826A02">
      <w:pPr>
        <w:overflowPunct/>
        <w:autoSpaceDE/>
        <w:autoSpaceDN/>
        <w:adjustRightInd/>
        <w:spacing w:after="0"/>
        <w:rPr>
          <w:lang w:eastAsia="zh-CN"/>
        </w:rPr>
      </w:pPr>
      <w:r>
        <w:rPr>
          <w:lang w:eastAsia="zh-CN"/>
        </w:rPr>
        <w:br w:type="page"/>
      </w:r>
    </w:p>
    <w:p w14:paraId="37A9BE17" w14:textId="77777777" w:rsidR="00543145" w:rsidRDefault="00543145">
      <w:pPr>
        <w:jc w:val="both"/>
        <w:rPr>
          <w:lang w:eastAsia="zh-CN"/>
        </w:rPr>
      </w:pPr>
    </w:p>
    <w:p w14:paraId="2FE34B5A" w14:textId="77777777" w:rsidR="00543145" w:rsidRDefault="004E578E">
      <w:pPr>
        <w:pStyle w:val="Heading1"/>
        <w:numPr>
          <w:ilvl w:val="0"/>
          <w:numId w:val="4"/>
        </w:numPr>
      </w:pPr>
      <w:r>
        <w:t>Conclusion</w:t>
      </w:r>
    </w:p>
    <w:p w14:paraId="3DCE8D4B" w14:textId="77777777" w:rsidR="00543145" w:rsidRDefault="004E578E">
      <w:pPr>
        <w:spacing w:before="120" w:after="120"/>
        <w:jc w:val="both"/>
        <w:rPr>
          <w:lang w:val="en-GB" w:eastAsia="zh-CN"/>
        </w:rPr>
      </w:pPr>
      <w:r>
        <w:rPr>
          <w:iCs/>
          <w:lang w:eastAsia="ja-JP"/>
        </w:rPr>
        <w:t>The proposals captured are the following</w:t>
      </w:r>
      <w:r>
        <w:rPr>
          <w:lang w:val="en-GB" w:eastAsia="zh-CN"/>
        </w:rPr>
        <w:t>:</w:t>
      </w:r>
    </w:p>
    <w:p w14:paraId="56F114EA" w14:textId="77777777" w:rsidR="00D92299" w:rsidRDefault="004E578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D92299" w:rsidRPr="00DF0487">
        <w:rPr>
          <w:b/>
          <w:noProof/>
        </w:rPr>
        <w:t>Proposal 1.</w:t>
      </w:r>
      <w:r w:rsidR="00D92299">
        <w:rPr>
          <w:rFonts w:asciiTheme="minorHAnsi" w:eastAsiaTheme="minorEastAsia" w:hAnsiTheme="minorHAnsi" w:cstheme="minorBidi"/>
          <w:noProof/>
          <w:kern w:val="2"/>
          <w:sz w:val="22"/>
          <w14:ligatures w14:val="standardContextual"/>
        </w:rPr>
        <w:tab/>
      </w:r>
      <w:r w:rsidR="00D92299">
        <w:rPr>
          <w:noProof/>
        </w:rPr>
        <w:t xml:space="preserve">To define a new UE capability, e.g., </w:t>
      </w:r>
      <w:r w:rsidR="00D92299" w:rsidRPr="00DF0487">
        <w:rPr>
          <w:i/>
          <w:iCs/>
          <w:noProof/>
        </w:rPr>
        <w:t>locationBasedCondHandoverNTN-r18</w:t>
      </w:r>
      <w:r w:rsidR="00D92299">
        <w:rPr>
          <w:noProof/>
        </w:rPr>
        <w:t>, to indicate whether the UE supports location-based conditional handover for moving cell in NTN bands (which involves the calculation of the present reference location from ephemeris and one reference location at epoch time, as specified in TS 38.331).</w:t>
      </w:r>
    </w:p>
    <w:p w14:paraId="79BC275A" w14:textId="77777777" w:rsidR="00D92299" w:rsidRDefault="00D92299">
      <w:pPr>
        <w:pStyle w:val="TOC1"/>
        <w:rPr>
          <w:rFonts w:asciiTheme="minorHAnsi" w:eastAsiaTheme="minorEastAsia" w:hAnsiTheme="minorHAnsi" w:cstheme="minorBidi"/>
          <w:noProof/>
          <w:kern w:val="2"/>
          <w:sz w:val="22"/>
          <w14:ligatures w14:val="standardContextual"/>
        </w:rPr>
      </w:pPr>
      <w:r w:rsidRPr="00DF0487">
        <w:rPr>
          <w:b/>
          <w:noProof/>
        </w:rPr>
        <w:t>Proposal 1.1.</w:t>
      </w:r>
      <w:r>
        <w:rPr>
          <w:rFonts w:asciiTheme="minorHAnsi" w:eastAsiaTheme="minorEastAsia" w:hAnsiTheme="minorHAnsi" w:cstheme="minorBidi"/>
          <w:noProof/>
          <w:kern w:val="2"/>
          <w:sz w:val="22"/>
          <w14:ligatures w14:val="standardContextual"/>
        </w:rPr>
        <w:tab/>
      </w:r>
      <w:r>
        <w:rPr>
          <w:noProof/>
        </w:rPr>
        <w:t xml:space="preserve">This </w:t>
      </w:r>
      <w:r w:rsidRPr="00DF0487">
        <w:rPr>
          <w:i/>
          <w:iCs/>
          <w:noProof/>
        </w:rPr>
        <w:t xml:space="preserve">locationBasedCondHandoverNTN-r18 </w:t>
      </w:r>
      <w:r>
        <w:rPr>
          <w:noProof/>
        </w:rPr>
        <w:t>capability is defined per Band, optional with signaling capability, and N/A for FDD/TDD DIFF and FR1/FR2 Diff. This is defined as part of §4.2.7.2 BandNR parameters in TS 38.306.</w:t>
      </w:r>
    </w:p>
    <w:p w14:paraId="423E9970" w14:textId="77777777" w:rsidR="00D92299" w:rsidRDefault="00D92299">
      <w:pPr>
        <w:pStyle w:val="TOC1"/>
        <w:rPr>
          <w:rFonts w:asciiTheme="minorHAnsi" w:eastAsiaTheme="minorEastAsia" w:hAnsiTheme="minorHAnsi" w:cstheme="minorBidi"/>
          <w:noProof/>
          <w:kern w:val="2"/>
          <w:sz w:val="22"/>
          <w14:ligatures w14:val="standardContextual"/>
        </w:rPr>
      </w:pPr>
      <w:r w:rsidRPr="00DF0487">
        <w:rPr>
          <w:b/>
          <w:noProof/>
        </w:rPr>
        <w:t>Proposal 1.2.</w:t>
      </w:r>
      <w:r>
        <w:rPr>
          <w:rFonts w:asciiTheme="minorHAnsi" w:eastAsiaTheme="minorEastAsia" w:hAnsiTheme="minorHAnsi" w:cstheme="minorBidi"/>
          <w:noProof/>
          <w:kern w:val="2"/>
          <w:sz w:val="22"/>
          <w14:ligatures w14:val="standardContextual"/>
        </w:rPr>
        <w:tab/>
      </w:r>
      <w:r>
        <w:rPr>
          <w:noProof/>
        </w:rPr>
        <w:t xml:space="preserve">An editor’s note is added to </w:t>
      </w:r>
      <w:r w:rsidRPr="00DF0487">
        <w:rPr>
          <w:i/>
          <w:iCs/>
          <w:noProof/>
        </w:rPr>
        <w:t xml:space="preserve">locationBasedCondHandoverNTN-r18 </w:t>
      </w:r>
      <w:r>
        <w:rPr>
          <w:noProof/>
        </w:rPr>
        <w:t xml:space="preserve">to capture “FFS whether any change or update is needed considering how </w:t>
      </w:r>
      <w:r w:rsidRPr="00DF0487">
        <w:rPr>
          <w:i/>
          <w:iCs/>
          <w:noProof/>
        </w:rPr>
        <w:t>locationBasedCondHandover-r17</w:t>
      </w:r>
      <w:r>
        <w:rPr>
          <w:noProof/>
        </w:rPr>
        <w:t xml:space="preserve"> is defined”, or whether location-based conditional handover for moving cell refers to source cell, target cell or both</w:t>
      </w:r>
      <w:r w:rsidRPr="00DF0487">
        <w:rPr>
          <w:i/>
          <w:iCs/>
          <w:noProof/>
        </w:rPr>
        <w:t>.</w:t>
      </w:r>
    </w:p>
    <w:p w14:paraId="76912D55" w14:textId="77777777" w:rsidR="00D92299" w:rsidRDefault="00D92299">
      <w:pPr>
        <w:pStyle w:val="TOC1"/>
        <w:rPr>
          <w:rFonts w:asciiTheme="minorHAnsi" w:eastAsiaTheme="minorEastAsia" w:hAnsiTheme="minorHAnsi" w:cstheme="minorBidi"/>
          <w:noProof/>
          <w:kern w:val="2"/>
          <w:sz w:val="22"/>
          <w14:ligatures w14:val="standardContextual"/>
        </w:rPr>
      </w:pPr>
      <w:r w:rsidRPr="00DF0487">
        <w:rPr>
          <w:b/>
          <w:noProof/>
        </w:rPr>
        <w:t>Proposal 2.</w:t>
      </w:r>
      <w:r>
        <w:rPr>
          <w:rFonts w:asciiTheme="minorHAnsi" w:eastAsiaTheme="minorEastAsia" w:hAnsiTheme="minorHAnsi" w:cstheme="minorBidi"/>
          <w:noProof/>
          <w:kern w:val="2"/>
          <w:sz w:val="22"/>
          <w14:ligatures w14:val="standardContextual"/>
        </w:rPr>
        <w:tab/>
      </w:r>
      <w:r>
        <w:rPr>
          <w:noProof/>
        </w:rPr>
        <w:t xml:space="preserve">To define a two new UE capability, e.g., </w:t>
      </w:r>
      <w:r w:rsidRPr="00DF0487">
        <w:rPr>
          <w:i/>
          <w:iCs/>
          <w:noProof/>
        </w:rPr>
        <w:t>unchangedPCI-NTN-SoftSwitch-r18 and unchangedPCI-NTN-HardSwitch-r18</w:t>
      </w:r>
      <w:r>
        <w:rPr>
          <w:noProof/>
        </w:rPr>
        <w:t>, to indicate whether UE support unchanged PCI with soft or hard switch, as specified in TS 38.331.</w:t>
      </w:r>
    </w:p>
    <w:p w14:paraId="3A85194E" w14:textId="77777777" w:rsidR="00D92299" w:rsidRDefault="00D92299">
      <w:pPr>
        <w:pStyle w:val="TOC1"/>
        <w:rPr>
          <w:rFonts w:asciiTheme="minorHAnsi" w:eastAsiaTheme="minorEastAsia" w:hAnsiTheme="minorHAnsi" w:cstheme="minorBidi"/>
          <w:noProof/>
          <w:kern w:val="2"/>
          <w:sz w:val="22"/>
          <w14:ligatures w14:val="standardContextual"/>
        </w:rPr>
      </w:pPr>
      <w:r w:rsidRPr="00DF0487">
        <w:rPr>
          <w:b/>
          <w:noProof/>
        </w:rPr>
        <w:t>Proposal 2.1.</w:t>
      </w:r>
      <w:r>
        <w:rPr>
          <w:rFonts w:asciiTheme="minorHAnsi" w:eastAsiaTheme="minorEastAsia" w:hAnsiTheme="minorHAnsi" w:cstheme="minorBidi"/>
          <w:noProof/>
          <w:kern w:val="2"/>
          <w:sz w:val="22"/>
          <w14:ligatures w14:val="standardContextual"/>
        </w:rPr>
        <w:tab/>
      </w:r>
      <w:r w:rsidRPr="00DF0487">
        <w:rPr>
          <w:i/>
          <w:iCs/>
          <w:noProof/>
        </w:rPr>
        <w:t xml:space="preserve">unchangedPCI-NTN-SoftSwitch-r18 and unchangedPCI-NTN-HardSwitch-r18 </w:t>
      </w:r>
      <w:r>
        <w:rPr>
          <w:noProof/>
        </w:rPr>
        <w:t>capabilities are defined per UE, optional with signaling capability, and No for FDD/TDD DIFF and FR1/FR2 Diff. This is defined as part of §4.2.2 General parameters in TS 38.306.</w:t>
      </w:r>
    </w:p>
    <w:p w14:paraId="1F288FE4" w14:textId="77777777" w:rsidR="00D92299" w:rsidRDefault="00D92299">
      <w:pPr>
        <w:pStyle w:val="TOC1"/>
        <w:rPr>
          <w:rFonts w:asciiTheme="minorHAnsi" w:eastAsiaTheme="minorEastAsia" w:hAnsiTheme="minorHAnsi" w:cstheme="minorBidi"/>
          <w:noProof/>
          <w:kern w:val="2"/>
          <w:sz w:val="22"/>
          <w14:ligatures w14:val="standardContextual"/>
        </w:rPr>
      </w:pPr>
      <w:r w:rsidRPr="00DF0487">
        <w:rPr>
          <w:b/>
          <w:noProof/>
        </w:rPr>
        <w:t>Proposal 2.2.</w:t>
      </w:r>
      <w:r>
        <w:rPr>
          <w:rFonts w:asciiTheme="minorHAnsi" w:eastAsiaTheme="minorEastAsia" w:hAnsiTheme="minorHAnsi" w:cstheme="minorBidi"/>
          <w:noProof/>
          <w:kern w:val="2"/>
          <w:sz w:val="22"/>
          <w14:ligatures w14:val="standardContextual"/>
        </w:rPr>
        <w:tab/>
      </w:r>
      <w:r>
        <w:rPr>
          <w:noProof/>
        </w:rPr>
        <w:t xml:space="preserve">An editor’s note is added to </w:t>
      </w:r>
      <w:r w:rsidRPr="00DF0487">
        <w:rPr>
          <w:i/>
          <w:iCs/>
          <w:noProof/>
        </w:rPr>
        <w:t xml:space="preserve">unchangedPCI-NTN-SoftSwitch-r18 </w:t>
      </w:r>
      <w:r>
        <w:rPr>
          <w:noProof/>
        </w:rPr>
        <w:t>and</w:t>
      </w:r>
      <w:r w:rsidRPr="00DF0487">
        <w:rPr>
          <w:i/>
          <w:iCs/>
          <w:noProof/>
        </w:rPr>
        <w:t xml:space="preserve"> unchangedPCI-NTN-HardSwitch-r18 </w:t>
      </w:r>
      <w:r>
        <w:rPr>
          <w:noProof/>
        </w:rPr>
        <w:t>to capture “FFS whether further changes may be needed after further progressing on the design to support unchanged PCI with soft and hard switch”</w:t>
      </w:r>
      <w:r w:rsidRPr="00DF0487">
        <w:rPr>
          <w:i/>
          <w:iCs/>
          <w:noProof/>
        </w:rPr>
        <w:t>.</w:t>
      </w:r>
    </w:p>
    <w:p w14:paraId="7224ED66" w14:textId="77777777" w:rsidR="00D92299" w:rsidRDefault="00D92299">
      <w:pPr>
        <w:pStyle w:val="TOC1"/>
        <w:rPr>
          <w:rFonts w:asciiTheme="minorHAnsi" w:eastAsiaTheme="minorEastAsia" w:hAnsiTheme="minorHAnsi" w:cstheme="minorBidi"/>
          <w:noProof/>
          <w:kern w:val="2"/>
          <w:sz w:val="22"/>
          <w14:ligatures w14:val="standardContextual"/>
        </w:rPr>
      </w:pPr>
      <w:r w:rsidRPr="00DF0487">
        <w:rPr>
          <w:b/>
          <w:noProof/>
        </w:rPr>
        <w:t>Proposal 3.</w:t>
      </w:r>
      <w:r>
        <w:rPr>
          <w:rFonts w:asciiTheme="minorHAnsi" w:eastAsiaTheme="minorEastAsia" w:hAnsiTheme="minorHAnsi" w:cstheme="minorBidi"/>
          <w:noProof/>
          <w:kern w:val="2"/>
          <w:sz w:val="22"/>
          <w14:ligatures w14:val="standardContextual"/>
        </w:rPr>
        <w:tab/>
      </w:r>
      <w:r>
        <w:rPr>
          <w:noProof/>
        </w:rPr>
        <w:t>If Proposal 1 and Proposal 2 are agreeable, to endorse the UE Capability draftCRs to TS 38.306 and 38.331 provided in R2-2312163 and in R2-2312164 for Rel-18 NR NTN Enh. WI.</w:t>
      </w:r>
    </w:p>
    <w:p w14:paraId="3D639A78" w14:textId="0DB45E84" w:rsidR="00543145" w:rsidRDefault="004E578E" w:rsidP="00920898">
      <w:pPr>
        <w:tabs>
          <w:tab w:val="left" w:pos="2250"/>
        </w:tabs>
        <w:jc w:val="both"/>
        <w:rPr>
          <w:lang w:eastAsia="zh-CN"/>
        </w:rPr>
      </w:pPr>
      <w:r>
        <w:rPr>
          <w:lang w:eastAsia="zh-CN"/>
        </w:rPr>
        <w:fldChar w:fldCharType="end"/>
      </w:r>
      <w:bookmarkEnd w:id="2"/>
    </w:p>
    <w:p w14:paraId="3129B8F9" w14:textId="77777777" w:rsidR="00543145" w:rsidRDefault="00543145">
      <w:pPr>
        <w:jc w:val="both"/>
        <w:rPr>
          <w:lang w:eastAsia="zh-CN"/>
        </w:rPr>
      </w:pPr>
    </w:p>
    <w:p w14:paraId="2961B995" w14:textId="77777777" w:rsidR="00826A02" w:rsidRDefault="00826A02">
      <w:pPr>
        <w:jc w:val="both"/>
        <w:rPr>
          <w:lang w:eastAsia="zh-CN"/>
        </w:rPr>
      </w:pPr>
    </w:p>
    <w:p w14:paraId="7380B739" w14:textId="3FC33987" w:rsidR="00AF29F0" w:rsidRDefault="00AF29F0">
      <w:pPr>
        <w:overflowPunct/>
        <w:autoSpaceDE/>
        <w:autoSpaceDN/>
        <w:adjustRightInd/>
        <w:spacing w:after="0"/>
        <w:rPr>
          <w:lang w:eastAsia="zh-CN"/>
        </w:rPr>
      </w:pPr>
      <w:r>
        <w:rPr>
          <w:lang w:eastAsia="zh-CN"/>
        </w:rPr>
        <w:br w:type="page"/>
      </w:r>
    </w:p>
    <w:p w14:paraId="3F82C217" w14:textId="77777777" w:rsidR="00826A02" w:rsidRDefault="00826A02">
      <w:pPr>
        <w:jc w:val="both"/>
        <w:rPr>
          <w:lang w:eastAsia="zh-CN"/>
        </w:rPr>
      </w:pPr>
    </w:p>
    <w:p w14:paraId="28A9F7F5" w14:textId="77777777" w:rsidR="00543145" w:rsidRDefault="004E578E">
      <w:pPr>
        <w:pStyle w:val="Heading1"/>
        <w:numPr>
          <w:ilvl w:val="0"/>
          <w:numId w:val="4"/>
        </w:numPr>
      </w:pPr>
      <w:bookmarkStart w:id="65" w:name="_Ref148527898"/>
      <w:bookmarkStart w:id="66" w:name="_Ref149036486"/>
      <w:r>
        <w:t>Annex</w:t>
      </w:r>
      <w:bookmarkEnd w:id="65"/>
      <w:r>
        <w:t xml:space="preserve"> A (RAN2#123bis agreements)</w:t>
      </w:r>
      <w:bookmarkEnd w:id="66"/>
    </w:p>
    <w:p w14:paraId="1B9A4121" w14:textId="77777777" w:rsidR="00543145" w:rsidRDefault="004E578E">
      <w:pPr>
        <w:pStyle w:val="Heading2"/>
      </w:pPr>
      <w:r>
        <w:t>Coverage Enhancements</w:t>
      </w:r>
    </w:p>
    <w:p w14:paraId="07C161A3" w14:textId="77777777" w:rsidR="00543145" w:rsidRDefault="004E578E">
      <w:pPr>
        <w:pStyle w:val="Doc-text2"/>
        <w:numPr>
          <w:ilvl w:val="0"/>
          <w:numId w:val="9"/>
        </w:numPr>
        <w:pBdr>
          <w:top w:val="single" w:sz="4" w:space="1" w:color="auto"/>
          <w:left w:val="single" w:sz="4" w:space="4" w:color="auto"/>
          <w:bottom w:val="single" w:sz="4" w:space="1" w:color="auto"/>
          <w:right w:val="single" w:sz="4" w:space="4" w:color="auto"/>
        </w:pBdr>
        <w:tabs>
          <w:tab w:val="clear" w:pos="1622"/>
        </w:tabs>
        <w:rPr>
          <w:rFonts w:eastAsiaTheme="minorHAnsi"/>
        </w:rPr>
      </w:pPr>
      <w:r>
        <w:t>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14:paraId="20CB6B1B" w14:textId="77777777" w:rsidR="00543145" w:rsidRDefault="004E578E">
      <w:pPr>
        <w:pStyle w:val="Doc-text2"/>
        <w:numPr>
          <w:ilvl w:val="0"/>
          <w:numId w:val="9"/>
        </w:numPr>
        <w:pBdr>
          <w:top w:val="single" w:sz="4" w:space="1" w:color="auto"/>
          <w:left w:val="single" w:sz="4" w:space="4" w:color="auto"/>
          <w:bottom w:val="single" w:sz="4" w:space="1" w:color="auto"/>
          <w:right w:val="single" w:sz="4" w:space="4" w:color="auto"/>
        </w:pBdr>
        <w:tabs>
          <w:tab w:val="clear" w:pos="1622"/>
        </w:tabs>
        <w:rPr>
          <w:rFonts w:eastAsia="Times New Roman"/>
        </w:rPr>
      </w:pPr>
      <w:r>
        <w:t>No explicit NW indication to enable/disable PUCCH repetition for Msg4 HARQ-ACK besides the needed signalling for number of repetition, RSRP configuration in SIB (meaning that if these parameters are signalled, PUCCH repetition for Msg4 HARQ-ACK is enabled)</w:t>
      </w:r>
    </w:p>
    <w:p w14:paraId="36D8A9D3" w14:textId="77777777" w:rsidR="00543145" w:rsidRDefault="004E578E">
      <w:pPr>
        <w:pStyle w:val="Heading2"/>
      </w:pPr>
      <w:bookmarkStart w:id="67" w:name="_Toc137213182"/>
      <w:r>
        <w:t>Network verified UE location</w:t>
      </w:r>
      <w:bookmarkEnd w:id="67"/>
    </w:p>
    <w:p w14:paraId="30F7D447" w14:textId="77777777" w:rsidR="00543145" w:rsidRDefault="004E578E">
      <w:pPr>
        <w:pStyle w:val="Doc-text2"/>
        <w:numPr>
          <w:ilvl w:val="0"/>
          <w:numId w:val="10"/>
        </w:numPr>
        <w:pBdr>
          <w:top w:val="single" w:sz="4" w:space="1" w:color="auto"/>
          <w:left w:val="single" w:sz="4" w:space="4" w:color="auto"/>
          <w:bottom w:val="single" w:sz="4" w:space="1" w:color="auto"/>
          <w:right w:val="single" w:sz="4" w:space="4" w:color="auto"/>
        </w:pBdr>
        <w:tabs>
          <w:tab w:val="clear" w:pos="1622"/>
        </w:tabs>
        <w:rPr>
          <w:rFonts w:eastAsiaTheme="minorHAnsi"/>
        </w:rPr>
      </w:pPr>
      <w:r>
        <w:t>Add in NR-Multi-RTT-SignalMeasurementInformation the measurements relevant to RAN1 agreed offset (e.g., the actual index difference between subframe j and subframe i and the DL timing drift due to Doppler over the service link associated with the UE RX-TX time difference measurement period) with detailed definition referred to RAN1 agreements.</w:t>
      </w:r>
    </w:p>
    <w:p w14:paraId="2E976C5B" w14:textId="77777777" w:rsidR="00543145" w:rsidRDefault="004E578E">
      <w:pPr>
        <w:pStyle w:val="Doc-text2"/>
        <w:numPr>
          <w:ilvl w:val="0"/>
          <w:numId w:val="10"/>
        </w:numPr>
        <w:pBdr>
          <w:top w:val="single" w:sz="4" w:space="1" w:color="auto"/>
          <w:left w:val="single" w:sz="4" w:space="4" w:color="auto"/>
          <w:bottom w:val="single" w:sz="4" w:space="1" w:color="auto"/>
          <w:right w:val="single" w:sz="4" w:space="4" w:color="auto"/>
        </w:pBdr>
        <w:tabs>
          <w:tab w:val="clear" w:pos="1622"/>
        </w:tabs>
        <w:rPr>
          <w:rFonts w:eastAsia="Times New Roman"/>
        </w:rPr>
      </w:pPr>
      <w:r>
        <w:t>Ephemeris and corresponding time information (e.g., epochTime) is not provided by the UE. How this is provided to the LMF is up to RAN3 (can come back to see whether the problem that the UE could use a different ephemeris – and then should report it back to the gNB – is a valid case to consider)</w:t>
      </w:r>
    </w:p>
    <w:p w14:paraId="02249A42" w14:textId="77777777" w:rsidR="00543145" w:rsidRDefault="004E578E">
      <w:pPr>
        <w:pStyle w:val="Doc-text2"/>
        <w:numPr>
          <w:ilvl w:val="0"/>
          <w:numId w:val="10"/>
        </w:numPr>
        <w:pBdr>
          <w:top w:val="single" w:sz="4" w:space="1" w:color="auto"/>
          <w:left w:val="single" w:sz="4" w:space="4" w:color="auto"/>
          <w:bottom w:val="single" w:sz="4" w:space="1" w:color="auto"/>
          <w:right w:val="single" w:sz="4" w:space="4" w:color="auto"/>
        </w:pBdr>
        <w:tabs>
          <w:tab w:val="clear" w:pos="1622"/>
        </w:tabs>
      </w:pPr>
      <w:r>
        <w:t>RAN2 assumes that FG 44-3 should be an LPP capability to be reported to the LMF (no need for other capabilities)</w:t>
      </w:r>
    </w:p>
    <w:p w14:paraId="513E761F" w14:textId="77777777" w:rsidR="00543145" w:rsidRDefault="004E578E">
      <w:pPr>
        <w:pStyle w:val="Doc-text2"/>
        <w:numPr>
          <w:ilvl w:val="0"/>
          <w:numId w:val="10"/>
        </w:numPr>
        <w:pBdr>
          <w:top w:val="single" w:sz="4" w:space="1" w:color="auto"/>
          <w:left w:val="single" w:sz="4" w:space="4" w:color="auto"/>
          <w:bottom w:val="single" w:sz="4" w:space="1" w:color="auto"/>
          <w:right w:val="single" w:sz="4" w:space="4" w:color="auto"/>
        </w:pBdr>
        <w:tabs>
          <w:tab w:val="clear" w:pos="1622"/>
        </w:tabs>
      </w:pPr>
      <w:r>
        <w:t>RAN2 understands that to solve the mirror point issue, the measurements reported by RAN should include the information of the cells on the opposite side</w:t>
      </w:r>
    </w:p>
    <w:p w14:paraId="64465A2E" w14:textId="77777777" w:rsidR="00543145" w:rsidRDefault="004E578E">
      <w:pPr>
        <w:pStyle w:val="Heading2"/>
      </w:pPr>
      <w:r>
        <w:t xml:space="preserve">NTN-TN enhancements </w:t>
      </w:r>
    </w:p>
    <w:p w14:paraId="79FE7C29" w14:textId="77777777" w:rsidR="00543145" w:rsidRDefault="004E578E">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rPr>
          <w:rFonts w:eastAsiaTheme="minorHAnsi"/>
        </w:rPr>
      </w:pPr>
      <w:r>
        <w:t>The maximum number of TN coverage area information is 32 (5 bits)</w:t>
      </w:r>
    </w:p>
    <w:p w14:paraId="32EE2EDA" w14:textId="77777777" w:rsidR="00543145" w:rsidRDefault="004E578E">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rPr>
          <w:rFonts w:eastAsia="Times New Roman"/>
        </w:rPr>
      </w:pPr>
      <w:r>
        <w:t>RAN2 will not specify restrictions on TN coverage description (i.e., description of TN coverage is left to NW implementation). The signalled TN coverage can describe areas not currently covered by the satellite cell footprint (FFS how to reflect this in the specification)</w:t>
      </w:r>
    </w:p>
    <w:p w14:paraId="768821B5" w14:textId="77777777" w:rsidR="00543145" w:rsidRDefault="004E578E">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pPr>
      <w:r>
        <w:t>TN coverage information can be broadcast by both (quasi)earth-fixed and earth-moving cells</w:t>
      </w:r>
    </w:p>
    <w:p w14:paraId="5F8205A7" w14:textId="77777777" w:rsidR="00543145" w:rsidRDefault="004E578E">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pPr>
      <w:r>
        <w:t>The working assumption “We do not introduce new triggers making the UE reacquire the TN coverage information from SI” in Rel-18 is confirmed</w:t>
      </w:r>
    </w:p>
    <w:p w14:paraId="1A1FBCE6" w14:textId="77777777" w:rsidR="00543145" w:rsidRDefault="004E578E">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pPr>
      <w:r>
        <w:t>The new SIB including the TN coverage information is not an essential SIB for NTN. An NTN-capable UE does not need to consider the cell barred if it is unable to acquire the SIB when scheduled.</w:t>
      </w:r>
    </w:p>
    <w:p w14:paraId="4E9E863E" w14:textId="77777777" w:rsidR="00543145" w:rsidRDefault="004E578E">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pPr>
      <w:r>
        <w:t>Legacy SI update procedure will be used when the network updates the TN coverage information (can further check for moving cell case)</w:t>
      </w:r>
    </w:p>
    <w:p w14:paraId="3290C553" w14:textId="77777777" w:rsidR="00543145" w:rsidRDefault="004E578E">
      <w:pPr>
        <w:pStyle w:val="Heading2"/>
      </w:pPr>
      <w:r>
        <w:t xml:space="preserve">Handover enhancements </w:t>
      </w:r>
    </w:p>
    <w:p w14:paraId="76EEE1F5" w14:textId="77777777" w:rsidR="00543145" w:rsidRDefault="004E578E">
      <w:pPr>
        <w:pStyle w:val="Doc-text2"/>
        <w:numPr>
          <w:ilvl w:val="0"/>
          <w:numId w:val="12"/>
        </w:numPr>
        <w:pBdr>
          <w:top w:val="single" w:sz="4" w:space="1" w:color="auto"/>
          <w:left w:val="single" w:sz="4" w:space="4" w:color="auto"/>
          <w:bottom w:val="single" w:sz="4" w:space="1" w:color="auto"/>
          <w:right w:val="single" w:sz="4" w:space="4" w:color="auto"/>
        </w:pBdr>
        <w:tabs>
          <w:tab w:val="clear" w:pos="1622"/>
        </w:tabs>
        <w:ind w:left="936"/>
        <w:rPr>
          <w:rFonts w:eastAsiaTheme="minorHAnsi"/>
        </w:rPr>
      </w:pPr>
      <w:r>
        <w:t>For location-based CHO for earth-moving cells, re-use the procedure from cell reselection as baseline to derive the candidate cell’s reference location as the cell moves (FFS on how to signal the needed parameters, e.g. ephemeris and Epoch time)</w:t>
      </w:r>
    </w:p>
    <w:p w14:paraId="455F67EB" w14:textId="77777777" w:rsidR="00543145" w:rsidRDefault="004E578E">
      <w:pPr>
        <w:pStyle w:val="Doc-text2"/>
        <w:numPr>
          <w:ilvl w:val="0"/>
          <w:numId w:val="12"/>
        </w:numPr>
        <w:pBdr>
          <w:top w:val="single" w:sz="4" w:space="1" w:color="auto"/>
          <w:left w:val="single" w:sz="4" w:space="4" w:color="auto"/>
          <w:bottom w:val="single" w:sz="4" w:space="1" w:color="auto"/>
          <w:right w:val="single" w:sz="4" w:space="4" w:color="auto"/>
        </w:pBdr>
        <w:tabs>
          <w:tab w:val="clear" w:pos="1622"/>
        </w:tabs>
        <w:ind w:left="936"/>
        <w:rPr>
          <w:rFonts w:eastAsia="Times New Roman"/>
        </w:rPr>
      </w:pPr>
      <w:r>
        <w:t>Upon T304 expiry, the UE does not fallback to RACH-based HO.</w:t>
      </w:r>
    </w:p>
    <w:p w14:paraId="78227C35" w14:textId="77777777" w:rsidR="00543145" w:rsidRDefault="004E578E">
      <w:pPr>
        <w:pStyle w:val="Doc-text2"/>
        <w:numPr>
          <w:ilvl w:val="0"/>
          <w:numId w:val="12"/>
        </w:numPr>
        <w:pBdr>
          <w:top w:val="single" w:sz="4" w:space="1" w:color="auto"/>
          <w:left w:val="single" w:sz="4" w:space="4" w:color="auto"/>
          <w:bottom w:val="single" w:sz="4" w:space="1" w:color="auto"/>
          <w:right w:val="single" w:sz="4" w:space="4" w:color="auto"/>
        </w:pBdr>
        <w:tabs>
          <w:tab w:val="clear" w:pos="1622"/>
        </w:tabs>
        <w:ind w:left="936"/>
      </w:pPr>
      <w:r>
        <w:t>Preallocated UL grant must be configured with an associated RSRP threshold.</w:t>
      </w:r>
    </w:p>
    <w:p w14:paraId="5E03F54A" w14:textId="77777777" w:rsidR="00543145" w:rsidRDefault="00543145">
      <w:pPr>
        <w:pStyle w:val="Doc-text2"/>
        <w:ind w:left="-683" w:firstLine="0"/>
      </w:pPr>
    </w:p>
    <w:p w14:paraId="58E5F16C" w14:textId="77777777" w:rsidR="00543145" w:rsidRDefault="004E578E">
      <w:pPr>
        <w:pStyle w:val="Doc-text2"/>
        <w:numPr>
          <w:ilvl w:val="0"/>
          <w:numId w:val="13"/>
        </w:numPr>
        <w:pBdr>
          <w:top w:val="single" w:sz="4" w:space="1" w:color="auto"/>
          <w:left w:val="single" w:sz="4" w:space="4" w:color="auto"/>
          <w:bottom w:val="single" w:sz="4" w:space="1" w:color="auto"/>
          <w:right w:val="single" w:sz="4" w:space="4" w:color="auto"/>
        </w:pBdr>
        <w:ind w:left="936"/>
      </w:pPr>
      <w:r>
        <w:lastRenderedPageBreak/>
        <w:t xml:space="preserve">UE relies on T304 and RRC Re-establishment procedure to address RACH-less HO failure in Rel-18 NTN (as in LTE). No new NTN-specific enhancements are introduced. If TAT expires, the UE follows the legacy procedures, regardless of the RACH-less HO configuration. RAN2 understands that the NW can ensure a proper configuration for TAT and T304 values (up to NW implementation, no need to capture this in the specs). </w:t>
      </w:r>
    </w:p>
    <w:p w14:paraId="086B9866" w14:textId="77777777" w:rsidR="00543145" w:rsidRDefault="004E578E">
      <w:pPr>
        <w:pStyle w:val="Doc-text2"/>
        <w:numPr>
          <w:ilvl w:val="0"/>
          <w:numId w:val="13"/>
        </w:numPr>
        <w:pBdr>
          <w:top w:val="single" w:sz="4" w:space="1" w:color="auto"/>
          <w:left w:val="single" w:sz="4" w:space="4" w:color="auto"/>
          <w:bottom w:val="single" w:sz="4" w:space="1" w:color="auto"/>
          <w:right w:val="single" w:sz="4" w:space="4" w:color="auto"/>
        </w:pBdr>
        <w:ind w:left="936"/>
      </w:pPr>
      <w:r>
        <w:t>As for RACH-less LTM, for RACH-less NTN,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 RAN understands this does not exclude the possibility to use a Contention Resolution MAC CE but this will not be used as a determination of the RACH less HO completion</w:t>
      </w:r>
    </w:p>
    <w:p w14:paraId="22C24491" w14:textId="77777777" w:rsidR="00543145" w:rsidRDefault="004E578E">
      <w:pPr>
        <w:pStyle w:val="Doc-text2"/>
        <w:numPr>
          <w:ilvl w:val="0"/>
          <w:numId w:val="13"/>
        </w:numPr>
        <w:pBdr>
          <w:top w:val="single" w:sz="4" w:space="1" w:color="auto"/>
          <w:left w:val="single" w:sz="4" w:space="4" w:color="auto"/>
          <w:bottom w:val="single" w:sz="4" w:space="1" w:color="auto"/>
          <w:right w:val="single" w:sz="4" w:space="4" w:color="auto"/>
        </w:pBdr>
        <w:ind w:left="936"/>
      </w:pPr>
      <w:r>
        <w:t>We follow the LTE baseline for when UE starts the PTAG timeAlignmentTimer in NTN RACH-less HO (option 1 in R2-2311318)</w:t>
      </w:r>
    </w:p>
    <w:p w14:paraId="11CD3B68" w14:textId="77777777" w:rsidR="00543145" w:rsidRDefault="004E578E">
      <w:pPr>
        <w:pStyle w:val="Doc-text2"/>
        <w:numPr>
          <w:ilvl w:val="0"/>
          <w:numId w:val="13"/>
        </w:numPr>
        <w:pBdr>
          <w:top w:val="single" w:sz="4" w:space="1" w:color="auto"/>
          <w:left w:val="single" w:sz="4" w:space="4" w:color="auto"/>
          <w:bottom w:val="single" w:sz="4" w:space="1" w:color="auto"/>
          <w:right w:val="single" w:sz="4" w:space="4" w:color="auto"/>
        </w:pBdr>
        <w:ind w:left="936"/>
      </w:pPr>
      <w:r>
        <w:rPr>
          <w:highlight w:val="yellow"/>
        </w:rPr>
        <w:t>Combination of RACH-less HO with time-based CHO is supported in Rel-18 NTN for both Configured and Dynamic Grant.</w:t>
      </w:r>
      <w:r>
        <w:t xml:space="preserve"> For the Dynamic Grant case this should be configured by the NW only when the is no risk of confusion about which beam to use (up to NW implementation). </w:t>
      </w:r>
    </w:p>
    <w:p w14:paraId="096CB843" w14:textId="77777777" w:rsidR="00543145" w:rsidRDefault="00543145">
      <w:pPr>
        <w:pStyle w:val="Doc-text2"/>
        <w:ind w:left="-683" w:firstLine="0"/>
      </w:pPr>
    </w:p>
    <w:p w14:paraId="2AE58DA6" w14:textId="77777777" w:rsidR="00543145" w:rsidRDefault="004E578E">
      <w:pPr>
        <w:pStyle w:val="Doc-text2"/>
        <w:numPr>
          <w:ilvl w:val="0"/>
          <w:numId w:val="14"/>
        </w:numPr>
        <w:pBdr>
          <w:top w:val="single" w:sz="4" w:space="1" w:color="auto"/>
          <w:left w:val="single" w:sz="4" w:space="4" w:color="auto"/>
          <w:bottom w:val="single" w:sz="4" w:space="1" w:color="auto"/>
          <w:right w:val="single" w:sz="4" w:space="4" w:color="auto"/>
        </w:pBdr>
        <w:tabs>
          <w:tab w:val="clear" w:pos="1622"/>
        </w:tabs>
        <w:ind w:left="936"/>
        <w:rPr>
          <w:lang w:val="en-US"/>
        </w:rPr>
      </w:pPr>
      <w:r>
        <w:t>We don’t consider the impact on Rel-17 UEs behavior (or Rel-18 UEs not supporting unchanged PCI) when defining the Rel-18 unchanged PCI solution</w:t>
      </w:r>
    </w:p>
    <w:p w14:paraId="4377F2B2" w14:textId="77777777" w:rsidR="00543145" w:rsidRDefault="004E578E">
      <w:pPr>
        <w:pStyle w:val="Doc-text2"/>
        <w:numPr>
          <w:ilvl w:val="0"/>
          <w:numId w:val="14"/>
        </w:numPr>
        <w:pBdr>
          <w:top w:val="single" w:sz="4" w:space="1" w:color="auto"/>
          <w:left w:val="single" w:sz="4" w:space="4" w:color="auto"/>
          <w:bottom w:val="single" w:sz="4" w:space="1" w:color="auto"/>
          <w:right w:val="single" w:sz="4" w:space="4" w:color="auto"/>
        </w:pBdr>
        <w:tabs>
          <w:tab w:val="clear" w:pos="1622"/>
        </w:tabs>
        <w:ind w:left="936"/>
      </w:pPr>
      <w:r>
        <w:t>Network provides the sync information of target satellite in advance to UE before satellite switching, via broadcast signalling</w:t>
      </w:r>
    </w:p>
    <w:p w14:paraId="6BA664E3" w14:textId="77777777" w:rsidR="00543145" w:rsidRDefault="00543145">
      <w:pPr>
        <w:rPr>
          <w:lang w:val="en-GB"/>
        </w:rPr>
      </w:pPr>
    </w:p>
    <w:p w14:paraId="69794A94" w14:textId="77777777" w:rsidR="00543145" w:rsidRDefault="004E578E">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936"/>
      </w:pPr>
      <w:r>
        <w:t>RAN2 confirms satellite switching with unchanged PCI is only applicable on quasi-earth fixed system</w:t>
      </w:r>
    </w:p>
    <w:p w14:paraId="6D2F022E" w14:textId="77777777" w:rsidR="00543145" w:rsidRDefault="004E578E">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936"/>
      </w:pPr>
      <w:r>
        <w:t>Only 1 target satellite information (i.e. NTN-config) of serving cell is provided in SIB19. FFS on exact signalling</w:t>
      </w:r>
    </w:p>
    <w:p w14:paraId="3F738690" w14:textId="77777777" w:rsidR="00543145" w:rsidRDefault="004E578E">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936"/>
      </w:pPr>
      <w:r>
        <w:t>SMTC configuration of target satellite needs further discussion:</w:t>
      </w:r>
    </w:p>
    <w:p w14:paraId="4DFE12DC" w14:textId="77777777" w:rsidR="00543145" w:rsidRDefault="004E578E">
      <w:pPr>
        <w:pStyle w:val="Doc-text2"/>
        <w:pBdr>
          <w:top w:val="single" w:sz="4" w:space="1" w:color="auto"/>
          <w:left w:val="single" w:sz="4" w:space="4" w:color="auto"/>
          <w:bottom w:val="single" w:sz="4" w:space="1" w:color="auto"/>
          <w:right w:val="single" w:sz="4" w:space="4" w:color="auto"/>
        </w:pBdr>
        <w:ind w:left="939"/>
      </w:pPr>
      <w:r>
        <w:t>      FFS on whether and how to provide the SMTC configuration of target satellite.</w:t>
      </w:r>
    </w:p>
    <w:p w14:paraId="272665E1" w14:textId="77777777" w:rsidR="00543145" w:rsidRDefault="004E578E">
      <w:pPr>
        <w:pStyle w:val="Doc-text2"/>
        <w:pBdr>
          <w:top w:val="single" w:sz="4" w:space="1" w:color="auto"/>
          <w:left w:val="single" w:sz="4" w:space="4" w:color="auto"/>
          <w:bottom w:val="single" w:sz="4" w:space="1" w:color="auto"/>
          <w:right w:val="single" w:sz="4" w:space="4" w:color="auto"/>
        </w:pBdr>
        <w:ind w:left="939"/>
      </w:pPr>
      <w:r>
        <w:t xml:space="preserve">      FFS on how to handle the SMTC adjustment. </w:t>
      </w:r>
    </w:p>
    <w:p w14:paraId="071F280E" w14:textId="77777777" w:rsidR="00543145" w:rsidRDefault="004E578E">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936"/>
      </w:pPr>
      <w:r>
        <w:t>We support soft satellite switching in Rel-18</w:t>
      </w:r>
    </w:p>
    <w:p w14:paraId="51506738" w14:textId="77777777" w:rsidR="00543145" w:rsidRDefault="004E578E">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936"/>
      </w:pPr>
      <w:r>
        <w:t>There will be an indication (FFS if explicit or implicit) whether hard switch or soft switch is used.</w:t>
      </w:r>
    </w:p>
    <w:p w14:paraId="1494A9C9" w14:textId="77777777" w:rsidR="00543145" w:rsidRDefault="004E578E">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936"/>
      </w:pPr>
      <w:r>
        <w:t>At least soft satellite switching, network provides SSB information of target satellite to UE. FFS on the details: options include e.g. indicating a time offset/information or indicating a different SSB index for the target satellite (FFS for Hard satellite switch)</w:t>
      </w:r>
    </w:p>
    <w:p w14:paraId="264240B7" w14:textId="77777777" w:rsidR="00543145" w:rsidRDefault="004E578E">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936"/>
      </w:pPr>
      <w:r>
        <w:t>In soft satellite switching, UE can start synchronizing with target satellite before T-service of source satellite.</w:t>
      </w:r>
    </w:p>
    <w:p w14:paraId="56B964E7" w14:textId="77777777" w:rsidR="00543145" w:rsidRDefault="004E578E">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936"/>
      </w:pPr>
      <w: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2160C324" w14:textId="77777777" w:rsidR="00543145" w:rsidRDefault="004E578E">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936"/>
      </w:pPr>
      <w:r>
        <w:t>For soft satellite switching, the exact time when the UE starts synchronizing with target satellite (between T-start and T-service) is up to UE implementation</w:t>
      </w:r>
    </w:p>
    <w:p w14:paraId="182B1206" w14:textId="77777777" w:rsidR="00543145" w:rsidRDefault="004E578E">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936"/>
      </w:pPr>
      <w:r>
        <w:t>UE is not required to connect to source satellite when the UE switches to target satellite.</w:t>
      </w:r>
    </w:p>
    <w:p w14:paraId="475F30C5" w14:textId="77777777" w:rsidR="00543145" w:rsidRDefault="00543145">
      <w:pPr>
        <w:pStyle w:val="Doc-text2"/>
        <w:ind w:left="939"/>
      </w:pPr>
    </w:p>
    <w:p w14:paraId="29DEBF13" w14:textId="77777777" w:rsidR="00543145" w:rsidRDefault="004E578E">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ind w:left="936"/>
      </w:pPr>
      <w:r>
        <w:t>Common signalling (e.g. using servingCellConfigCommon) for the purpose of (C)HO in NTN is not supported in Rel-18.</w:t>
      </w:r>
    </w:p>
    <w:p w14:paraId="6154F6A5" w14:textId="77777777" w:rsidR="00543145" w:rsidRDefault="00543145">
      <w:pPr>
        <w:pStyle w:val="Comments"/>
        <w:rPr>
          <w:lang w:val="en-GB"/>
        </w:rPr>
      </w:pPr>
    </w:p>
    <w:p w14:paraId="1387015E" w14:textId="77777777" w:rsidR="00543145" w:rsidRDefault="00543145">
      <w:pPr>
        <w:rPr>
          <w:lang w:val="en-GB"/>
        </w:rPr>
      </w:pPr>
    </w:p>
    <w:p w14:paraId="3D4C3C6E" w14:textId="77777777" w:rsidR="00543145" w:rsidRDefault="004E578E">
      <w:pPr>
        <w:overflowPunct/>
        <w:autoSpaceDE/>
        <w:autoSpaceDN/>
        <w:adjustRightInd/>
        <w:spacing w:after="0"/>
        <w:rPr>
          <w:lang w:eastAsia="zh-CN"/>
        </w:rPr>
      </w:pPr>
      <w:r>
        <w:rPr>
          <w:lang w:eastAsia="zh-CN"/>
        </w:rPr>
        <w:br w:type="page"/>
      </w:r>
    </w:p>
    <w:p w14:paraId="30B7142A" w14:textId="77777777" w:rsidR="00543145" w:rsidRDefault="00543145">
      <w:pPr>
        <w:jc w:val="both"/>
        <w:rPr>
          <w:lang w:eastAsia="zh-CN"/>
        </w:rPr>
        <w:sectPr w:rsidR="00543145">
          <w:type w:val="continuous"/>
          <w:pgSz w:w="12240" w:h="15840"/>
          <w:pgMar w:top="1440" w:right="1440" w:bottom="1440" w:left="1440" w:header="720" w:footer="720" w:gutter="0"/>
          <w:cols w:space="720"/>
          <w:docGrid w:linePitch="360"/>
        </w:sectPr>
      </w:pPr>
    </w:p>
    <w:p w14:paraId="7A8D5EAE" w14:textId="77777777" w:rsidR="00543145" w:rsidRDefault="00543145">
      <w:pPr>
        <w:jc w:val="both"/>
        <w:rPr>
          <w:lang w:eastAsia="zh-CN"/>
        </w:rPr>
      </w:pPr>
    </w:p>
    <w:p w14:paraId="1C7627BC" w14:textId="77777777" w:rsidR="00543145" w:rsidRDefault="004E578E">
      <w:pPr>
        <w:pStyle w:val="Heading1"/>
        <w:numPr>
          <w:ilvl w:val="0"/>
          <w:numId w:val="4"/>
        </w:numPr>
      </w:pPr>
      <w:bookmarkStart w:id="68" w:name="_Ref149036508"/>
      <w:r>
        <w:t>Annex B (RAN1 feature list [R1-2310635] on Rel-18 NR NTN Enh)</w:t>
      </w:r>
      <w:bookmarkEnd w:id="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634"/>
        <w:gridCol w:w="1686"/>
        <w:gridCol w:w="2376"/>
        <w:gridCol w:w="1286"/>
        <w:gridCol w:w="1348"/>
        <w:gridCol w:w="1616"/>
        <w:gridCol w:w="1707"/>
        <w:gridCol w:w="2134"/>
        <w:gridCol w:w="1434"/>
        <w:gridCol w:w="1428"/>
        <w:gridCol w:w="1671"/>
        <w:gridCol w:w="1993"/>
        <w:gridCol w:w="1832"/>
      </w:tblGrid>
      <w:tr w:rsidR="00543145" w:rsidRPr="00400879" w14:paraId="40AC5D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3A24C7"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Features</w:t>
            </w:r>
          </w:p>
        </w:tc>
        <w:tc>
          <w:tcPr>
            <w:tcW w:w="0" w:type="auto"/>
            <w:tcBorders>
              <w:top w:val="single" w:sz="4" w:space="0" w:color="auto"/>
              <w:left w:val="single" w:sz="4" w:space="0" w:color="auto"/>
              <w:bottom w:val="single" w:sz="4" w:space="0" w:color="auto"/>
              <w:right w:val="single" w:sz="4" w:space="0" w:color="auto"/>
            </w:tcBorders>
          </w:tcPr>
          <w:p w14:paraId="6FA1A4DB"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tcPr>
          <w:p w14:paraId="273E591A"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1DECF185"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25FA4233"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CCA71ED"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D814AF1"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Gulim" w:hAnsi="Arial" w:cs="Arial"/>
                <w:b/>
                <w:color w:val="000000"/>
                <w:sz w:val="16"/>
                <w:szCs w:val="16"/>
                <w:lang w:val="en-GB" w:eastAsia="ja-JP"/>
              </w:rPr>
              <w:t xml:space="preserve">Applicable to </w:t>
            </w:r>
            <w:r w:rsidRPr="00400879">
              <w:rPr>
                <w:rFonts w:ascii="Arial" w:eastAsia="Times New Roman" w:hAnsi="Arial" w:cs="Arial"/>
                <w:b/>
                <w:color w:val="000000"/>
                <w:sz w:val="16"/>
                <w:szCs w:val="16"/>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7424E214" w14:textId="77777777" w:rsidR="00543145" w:rsidRPr="00400879" w:rsidRDefault="004E578E">
            <w:pPr>
              <w:keepNext/>
              <w:keepLines/>
              <w:overflowPunct/>
              <w:autoSpaceDE/>
              <w:autoSpaceDN/>
              <w:adjustRightInd/>
              <w:spacing w:after="0"/>
              <w:jc w:val="center"/>
              <w:rPr>
                <w:rFonts w:ascii="Arial" w:hAnsi="Arial" w:cs="Arial"/>
                <w:b/>
                <w:color w:val="000000"/>
                <w:sz w:val="16"/>
                <w:szCs w:val="16"/>
                <w:lang w:val="en-GB" w:eastAsia="ja-JP"/>
              </w:rPr>
            </w:pPr>
            <w:r w:rsidRPr="00400879">
              <w:rPr>
                <w:rFonts w:ascii="Arial" w:hAnsi="Arial" w:cs="Arial"/>
                <w:b/>
                <w:color w:val="000000"/>
                <w:sz w:val="16"/>
                <w:szCs w:val="16"/>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6021400" w14:textId="77777777" w:rsidR="00543145" w:rsidRPr="00400879" w:rsidRDefault="004E578E">
            <w:pPr>
              <w:keepNext/>
              <w:keepLines/>
              <w:overflowPunct/>
              <w:autoSpaceDE/>
              <w:autoSpaceDN/>
              <w:adjustRightInd/>
              <w:spacing w:after="0"/>
              <w:jc w:val="center"/>
              <w:rPr>
                <w:rFonts w:ascii="Arial" w:hAnsi="Arial" w:cs="Arial"/>
                <w:b/>
                <w:color w:val="000000"/>
                <w:sz w:val="16"/>
                <w:szCs w:val="16"/>
                <w:lang w:val="en-GB" w:eastAsia="ja-JP"/>
              </w:rPr>
            </w:pPr>
            <w:r w:rsidRPr="00400879">
              <w:rPr>
                <w:rFonts w:ascii="Arial" w:hAnsi="Arial" w:cs="Arial"/>
                <w:b/>
                <w:color w:val="000000"/>
                <w:sz w:val="16"/>
                <w:szCs w:val="16"/>
                <w:lang w:val="en-GB" w:eastAsia="ja-JP"/>
              </w:rPr>
              <w:t>Type</w:t>
            </w:r>
          </w:p>
          <w:p w14:paraId="58C60BDB" w14:textId="77777777" w:rsidR="00543145" w:rsidRPr="00400879" w:rsidRDefault="004E578E">
            <w:pPr>
              <w:keepNext/>
              <w:keepLines/>
              <w:overflowPunct/>
              <w:autoSpaceDE/>
              <w:autoSpaceDN/>
              <w:adjustRightInd/>
              <w:spacing w:after="0"/>
              <w:jc w:val="center"/>
              <w:rPr>
                <w:rFonts w:ascii="Arial" w:hAnsi="Arial" w:cs="Arial"/>
                <w:b/>
                <w:color w:val="000000"/>
                <w:sz w:val="16"/>
                <w:szCs w:val="16"/>
                <w:lang w:val="en-GB" w:eastAsia="ja-JP"/>
              </w:rPr>
            </w:pPr>
            <w:r w:rsidRPr="00400879">
              <w:rPr>
                <w:rFonts w:ascii="Arial" w:hAnsi="Arial" w:cs="Arial"/>
                <w:b/>
                <w:color w:val="000000"/>
                <w:sz w:val="16"/>
                <w:szCs w:val="16"/>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0C1B1D1"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1CF6FEC"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E059822"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67AA43AA"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tcPr>
          <w:p w14:paraId="09F2BF95" w14:textId="77777777" w:rsidR="00543145" w:rsidRPr="00400879" w:rsidRDefault="004E578E">
            <w:pPr>
              <w:keepNext/>
              <w:keepLines/>
              <w:spacing w:after="0"/>
              <w:jc w:val="center"/>
              <w:textAlignment w:val="baseline"/>
              <w:rPr>
                <w:rFonts w:ascii="Arial" w:eastAsia="Times New Roman" w:hAnsi="Arial" w:cs="Arial"/>
                <w:b/>
                <w:color w:val="000000"/>
                <w:sz w:val="16"/>
                <w:szCs w:val="16"/>
                <w:lang w:val="en-GB" w:eastAsia="ja-JP"/>
              </w:rPr>
            </w:pPr>
            <w:r w:rsidRPr="00400879">
              <w:rPr>
                <w:rFonts w:ascii="Arial" w:eastAsia="Times New Roman" w:hAnsi="Arial" w:cs="Arial"/>
                <w:b/>
                <w:color w:val="000000"/>
                <w:sz w:val="16"/>
                <w:szCs w:val="16"/>
                <w:lang w:val="en-GB" w:eastAsia="ja-JP"/>
              </w:rPr>
              <w:t>Mandatory/Optional</w:t>
            </w:r>
          </w:p>
        </w:tc>
      </w:tr>
      <w:tr w:rsidR="00543145" w:rsidRPr="00400879" w14:paraId="5F9C53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A4564"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D15E" w14:textId="77777777" w:rsidR="00543145" w:rsidRPr="00400879" w:rsidRDefault="004E578E">
            <w:pPr>
              <w:keepNext/>
              <w:keepLines/>
              <w:overflowPunct/>
              <w:autoSpaceDE/>
              <w:autoSpaceDN/>
              <w:adjustRightInd/>
              <w:spacing w:after="0"/>
              <w:rPr>
                <w:rFonts w:ascii="Arial" w:eastAsia="MS Mincho" w:hAnsi="Arial" w:cs="Arial"/>
                <w:color w:val="000000"/>
                <w:sz w:val="16"/>
                <w:szCs w:val="16"/>
                <w:lang w:val="en-GB" w:eastAsia="ja-JP"/>
              </w:rPr>
            </w:pPr>
            <w:r w:rsidRPr="00400879">
              <w:rPr>
                <w:rFonts w:ascii="Arial" w:hAnsi="Arial" w:cs="Arial"/>
                <w:color w:val="000000"/>
                <w:sz w:val="16"/>
                <w:szCs w:val="16"/>
                <w:lang w:val="en-GB"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0B3EE" w14:textId="407FB516" w:rsidR="00543145" w:rsidRPr="00400879" w:rsidRDefault="004E578E">
            <w:pPr>
              <w:keepNext/>
              <w:keepLines/>
              <w:overflowPunct/>
              <w:autoSpaceDE/>
              <w:autoSpaceDN/>
              <w:adjustRightInd/>
              <w:spacing w:after="0"/>
              <w:rPr>
                <w:rFonts w:ascii="Arial" w:hAnsi="Arial" w:cs="Arial"/>
                <w:color w:val="000000"/>
                <w:sz w:val="16"/>
                <w:szCs w:val="16"/>
                <w:lang w:val="en-GB" w:eastAsia="zh-CN"/>
              </w:rPr>
            </w:pPr>
            <w:r w:rsidRPr="00400879">
              <w:rPr>
                <w:rFonts w:ascii="Arial" w:hAnsi="Arial" w:cs="Arial"/>
                <w:color w:val="000000"/>
                <w:sz w:val="16"/>
                <w:szCs w:val="16"/>
                <w:lang w:val="en-GB" w:eastAsia="zh-CN"/>
              </w:rPr>
              <w:t xml:space="preserve">PUCCH repetition </w:t>
            </w:r>
            <w:r w:rsidRPr="00400879">
              <w:rPr>
                <w:rFonts w:ascii="Arial" w:hAnsi="Arial" w:cs="Arial"/>
                <w:color w:val="000000"/>
                <w:sz w:val="16"/>
                <w:szCs w:val="16"/>
                <w:lang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36E74" w14:textId="6A602592" w:rsidR="00543145" w:rsidRPr="00400879" w:rsidRDefault="004E578E">
            <w:pPr>
              <w:keepNext/>
              <w:keepLines/>
              <w:overflowPunct/>
              <w:autoSpaceDE/>
              <w:autoSpaceDN/>
              <w:adjustRightInd/>
              <w:spacing w:after="0"/>
              <w:rPr>
                <w:rFonts w:ascii="Arial" w:hAnsi="Arial" w:cs="Arial"/>
                <w:color w:val="000000"/>
                <w:sz w:val="16"/>
                <w:szCs w:val="16"/>
              </w:rPr>
            </w:pPr>
            <w:r w:rsidRPr="00400879">
              <w:rPr>
                <w:rFonts w:ascii="Arial" w:hAnsi="Arial" w:cs="Arial"/>
                <w:color w:val="000000"/>
                <w:sz w:val="16"/>
                <w:szCs w:val="16"/>
              </w:rPr>
              <w:t>1. Support repetition transmission of PUCCH for Msg4 HARQ-ACK on common PUCCH resource (i.e., PUCCH resource before dedicated configuration is provided)</w:t>
            </w:r>
          </w:p>
          <w:p w14:paraId="7B5137EF" w14:textId="77777777" w:rsidR="00543145" w:rsidRPr="00400879" w:rsidRDefault="004E578E">
            <w:pPr>
              <w:keepNext/>
              <w:keepLines/>
              <w:overflowPunct/>
              <w:autoSpaceDE/>
              <w:autoSpaceDN/>
              <w:adjustRightInd/>
              <w:spacing w:after="0"/>
              <w:rPr>
                <w:rFonts w:ascii="Arial" w:hAnsi="Arial" w:cs="Arial"/>
                <w:color w:val="000000"/>
                <w:sz w:val="16"/>
                <w:szCs w:val="16"/>
              </w:rPr>
            </w:pPr>
            <w:r w:rsidRPr="00400879">
              <w:rPr>
                <w:rFonts w:ascii="Arial" w:hAnsi="Arial" w:cs="Arial"/>
                <w:color w:val="000000"/>
                <w:sz w:val="16"/>
                <w:szCs w:val="16"/>
              </w:rPr>
              <w:t>2. Support receiving repetition factor in system information</w:t>
            </w:r>
          </w:p>
          <w:p w14:paraId="75DBC19C" w14:textId="77777777" w:rsidR="00543145" w:rsidRPr="00400879" w:rsidRDefault="004E578E">
            <w:pPr>
              <w:keepNext/>
              <w:keepLines/>
              <w:overflowPunct/>
              <w:autoSpaceDE/>
              <w:autoSpaceDN/>
              <w:adjustRightInd/>
              <w:spacing w:after="0"/>
              <w:rPr>
                <w:rFonts w:ascii="Arial" w:hAnsi="Arial" w:cs="Arial"/>
                <w:color w:val="000000"/>
                <w:sz w:val="16"/>
                <w:szCs w:val="16"/>
                <w:lang w:val="en-GB"/>
              </w:rPr>
            </w:pPr>
            <w:r w:rsidRPr="00400879">
              <w:rPr>
                <w:rFonts w:ascii="Arial" w:hAnsi="Arial" w:cs="Arial"/>
                <w:color w:val="000000"/>
                <w:sz w:val="16"/>
                <w:szCs w:val="16"/>
              </w:rPr>
              <w:t>3. Support receiving repetition factor in DCI format 1_0 with CRC scrambled by TC-RNTI scheduling Msg4 PDSCH</w:t>
            </w:r>
          </w:p>
          <w:p w14:paraId="0A9F6C32" w14:textId="77777777" w:rsidR="00543145" w:rsidRPr="00400879" w:rsidRDefault="004E578E">
            <w:pPr>
              <w:keepNext/>
              <w:keepLines/>
              <w:overflowPunct/>
              <w:autoSpaceDE/>
              <w:autoSpaceDN/>
              <w:adjustRightInd/>
              <w:spacing w:after="0"/>
              <w:rPr>
                <w:rFonts w:ascii="Arial" w:hAnsi="Arial" w:cs="Arial"/>
                <w:color w:val="000000"/>
                <w:sz w:val="16"/>
                <w:szCs w:val="16"/>
              </w:rPr>
            </w:pPr>
            <w:r w:rsidRPr="00400879">
              <w:rPr>
                <w:rFonts w:ascii="Arial" w:hAnsi="Arial" w:cs="Arial"/>
                <w:color w:val="000000"/>
                <w:sz w:val="16"/>
                <w:szCs w:val="16"/>
              </w:rPr>
              <w:t>4. Support Msg3 to transmit information for PUCCH Msg4 HARQ-ACK repetition</w:t>
            </w:r>
          </w:p>
          <w:p w14:paraId="21066AA5" w14:textId="40C36E44" w:rsidR="00543145" w:rsidRPr="00400879" w:rsidRDefault="004E578E">
            <w:pPr>
              <w:overflowPunct/>
              <w:autoSpaceDE/>
              <w:autoSpaceDN/>
              <w:adjustRightInd/>
              <w:spacing w:after="0"/>
              <w:rPr>
                <w:rFonts w:ascii="Arial" w:eastAsia="MS Gothic" w:hAnsi="Arial" w:cs="Arial"/>
                <w:color w:val="000000"/>
                <w:sz w:val="16"/>
                <w:szCs w:val="16"/>
                <w:lang w:val="en-GB" w:eastAsia="ja-JP"/>
              </w:rPr>
            </w:pPr>
            <w:r w:rsidRPr="00400879">
              <w:rPr>
                <w:rFonts w:ascii="Arial" w:eastAsia="MS Gothic" w:hAnsi="Arial" w:cs="Arial"/>
                <w:color w:val="000000"/>
                <w:sz w:val="16"/>
                <w:szCs w:val="16"/>
                <w:lang w:val="en-GB" w:eastAsia="ja-JP"/>
              </w:rPr>
              <w:t>5. Extension of the repetition transmission of PUCCH before dedicated PUCCH resource configuration</w:t>
            </w:r>
          </w:p>
          <w:p w14:paraId="0E36036D" w14:textId="77777777" w:rsidR="00543145" w:rsidRPr="00400879" w:rsidRDefault="004E578E">
            <w:pPr>
              <w:overflowPunct/>
              <w:autoSpaceDE/>
              <w:autoSpaceDN/>
              <w:adjustRightInd/>
              <w:spacing w:after="0"/>
              <w:rPr>
                <w:rFonts w:ascii="Arial" w:eastAsia="MS Gothic" w:hAnsi="Arial" w:cs="Arial"/>
                <w:color w:val="000000"/>
                <w:sz w:val="16"/>
                <w:szCs w:val="16"/>
                <w:lang w:val="en-GB" w:eastAsia="ja-JP"/>
              </w:rPr>
            </w:pPr>
            <w:r w:rsidRPr="00400879">
              <w:rPr>
                <w:rFonts w:ascii="Arial" w:eastAsia="MS Gothic" w:hAnsi="Arial" w:cs="Arial"/>
                <w:color w:val="000000"/>
                <w:sz w:val="16"/>
                <w:szCs w:val="16"/>
                <w:lang w:eastAsia="ja-JP"/>
              </w:rPr>
              <w:t>6. Support of RSRP threshold for Msg4 HARQ-ACK repetition</w:t>
            </w:r>
            <w:r w:rsidRPr="00400879">
              <w:rPr>
                <w:rFonts w:ascii="Arial" w:eastAsia="Times New Roman" w:hAnsi="Arial" w:cs="Arial"/>
                <w:color w:val="000000"/>
                <w:sz w:val="16"/>
                <w:szCs w:val="16"/>
              </w:rPr>
              <w:t xml:space="preserve"> </w:t>
            </w:r>
            <w:r w:rsidRPr="00400879">
              <w:rPr>
                <w:rFonts w:ascii="Arial" w:eastAsia="MS Gothic" w:hAnsi="Arial" w:cs="Arial"/>
                <w:color w:val="000000"/>
                <w:sz w:val="16"/>
                <w:szCs w:val="16"/>
                <w:lang w:eastAsia="ja-JP"/>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E2B03" w14:textId="72C4C473" w:rsidR="00543145" w:rsidRPr="00400879" w:rsidRDefault="00543145">
            <w:pPr>
              <w:keepNext/>
              <w:keepLines/>
              <w:overflowPunct/>
              <w:autoSpaceDE/>
              <w:autoSpaceDN/>
              <w:adjustRightInd/>
              <w:spacing w:after="0"/>
              <w:rPr>
                <w:rFonts w:ascii="Arial" w:eastAsia="MS Mincho" w:hAnsi="Arial"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F7B2"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zh-CN"/>
              </w:rPr>
            </w:pPr>
            <w:r w:rsidRPr="00400879">
              <w:rPr>
                <w:rFonts w:ascii="Arial" w:hAnsi="Arial" w:cs="Arial"/>
                <w:color w:val="000000"/>
                <w:sz w:val="16"/>
                <w:szCs w:val="16"/>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26D5"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7194" w14:textId="0D484178" w:rsidR="00543145" w:rsidRPr="00400879" w:rsidRDefault="004E578E">
            <w:pPr>
              <w:keepNext/>
              <w:keepLines/>
              <w:overflowPunct/>
              <w:autoSpaceDE/>
              <w:autoSpaceDN/>
              <w:adjustRightInd/>
              <w:spacing w:after="0"/>
              <w:rPr>
                <w:rFonts w:ascii="Arial" w:hAnsi="Arial" w:cs="Arial"/>
                <w:color w:val="000000"/>
                <w:sz w:val="16"/>
                <w:szCs w:val="16"/>
                <w:lang w:eastAsia="zh-CN"/>
              </w:rPr>
            </w:pPr>
            <w:r w:rsidRPr="00400879">
              <w:rPr>
                <w:rFonts w:ascii="Arial" w:hAnsi="Arial" w:cs="Arial"/>
                <w:color w:val="000000"/>
                <w:sz w:val="16"/>
                <w:szCs w:val="16"/>
                <w:lang w:val="en-GB"/>
              </w:rPr>
              <w:t xml:space="preserve">UE does not support PUCCH repetition for </w:t>
            </w:r>
            <w:r w:rsidRPr="00400879">
              <w:rPr>
                <w:rFonts w:ascii="Arial" w:hAnsi="Arial" w:cs="Arial"/>
                <w:color w:val="000000"/>
                <w:sz w:val="16"/>
                <w:szCs w:val="16"/>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F716"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zh-CN"/>
              </w:rPr>
            </w:pPr>
            <w:r w:rsidRPr="00400879">
              <w:rPr>
                <w:rFonts w:ascii="Arial" w:hAnsi="Arial" w:cs="Arial"/>
                <w:color w:val="000000"/>
                <w:sz w:val="16"/>
                <w:szCs w:val="16"/>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9C2EF"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47A5"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6705"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221A" w14:textId="77777777" w:rsidR="00543145" w:rsidRPr="00400879" w:rsidRDefault="004E578E">
            <w:pPr>
              <w:overflowPunct/>
              <w:autoSpaceDE/>
              <w:autoSpaceDN/>
              <w:adjustRightInd/>
              <w:spacing w:before="60" w:after="60"/>
              <w:rPr>
                <w:rFonts w:ascii="Arial" w:hAnsi="Arial" w:cs="Arial"/>
                <w:color w:val="000000"/>
                <w:sz w:val="16"/>
                <w:szCs w:val="16"/>
                <w:lang w:val="en-GB" w:eastAsia="ko-KR"/>
              </w:rPr>
            </w:pPr>
            <w:r w:rsidRPr="00400879">
              <w:rPr>
                <w:rFonts w:ascii="Arial" w:hAnsi="Arial" w:cs="Arial"/>
                <w:color w:val="000000"/>
                <w:sz w:val="16"/>
                <w:szCs w:val="16"/>
                <w:lang w:val="en-GB" w:eastAsia="ko-KR"/>
              </w:rPr>
              <w:t xml:space="preserve">A UE that includes </w:t>
            </w:r>
            <w:r w:rsidRPr="00400879">
              <w:rPr>
                <w:rFonts w:ascii="Arial" w:hAnsi="Arial" w:cs="Arial"/>
                <w:color w:val="000000"/>
                <w:sz w:val="16"/>
                <w:szCs w:val="16"/>
                <w:highlight w:val="yellow"/>
                <w:lang w:val="en-GB" w:eastAsia="ko-KR"/>
              </w:rPr>
              <w:t>[RAN2 parameter name]</w:t>
            </w:r>
            <w:r w:rsidRPr="00400879">
              <w:rPr>
                <w:rFonts w:ascii="Arial" w:hAnsi="Arial" w:cs="Arial"/>
                <w:color w:val="000000"/>
                <w:sz w:val="16"/>
                <w:szCs w:val="16"/>
                <w:lang w:val="en-GB" w:eastAsia="ko-KR"/>
              </w:rPr>
              <w:t xml:space="preserve"> in </w:t>
            </w:r>
            <w:r w:rsidRPr="00400879">
              <w:rPr>
                <w:rFonts w:ascii="Arial" w:hAnsi="Arial" w:cs="Arial"/>
                <w:color w:val="000000"/>
                <w:sz w:val="16"/>
                <w:szCs w:val="16"/>
                <w:highlight w:val="yellow"/>
                <w:lang w:val="en-GB" w:eastAsia="ko-KR"/>
              </w:rPr>
              <w:t>[RRC Setup Request]</w:t>
            </w:r>
            <w:r w:rsidRPr="00400879">
              <w:rPr>
                <w:rFonts w:ascii="Arial" w:hAnsi="Arial" w:cs="Arial"/>
                <w:color w:val="000000"/>
                <w:sz w:val="16"/>
                <w:szCs w:val="16"/>
                <w:lang w:val="en-GB" w:eastAsia="ko-KR"/>
              </w:rPr>
              <w:t xml:space="preserve"> must support FG 44-1</w:t>
            </w:r>
          </w:p>
          <w:p w14:paraId="64DB1FE0" w14:textId="77777777" w:rsidR="00543145" w:rsidRPr="00400879" w:rsidRDefault="00543145">
            <w:pPr>
              <w:overflowPunct/>
              <w:autoSpaceDE/>
              <w:autoSpaceDN/>
              <w:adjustRightInd/>
              <w:spacing w:before="60" w:after="60"/>
              <w:rPr>
                <w:rFonts w:ascii="Arial" w:hAnsi="Arial" w:cs="Arial"/>
                <w:color w:val="000000"/>
                <w:sz w:val="16"/>
                <w:szCs w:val="16"/>
                <w:lang w:val="en-GB" w:eastAsia="ko-KR"/>
              </w:rPr>
            </w:pPr>
          </w:p>
          <w:p w14:paraId="4562CBD0" w14:textId="77777777" w:rsidR="00543145" w:rsidRPr="00400879" w:rsidRDefault="004E578E">
            <w:pPr>
              <w:keepNext/>
              <w:keepLines/>
              <w:overflowPunct/>
              <w:autoSpaceDE/>
              <w:autoSpaceDN/>
              <w:adjustRightInd/>
              <w:spacing w:after="0"/>
              <w:rPr>
                <w:rFonts w:ascii="Arial" w:hAnsi="Arial" w:cs="Arial"/>
                <w:color w:val="000000"/>
                <w:sz w:val="16"/>
                <w:szCs w:val="16"/>
                <w:lang w:val="en-GB"/>
              </w:rPr>
            </w:pPr>
            <w:r w:rsidRPr="00400879">
              <w:rPr>
                <w:rFonts w:ascii="Arial" w:hAnsi="Arial" w:cs="Arial"/>
                <w:color w:val="000000"/>
                <w:sz w:val="16"/>
                <w:szCs w:val="16"/>
                <w:highlight w:val="yellow"/>
                <w:lang w:val="en-GB"/>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1B291"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Optional without capability signaling</w:t>
            </w:r>
          </w:p>
        </w:tc>
      </w:tr>
      <w:tr w:rsidR="00543145" w:rsidRPr="00400879" w14:paraId="002B9A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A5AC5"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F95B"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DDF8"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zh-CN"/>
              </w:rPr>
            </w:pPr>
            <w:r w:rsidRPr="00400879">
              <w:rPr>
                <w:rFonts w:ascii="Arial" w:hAnsi="Arial" w:cs="Arial"/>
                <w:color w:val="000000"/>
                <w:sz w:val="16"/>
                <w:szCs w:val="16"/>
                <w:lang w:val="en-GB"/>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A38A0" w14:textId="77777777" w:rsidR="00543145" w:rsidRPr="00400879" w:rsidRDefault="004E578E">
            <w:pPr>
              <w:keepNext/>
              <w:keepLines/>
              <w:overflowPunct/>
              <w:autoSpaceDE/>
              <w:autoSpaceDN/>
              <w:adjustRightInd/>
              <w:spacing w:after="0"/>
              <w:rPr>
                <w:rFonts w:ascii="Arial" w:hAnsi="Arial" w:cs="Arial"/>
                <w:color w:val="000000"/>
                <w:sz w:val="16"/>
                <w:szCs w:val="16"/>
                <w:lang w:val="en-GB"/>
              </w:rPr>
            </w:pPr>
            <w:r w:rsidRPr="00400879">
              <w:rPr>
                <w:rFonts w:ascii="Arial" w:hAnsi="Arial" w:cs="Arial"/>
                <w:color w:val="000000"/>
                <w:sz w:val="16"/>
                <w:szCs w:val="16"/>
                <w:lang w:val="en-GB"/>
              </w:rPr>
              <w:t>1. Support of DM-RS bundling for PUSCH over consecutive slots</w:t>
            </w:r>
          </w:p>
          <w:p w14:paraId="3A7B418B" w14:textId="77777777" w:rsidR="00543145" w:rsidRPr="00400879" w:rsidRDefault="004E578E">
            <w:pPr>
              <w:keepNext/>
              <w:keepLines/>
              <w:overflowPunct/>
              <w:autoSpaceDE/>
              <w:autoSpaceDN/>
              <w:adjustRightInd/>
              <w:spacing w:after="0"/>
              <w:rPr>
                <w:rFonts w:ascii="Arial" w:hAnsi="Arial" w:cs="Arial"/>
                <w:color w:val="000000"/>
                <w:sz w:val="16"/>
                <w:szCs w:val="16"/>
                <w:lang w:val="en-GB"/>
              </w:rPr>
            </w:pPr>
            <w:r w:rsidRPr="00400879">
              <w:rPr>
                <w:rFonts w:ascii="Arial" w:hAnsi="Arial" w:cs="Arial"/>
                <w:color w:val="000000"/>
                <w:sz w:val="16"/>
                <w:szCs w:val="16"/>
              </w:rPr>
              <w:t>2. Support of pre-compensation to keep phase rotation due to timing drift within the phase difference limit</w:t>
            </w:r>
          </w:p>
          <w:p w14:paraId="258E4F29" w14:textId="77777777" w:rsidR="00543145" w:rsidRPr="00400879" w:rsidRDefault="004E578E">
            <w:pPr>
              <w:overflowPunct/>
              <w:autoSpaceDE/>
              <w:autoSpaceDN/>
              <w:adjustRightInd/>
              <w:spacing w:after="0"/>
              <w:rPr>
                <w:rFonts w:ascii="Arial" w:eastAsia="MS Gothic" w:hAnsi="Arial" w:cs="Arial"/>
                <w:color w:val="000000"/>
                <w:sz w:val="16"/>
                <w:szCs w:val="16"/>
                <w:lang w:val="en-GB" w:eastAsia="ja-JP"/>
              </w:rPr>
            </w:pPr>
            <w:r w:rsidRPr="00400879">
              <w:rPr>
                <w:rFonts w:ascii="Arial" w:eastAsia="MS Gothic" w:hAnsi="Arial" w:cs="Arial"/>
                <w:color w:val="000000"/>
                <w:sz w:val="16"/>
                <w:szCs w:val="16"/>
                <w:highlight w:val="yellow"/>
                <w:lang w:eastAsia="ja-JP"/>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8D51" w14:textId="77777777" w:rsidR="00543145" w:rsidRPr="00400879" w:rsidRDefault="004E578E">
            <w:pPr>
              <w:keepNext/>
              <w:keepLines/>
              <w:overflowPunct/>
              <w:autoSpaceDE/>
              <w:autoSpaceDN/>
              <w:adjustRightInd/>
              <w:spacing w:after="0"/>
              <w:rPr>
                <w:rFonts w:ascii="Arial" w:eastAsia="MS Mincho" w:hAnsi="Arial" w:cs="Arial"/>
                <w:color w:val="000000"/>
                <w:sz w:val="16"/>
                <w:szCs w:val="16"/>
                <w:lang w:val="en-GB" w:eastAsia="ja-JP"/>
              </w:rPr>
            </w:pPr>
            <w:r w:rsidRPr="00400879">
              <w:rPr>
                <w:rFonts w:ascii="Arial" w:hAnsi="Arial" w:cs="Arial"/>
                <w:color w:val="000000"/>
                <w:sz w:val="16"/>
                <w:szCs w:val="16"/>
              </w:rPr>
              <w:t>At least one of {</w:t>
            </w:r>
            <w:r w:rsidRPr="00400879">
              <w:rPr>
                <w:rFonts w:ascii="Arial" w:hAnsi="Arial" w:cs="Arial"/>
                <w:color w:val="000000"/>
                <w:sz w:val="16"/>
                <w:szCs w:val="16"/>
                <w:lang w:val="en-GB"/>
              </w:rPr>
              <w:t>30-4a/b</w:t>
            </w:r>
            <w:r w:rsidRPr="00400879">
              <w:rPr>
                <w:rFonts w:ascii="Arial" w:hAnsi="Arial" w:cs="Arial"/>
                <w:color w:val="000000"/>
                <w:sz w:val="16"/>
                <w:szCs w:val="16"/>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D49D2"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zh-CN"/>
              </w:rPr>
            </w:pPr>
            <w:r w:rsidRPr="00400879">
              <w:rPr>
                <w:rFonts w:ascii="Arial" w:hAnsi="Arial" w:cs="Arial"/>
                <w:color w:val="000000"/>
                <w:sz w:val="16"/>
                <w:szCs w:val="16"/>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5DEA0"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51BB" w14:textId="77777777" w:rsidR="00543145" w:rsidRPr="00400879" w:rsidRDefault="004E578E">
            <w:pPr>
              <w:keepNext/>
              <w:keepLines/>
              <w:overflowPunct/>
              <w:autoSpaceDE/>
              <w:autoSpaceDN/>
              <w:adjustRightInd/>
              <w:spacing w:after="0"/>
              <w:rPr>
                <w:rFonts w:ascii="Arial" w:hAnsi="Arial" w:cs="Arial"/>
                <w:color w:val="000000"/>
                <w:sz w:val="16"/>
                <w:szCs w:val="16"/>
                <w:lang w:eastAsia="zh-CN"/>
              </w:rPr>
            </w:pPr>
            <w:r w:rsidRPr="00400879">
              <w:rPr>
                <w:rFonts w:ascii="Arial" w:hAnsi="Arial" w:cs="Arial"/>
                <w:color w:val="000000"/>
                <w:sz w:val="16"/>
                <w:szCs w:val="16"/>
                <w:lang w:val="en-GB"/>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E2FDA"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zh-CN"/>
              </w:rPr>
            </w:pPr>
            <w:r w:rsidRPr="00400879">
              <w:rPr>
                <w:rFonts w:ascii="Arial" w:hAnsi="Arial" w:cs="Arial"/>
                <w:color w:val="000000"/>
                <w:sz w:val="16"/>
                <w:szCs w:val="16"/>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E8B86"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640A"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9B95A"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6818" w14:textId="1466EFCB" w:rsidR="00543145" w:rsidRPr="00400879" w:rsidRDefault="004E578E">
            <w:pPr>
              <w:keepNext/>
              <w:keepLines/>
              <w:overflowPunct/>
              <w:autoSpaceDE/>
              <w:autoSpaceDN/>
              <w:adjustRightInd/>
              <w:spacing w:after="0"/>
              <w:rPr>
                <w:rFonts w:ascii="Arial" w:hAnsi="Arial" w:cs="Arial"/>
                <w:color w:val="000000"/>
                <w:sz w:val="16"/>
                <w:szCs w:val="16"/>
                <w:lang w:val="en-GB"/>
              </w:rPr>
            </w:pPr>
            <w:r w:rsidRPr="00400879">
              <w:rPr>
                <w:rFonts w:ascii="Arial" w:hAnsi="Arial" w:cs="Arial"/>
                <w:color w:val="000000"/>
                <w:sz w:val="16"/>
                <w:szCs w:val="16"/>
                <w:lang w:val="en-GB"/>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E359E"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Optional with capability signaling</w:t>
            </w:r>
          </w:p>
        </w:tc>
      </w:tr>
      <w:tr w:rsidR="00543145" w:rsidRPr="00400879" w14:paraId="51EC1D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5CD5F"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6B02"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A2E7B"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zh-CN"/>
              </w:rPr>
            </w:pPr>
            <w:r w:rsidRPr="00400879">
              <w:rPr>
                <w:rFonts w:ascii="Arial" w:hAnsi="Arial" w:cs="Arial"/>
                <w:color w:val="000000"/>
                <w:sz w:val="16"/>
                <w:szCs w:val="16"/>
                <w:lang w:val="en-GB"/>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D6CF" w14:textId="173C607B" w:rsidR="00543145" w:rsidRPr="00400879" w:rsidRDefault="004E578E">
            <w:pPr>
              <w:overflowPunct/>
              <w:autoSpaceDE/>
              <w:autoSpaceDN/>
              <w:adjustRightInd/>
              <w:spacing w:before="60" w:after="60"/>
              <w:rPr>
                <w:rFonts w:ascii="Arial" w:eastAsia="Malgun Gothic" w:hAnsi="Arial" w:cs="Arial"/>
                <w:color w:val="000000"/>
                <w:sz w:val="16"/>
                <w:szCs w:val="16"/>
                <w:lang w:val="en-GB" w:eastAsia="ko-KR"/>
              </w:rPr>
            </w:pPr>
            <w:r w:rsidRPr="00400879">
              <w:rPr>
                <w:rFonts w:ascii="Arial" w:eastAsia="Malgun Gothic" w:hAnsi="Arial" w:cs="Arial"/>
                <w:color w:val="000000"/>
                <w:sz w:val="16"/>
                <w:szCs w:val="16"/>
                <w:lang w:val="en-GB" w:eastAsia="ko-KR"/>
              </w:rPr>
              <w:t xml:space="preserve">1. Support UE Rx-Tx </w:t>
            </w:r>
            <w:r w:rsidRPr="00400879">
              <w:rPr>
                <w:rFonts w:ascii="Arial" w:eastAsia="Malgun Gothic" w:hAnsi="Arial" w:cs="Arial"/>
                <w:color w:val="000000"/>
                <w:sz w:val="16"/>
                <w:szCs w:val="16"/>
                <w:lang w:eastAsia="ko-KR"/>
              </w:rPr>
              <w:t>time difference and UE Rx-Tx time difference offset</w:t>
            </w:r>
            <w:r w:rsidRPr="00400879">
              <w:rPr>
                <w:rFonts w:ascii="Arial" w:eastAsia="Malgun Gothic" w:hAnsi="Arial" w:cs="Arial"/>
                <w:color w:val="000000"/>
                <w:sz w:val="16"/>
                <w:szCs w:val="16"/>
                <w:lang w:val="en-GB" w:eastAsia="ko-KR"/>
              </w:rPr>
              <w:t xml:space="preserve"> measurement and report for Multi-RTT positioning with single satellite in NTN</w:t>
            </w:r>
          </w:p>
          <w:p w14:paraId="0A8EB0E6" w14:textId="22BDE8CD" w:rsidR="00543145" w:rsidRPr="00400879" w:rsidRDefault="004E578E">
            <w:pPr>
              <w:overflowPunct/>
              <w:autoSpaceDE/>
              <w:autoSpaceDN/>
              <w:adjustRightInd/>
              <w:spacing w:after="0"/>
              <w:rPr>
                <w:rFonts w:ascii="Arial" w:eastAsia="MS Gothic" w:hAnsi="Arial" w:cs="Arial"/>
                <w:color w:val="000000"/>
                <w:sz w:val="16"/>
                <w:szCs w:val="16"/>
                <w:lang w:val="en-GB" w:eastAsia="ja-JP"/>
              </w:rPr>
            </w:pPr>
            <w:r w:rsidRPr="00400879">
              <w:rPr>
                <w:rFonts w:ascii="Arial" w:eastAsia="MS Gothic" w:hAnsi="Arial" w:cs="Arial"/>
                <w:color w:val="000000"/>
                <w:sz w:val="16"/>
                <w:szCs w:val="16"/>
                <w:lang w:eastAsia="ja-JP"/>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51809" w14:textId="77777777" w:rsidR="00543145" w:rsidRPr="00400879" w:rsidRDefault="004E578E">
            <w:pPr>
              <w:keepNext/>
              <w:keepLines/>
              <w:overflowPunct/>
              <w:autoSpaceDE/>
              <w:autoSpaceDN/>
              <w:adjustRightInd/>
              <w:spacing w:after="0"/>
              <w:rPr>
                <w:rFonts w:ascii="Arial" w:eastAsia="MS Mincho" w:hAnsi="Arial" w:cs="Arial"/>
                <w:color w:val="000000"/>
                <w:sz w:val="16"/>
                <w:szCs w:val="16"/>
                <w:lang w:val="en-GB" w:eastAsia="ja-JP"/>
              </w:rPr>
            </w:pPr>
            <w:r w:rsidRPr="00400879">
              <w:rPr>
                <w:rFonts w:ascii="Arial" w:hAnsi="Arial" w:cs="Arial"/>
                <w:color w:val="000000"/>
                <w:sz w:val="16"/>
                <w:szCs w:val="16"/>
                <w:lang w:val="en-GB"/>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7D8C0"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zh-CN"/>
              </w:rPr>
            </w:pPr>
            <w:r w:rsidRPr="00400879">
              <w:rPr>
                <w:rFonts w:ascii="Arial" w:hAnsi="Arial" w:cs="Arial"/>
                <w:color w:val="000000"/>
                <w:sz w:val="16"/>
                <w:szCs w:val="16"/>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32287"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07AB9" w14:textId="77777777" w:rsidR="00543145" w:rsidRPr="00400879" w:rsidRDefault="004E578E">
            <w:pPr>
              <w:keepNext/>
              <w:keepLines/>
              <w:overflowPunct/>
              <w:autoSpaceDE/>
              <w:autoSpaceDN/>
              <w:adjustRightInd/>
              <w:spacing w:after="0"/>
              <w:rPr>
                <w:rFonts w:ascii="Arial" w:hAnsi="Arial" w:cs="Arial"/>
                <w:color w:val="000000"/>
                <w:sz w:val="16"/>
                <w:szCs w:val="16"/>
                <w:lang w:eastAsia="zh-CN"/>
              </w:rPr>
            </w:pPr>
            <w:r w:rsidRPr="00400879">
              <w:rPr>
                <w:rFonts w:ascii="Arial" w:hAnsi="Arial" w:cs="Arial"/>
                <w:color w:val="000000"/>
                <w:sz w:val="16"/>
                <w:szCs w:val="16"/>
                <w:lang w:val="en-GB"/>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D158"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zh-CN"/>
              </w:rPr>
            </w:pPr>
            <w:r w:rsidRPr="00400879">
              <w:rPr>
                <w:rFonts w:ascii="Arial" w:hAnsi="Arial" w:cs="Arial"/>
                <w:color w:val="000000"/>
                <w:sz w:val="16"/>
                <w:szCs w:val="16"/>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D10A"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60E"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AFA7"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9F31" w14:textId="77777777" w:rsidR="00543145" w:rsidRPr="00400879" w:rsidRDefault="004E578E">
            <w:pPr>
              <w:keepNext/>
              <w:keepLines/>
              <w:overflowPunct/>
              <w:autoSpaceDE/>
              <w:autoSpaceDN/>
              <w:adjustRightInd/>
              <w:spacing w:after="0"/>
              <w:rPr>
                <w:rFonts w:ascii="Arial" w:hAnsi="Arial" w:cs="Arial"/>
                <w:color w:val="000000"/>
                <w:sz w:val="16"/>
                <w:szCs w:val="16"/>
                <w:lang w:val="en-GB"/>
              </w:rPr>
            </w:pPr>
            <w:r w:rsidRPr="00400879">
              <w:rPr>
                <w:rFonts w:ascii="Arial" w:hAnsi="Arial" w:cs="Arial"/>
                <w:color w:val="000000"/>
                <w:sz w:val="16"/>
                <w:szCs w:val="16"/>
                <w:lang w:val="en-GB"/>
              </w:rPr>
              <w:t xml:space="preserve">Note: This UE feature group is applicable only for bands in Table 5.2.2-1 in TS 38.101-5 </w:t>
            </w:r>
            <w:r w:rsidRPr="00400879">
              <w:rPr>
                <w:rFonts w:ascii="Arial" w:hAnsi="Arial" w:cs="Arial"/>
                <w:color w:val="000000"/>
                <w:sz w:val="16"/>
                <w:szCs w:val="16"/>
                <w:highlight w:val="yellow"/>
                <w:lang w:val="en-GB"/>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E8A6" w14:textId="77777777" w:rsidR="00543145" w:rsidRPr="00400879" w:rsidRDefault="004E578E">
            <w:pPr>
              <w:keepNext/>
              <w:keepLines/>
              <w:overflowPunct/>
              <w:autoSpaceDE/>
              <w:autoSpaceDN/>
              <w:adjustRightInd/>
              <w:spacing w:after="0"/>
              <w:rPr>
                <w:rFonts w:ascii="Arial" w:hAnsi="Arial" w:cs="Arial"/>
                <w:color w:val="000000"/>
                <w:sz w:val="16"/>
                <w:szCs w:val="16"/>
                <w:lang w:val="en-GB" w:eastAsia="ja-JP"/>
              </w:rPr>
            </w:pPr>
            <w:r w:rsidRPr="00400879">
              <w:rPr>
                <w:rFonts w:ascii="Arial" w:hAnsi="Arial" w:cs="Arial"/>
                <w:color w:val="000000"/>
                <w:sz w:val="16"/>
                <w:szCs w:val="16"/>
                <w:lang w:val="en-GB" w:eastAsia="zh-CN"/>
              </w:rPr>
              <w:t>Optional with capability signaling</w:t>
            </w:r>
          </w:p>
        </w:tc>
      </w:tr>
    </w:tbl>
    <w:p w14:paraId="6A458722" w14:textId="77777777" w:rsidR="00543145" w:rsidRDefault="00543145">
      <w:pPr>
        <w:rPr>
          <w:lang w:val="en-GB" w:eastAsia="zh-CN"/>
        </w:rPr>
      </w:pPr>
    </w:p>
    <w:p w14:paraId="085E025D" w14:textId="77777777" w:rsidR="00543145" w:rsidRDefault="00543145">
      <w:pPr>
        <w:rPr>
          <w:lang w:val="en-GB" w:eastAsia="zh-CN"/>
        </w:rPr>
      </w:pPr>
    </w:p>
    <w:sectPr w:rsidR="00543145">
      <w:pgSz w:w="23818" w:h="16834" w:orient="landscape"/>
      <w:pgMar w:top="1138" w:right="850" w:bottom="1138"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54129" w14:textId="77777777" w:rsidR="00A71253" w:rsidRDefault="00A71253">
      <w:pPr>
        <w:spacing w:after="0"/>
      </w:pPr>
      <w:r>
        <w:separator/>
      </w:r>
    </w:p>
  </w:endnote>
  <w:endnote w:type="continuationSeparator" w:id="0">
    <w:p w14:paraId="60EE915D" w14:textId="77777777" w:rsidR="00A71253" w:rsidRDefault="00A712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43908" w14:textId="77777777" w:rsidR="00A71253" w:rsidRDefault="00A71253">
      <w:pPr>
        <w:spacing w:after="0"/>
      </w:pPr>
      <w:r>
        <w:separator/>
      </w:r>
    </w:p>
  </w:footnote>
  <w:footnote w:type="continuationSeparator" w:id="0">
    <w:p w14:paraId="0C205F64" w14:textId="77777777" w:rsidR="00A71253" w:rsidRDefault="00A712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4F91"/>
    <w:multiLevelType w:val="multilevel"/>
    <w:tmpl w:val="05664F9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A2A27D1"/>
    <w:multiLevelType w:val="multilevel"/>
    <w:tmpl w:val="0A2A27D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8756EE3"/>
    <w:multiLevelType w:val="multilevel"/>
    <w:tmpl w:val="18756EE3"/>
    <w:lvl w:ilvl="0">
      <w:numFmt w:val="bullet"/>
      <w:lvlText w:val=""/>
      <w:lvlJc w:val="left"/>
      <w:pPr>
        <w:ind w:left="720" w:hanging="360"/>
      </w:pPr>
      <w:rPr>
        <w:rFonts w:ascii="Symbol" w:eastAsia="Times New Roman" w:hAnsi="Symbol"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 w15:restartNumberingAfterBreak="0">
    <w:nsid w:val="1E240E49"/>
    <w:multiLevelType w:val="multilevel"/>
    <w:tmpl w:val="1E240E49"/>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65D4E42"/>
    <w:multiLevelType w:val="multilevel"/>
    <w:tmpl w:val="365D4E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94E22CC"/>
    <w:multiLevelType w:val="multilevel"/>
    <w:tmpl w:val="394E22C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286857"/>
    <w:multiLevelType w:val="multilevel"/>
    <w:tmpl w:val="4C28685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940943"/>
    <w:multiLevelType w:val="multilevel"/>
    <w:tmpl w:val="5394094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62A93DEF"/>
    <w:multiLevelType w:val="multilevel"/>
    <w:tmpl w:val="62A93DE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6C536AF5"/>
    <w:multiLevelType w:val="multilevel"/>
    <w:tmpl w:val="6C536AF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73794AD9"/>
    <w:multiLevelType w:val="multilevel"/>
    <w:tmpl w:val="73794AD9"/>
    <w:lvl w:ilvl="0">
      <w:start w:val="1"/>
      <w:numFmt w:val="decimal"/>
      <w:lvlText w:val="Discussion point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E86F5A"/>
    <w:multiLevelType w:val="multilevel"/>
    <w:tmpl w:val="7AE8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2827542">
    <w:abstractNumId w:val="4"/>
  </w:num>
  <w:num w:numId="2" w16cid:durableId="1970280667">
    <w:abstractNumId w:val="7"/>
  </w:num>
  <w:num w:numId="3" w16cid:durableId="641814009">
    <w:abstractNumId w:val="9"/>
  </w:num>
  <w:num w:numId="4" w16cid:durableId="3427032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8697135">
    <w:abstractNumId w:val="2"/>
  </w:num>
  <w:num w:numId="6" w16cid:durableId="2017927011">
    <w:abstractNumId w:val="13"/>
  </w:num>
  <w:num w:numId="7" w16cid:durableId="2013217306">
    <w:abstractNumId w:val="14"/>
  </w:num>
  <w:num w:numId="8" w16cid:durableId="363602579">
    <w:abstractNumId w:val="3"/>
  </w:num>
  <w:num w:numId="9" w16cid:durableId="16230741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77237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57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46481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37340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46645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0921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8810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zN7U0NbI0NbU0MDZX0lEKTi0uzszPAykwrAUAVQKTuSwAAAA="/>
  </w:docVars>
  <w:rsids>
    <w:rsidRoot w:val="00723F24"/>
    <w:rsid w:val="00001541"/>
    <w:rsid w:val="000022AD"/>
    <w:rsid w:val="00005707"/>
    <w:rsid w:val="0000586E"/>
    <w:rsid w:val="00006F90"/>
    <w:rsid w:val="000079CC"/>
    <w:rsid w:val="000103E7"/>
    <w:rsid w:val="00010E68"/>
    <w:rsid w:val="00020BA2"/>
    <w:rsid w:val="00020F46"/>
    <w:rsid w:val="00027E29"/>
    <w:rsid w:val="000353C4"/>
    <w:rsid w:val="00036686"/>
    <w:rsid w:val="00041D8D"/>
    <w:rsid w:val="000426DB"/>
    <w:rsid w:val="00044E41"/>
    <w:rsid w:val="00046D48"/>
    <w:rsid w:val="00047490"/>
    <w:rsid w:val="0005045B"/>
    <w:rsid w:val="0005068B"/>
    <w:rsid w:val="0005289D"/>
    <w:rsid w:val="00054827"/>
    <w:rsid w:val="0005578F"/>
    <w:rsid w:val="000564A7"/>
    <w:rsid w:val="000571DA"/>
    <w:rsid w:val="0005779D"/>
    <w:rsid w:val="00060F2A"/>
    <w:rsid w:val="00061456"/>
    <w:rsid w:val="00061815"/>
    <w:rsid w:val="00062432"/>
    <w:rsid w:val="00063B01"/>
    <w:rsid w:val="0006648D"/>
    <w:rsid w:val="00072410"/>
    <w:rsid w:val="00072E99"/>
    <w:rsid w:val="00073FEA"/>
    <w:rsid w:val="00074276"/>
    <w:rsid w:val="00075B79"/>
    <w:rsid w:val="000765AF"/>
    <w:rsid w:val="00077BC9"/>
    <w:rsid w:val="000816F3"/>
    <w:rsid w:val="0008212E"/>
    <w:rsid w:val="000824F2"/>
    <w:rsid w:val="000847D0"/>
    <w:rsid w:val="00084C4D"/>
    <w:rsid w:val="00090A23"/>
    <w:rsid w:val="0009328B"/>
    <w:rsid w:val="00093A43"/>
    <w:rsid w:val="00094379"/>
    <w:rsid w:val="000949A4"/>
    <w:rsid w:val="00097075"/>
    <w:rsid w:val="000A2798"/>
    <w:rsid w:val="000A38F3"/>
    <w:rsid w:val="000A43D1"/>
    <w:rsid w:val="000A5002"/>
    <w:rsid w:val="000A5CE8"/>
    <w:rsid w:val="000A74A0"/>
    <w:rsid w:val="000B2559"/>
    <w:rsid w:val="000B3F9B"/>
    <w:rsid w:val="000B56BE"/>
    <w:rsid w:val="000B5A60"/>
    <w:rsid w:val="000B64F0"/>
    <w:rsid w:val="000B6E14"/>
    <w:rsid w:val="000B7592"/>
    <w:rsid w:val="000C0CFB"/>
    <w:rsid w:val="000C2954"/>
    <w:rsid w:val="000C301B"/>
    <w:rsid w:val="000C42EE"/>
    <w:rsid w:val="000C51F0"/>
    <w:rsid w:val="000C54F3"/>
    <w:rsid w:val="000C63B5"/>
    <w:rsid w:val="000C6A77"/>
    <w:rsid w:val="000D1D1F"/>
    <w:rsid w:val="000D2D53"/>
    <w:rsid w:val="000E1DA7"/>
    <w:rsid w:val="000E2234"/>
    <w:rsid w:val="000E33F1"/>
    <w:rsid w:val="000E3B13"/>
    <w:rsid w:val="000E3D50"/>
    <w:rsid w:val="000F2C90"/>
    <w:rsid w:val="000F3A8D"/>
    <w:rsid w:val="000F3E3D"/>
    <w:rsid w:val="000F5CCF"/>
    <w:rsid w:val="00101A55"/>
    <w:rsid w:val="00103385"/>
    <w:rsid w:val="00104576"/>
    <w:rsid w:val="00104B03"/>
    <w:rsid w:val="001069E2"/>
    <w:rsid w:val="001078EF"/>
    <w:rsid w:val="00110AD4"/>
    <w:rsid w:val="00114579"/>
    <w:rsid w:val="001156C6"/>
    <w:rsid w:val="0011634D"/>
    <w:rsid w:val="00120775"/>
    <w:rsid w:val="00122C7E"/>
    <w:rsid w:val="00123345"/>
    <w:rsid w:val="00124C26"/>
    <w:rsid w:val="00124E21"/>
    <w:rsid w:val="00125530"/>
    <w:rsid w:val="00125CE0"/>
    <w:rsid w:val="00127F38"/>
    <w:rsid w:val="00130208"/>
    <w:rsid w:val="00133DE6"/>
    <w:rsid w:val="001369DA"/>
    <w:rsid w:val="0013710F"/>
    <w:rsid w:val="00143C02"/>
    <w:rsid w:val="00143FC3"/>
    <w:rsid w:val="0014401E"/>
    <w:rsid w:val="00145644"/>
    <w:rsid w:val="00153158"/>
    <w:rsid w:val="00153C43"/>
    <w:rsid w:val="0015417C"/>
    <w:rsid w:val="001550BF"/>
    <w:rsid w:val="0015624E"/>
    <w:rsid w:val="00156ACF"/>
    <w:rsid w:val="001605FC"/>
    <w:rsid w:val="00161144"/>
    <w:rsid w:val="00162BED"/>
    <w:rsid w:val="0016510A"/>
    <w:rsid w:val="0016768D"/>
    <w:rsid w:val="00167922"/>
    <w:rsid w:val="00171ECE"/>
    <w:rsid w:val="001741C0"/>
    <w:rsid w:val="00174EC4"/>
    <w:rsid w:val="00175810"/>
    <w:rsid w:val="00175883"/>
    <w:rsid w:val="00181330"/>
    <w:rsid w:val="0018268E"/>
    <w:rsid w:val="00182AB2"/>
    <w:rsid w:val="00185F5E"/>
    <w:rsid w:val="00186118"/>
    <w:rsid w:val="00186D46"/>
    <w:rsid w:val="00186EA4"/>
    <w:rsid w:val="00190162"/>
    <w:rsid w:val="00190B7C"/>
    <w:rsid w:val="00193268"/>
    <w:rsid w:val="00194601"/>
    <w:rsid w:val="001952A8"/>
    <w:rsid w:val="00197E03"/>
    <w:rsid w:val="001A1B00"/>
    <w:rsid w:val="001A29C3"/>
    <w:rsid w:val="001A5477"/>
    <w:rsid w:val="001A5C92"/>
    <w:rsid w:val="001B26F1"/>
    <w:rsid w:val="001B3E77"/>
    <w:rsid w:val="001B5004"/>
    <w:rsid w:val="001B6A94"/>
    <w:rsid w:val="001B6BA0"/>
    <w:rsid w:val="001C11D4"/>
    <w:rsid w:val="001C17B2"/>
    <w:rsid w:val="001C5740"/>
    <w:rsid w:val="001D08B0"/>
    <w:rsid w:val="001D136B"/>
    <w:rsid w:val="001D4A2F"/>
    <w:rsid w:val="001D68BF"/>
    <w:rsid w:val="001E3C02"/>
    <w:rsid w:val="001E48CA"/>
    <w:rsid w:val="001E51DB"/>
    <w:rsid w:val="001E697D"/>
    <w:rsid w:val="001F0362"/>
    <w:rsid w:val="001F04CE"/>
    <w:rsid w:val="001F27B5"/>
    <w:rsid w:val="001F351B"/>
    <w:rsid w:val="001F3ED6"/>
    <w:rsid w:val="001F4A46"/>
    <w:rsid w:val="001F4B3A"/>
    <w:rsid w:val="001F5327"/>
    <w:rsid w:val="001F59AD"/>
    <w:rsid w:val="001F5BE6"/>
    <w:rsid w:val="00200E47"/>
    <w:rsid w:val="002056C4"/>
    <w:rsid w:val="00207C55"/>
    <w:rsid w:val="002120A8"/>
    <w:rsid w:val="002133CC"/>
    <w:rsid w:val="002134FA"/>
    <w:rsid w:val="0021460B"/>
    <w:rsid w:val="002146E2"/>
    <w:rsid w:val="00215FC8"/>
    <w:rsid w:val="002170CE"/>
    <w:rsid w:val="00220D4E"/>
    <w:rsid w:val="00221AFA"/>
    <w:rsid w:val="00222197"/>
    <w:rsid w:val="002227FE"/>
    <w:rsid w:val="00224504"/>
    <w:rsid w:val="002247D3"/>
    <w:rsid w:val="002249FD"/>
    <w:rsid w:val="00224F40"/>
    <w:rsid w:val="00225941"/>
    <w:rsid w:val="0022614F"/>
    <w:rsid w:val="00227BB9"/>
    <w:rsid w:val="00230560"/>
    <w:rsid w:val="0023210F"/>
    <w:rsid w:val="00232FC7"/>
    <w:rsid w:val="00234870"/>
    <w:rsid w:val="002349EE"/>
    <w:rsid w:val="0023587D"/>
    <w:rsid w:val="002367FF"/>
    <w:rsid w:val="00243A40"/>
    <w:rsid w:val="002452FC"/>
    <w:rsid w:val="0025132C"/>
    <w:rsid w:val="00253E99"/>
    <w:rsid w:val="00255F53"/>
    <w:rsid w:val="002561FD"/>
    <w:rsid w:val="002627EB"/>
    <w:rsid w:val="00263B9A"/>
    <w:rsid w:val="00265DBA"/>
    <w:rsid w:val="00271E7A"/>
    <w:rsid w:val="00274625"/>
    <w:rsid w:val="002748AA"/>
    <w:rsid w:val="00275713"/>
    <w:rsid w:val="00276524"/>
    <w:rsid w:val="0028022D"/>
    <w:rsid w:val="00282599"/>
    <w:rsid w:val="0028417B"/>
    <w:rsid w:val="00286F20"/>
    <w:rsid w:val="0028711A"/>
    <w:rsid w:val="00290083"/>
    <w:rsid w:val="0029092F"/>
    <w:rsid w:val="002922D2"/>
    <w:rsid w:val="00294098"/>
    <w:rsid w:val="00294272"/>
    <w:rsid w:val="0029463D"/>
    <w:rsid w:val="00294FE8"/>
    <w:rsid w:val="0029525C"/>
    <w:rsid w:val="00295873"/>
    <w:rsid w:val="00295F71"/>
    <w:rsid w:val="00296E1F"/>
    <w:rsid w:val="002A0D8A"/>
    <w:rsid w:val="002A1C47"/>
    <w:rsid w:val="002A2D76"/>
    <w:rsid w:val="002B0020"/>
    <w:rsid w:val="002B1165"/>
    <w:rsid w:val="002B1917"/>
    <w:rsid w:val="002B19C5"/>
    <w:rsid w:val="002B1F0C"/>
    <w:rsid w:val="002B4343"/>
    <w:rsid w:val="002B43E1"/>
    <w:rsid w:val="002B4E51"/>
    <w:rsid w:val="002B6F62"/>
    <w:rsid w:val="002B7047"/>
    <w:rsid w:val="002B72E1"/>
    <w:rsid w:val="002C23C8"/>
    <w:rsid w:val="002C32EB"/>
    <w:rsid w:val="002C47F5"/>
    <w:rsid w:val="002C5C83"/>
    <w:rsid w:val="002D1714"/>
    <w:rsid w:val="002D5ABF"/>
    <w:rsid w:val="002D61A8"/>
    <w:rsid w:val="002D6579"/>
    <w:rsid w:val="002E085F"/>
    <w:rsid w:val="002E0B03"/>
    <w:rsid w:val="002E10EC"/>
    <w:rsid w:val="002E1595"/>
    <w:rsid w:val="002E1831"/>
    <w:rsid w:val="002E1B7E"/>
    <w:rsid w:val="002E251B"/>
    <w:rsid w:val="002E2A41"/>
    <w:rsid w:val="002F1C7B"/>
    <w:rsid w:val="002F3769"/>
    <w:rsid w:val="002F4C4B"/>
    <w:rsid w:val="00301909"/>
    <w:rsid w:val="003030D8"/>
    <w:rsid w:val="003034DF"/>
    <w:rsid w:val="003040B2"/>
    <w:rsid w:val="00305072"/>
    <w:rsid w:val="00305EF7"/>
    <w:rsid w:val="003063C7"/>
    <w:rsid w:val="00306A3B"/>
    <w:rsid w:val="0031120F"/>
    <w:rsid w:val="00312776"/>
    <w:rsid w:val="00314A49"/>
    <w:rsid w:val="003161F8"/>
    <w:rsid w:val="00316542"/>
    <w:rsid w:val="00320C72"/>
    <w:rsid w:val="00321DD1"/>
    <w:rsid w:val="003228C6"/>
    <w:rsid w:val="00322CA8"/>
    <w:rsid w:val="00322E66"/>
    <w:rsid w:val="00323E81"/>
    <w:rsid w:val="00325397"/>
    <w:rsid w:val="003254FC"/>
    <w:rsid w:val="003257AE"/>
    <w:rsid w:val="00327C0A"/>
    <w:rsid w:val="00327D8F"/>
    <w:rsid w:val="00330161"/>
    <w:rsid w:val="00331675"/>
    <w:rsid w:val="00331C84"/>
    <w:rsid w:val="00333B99"/>
    <w:rsid w:val="00340025"/>
    <w:rsid w:val="0034042D"/>
    <w:rsid w:val="00342FF9"/>
    <w:rsid w:val="00345F8B"/>
    <w:rsid w:val="003461FE"/>
    <w:rsid w:val="0034652D"/>
    <w:rsid w:val="00347F36"/>
    <w:rsid w:val="00352195"/>
    <w:rsid w:val="00356995"/>
    <w:rsid w:val="00357C72"/>
    <w:rsid w:val="00360292"/>
    <w:rsid w:val="00361CBE"/>
    <w:rsid w:val="00364152"/>
    <w:rsid w:val="003654F6"/>
    <w:rsid w:val="003656A7"/>
    <w:rsid w:val="00366DBE"/>
    <w:rsid w:val="00371663"/>
    <w:rsid w:val="0037283E"/>
    <w:rsid w:val="00372B9F"/>
    <w:rsid w:val="003734B5"/>
    <w:rsid w:val="00373E8C"/>
    <w:rsid w:val="00375A78"/>
    <w:rsid w:val="00375AE8"/>
    <w:rsid w:val="00375BAF"/>
    <w:rsid w:val="003769C0"/>
    <w:rsid w:val="00377C46"/>
    <w:rsid w:val="00385DF6"/>
    <w:rsid w:val="003867D1"/>
    <w:rsid w:val="003906FF"/>
    <w:rsid w:val="00393F1E"/>
    <w:rsid w:val="00395E4E"/>
    <w:rsid w:val="00395FC8"/>
    <w:rsid w:val="00395FCF"/>
    <w:rsid w:val="003967E6"/>
    <w:rsid w:val="00396894"/>
    <w:rsid w:val="00397DAA"/>
    <w:rsid w:val="003A146B"/>
    <w:rsid w:val="003A223A"/>
    <w:rsid w:val="003A3DDD"/>
    <w:rsid w:val="003A43F2"/>
    <w:rsid w:val="003A6AE5"/>
    <w:rsid w:val="003A6D96"/>
    <w:rsid w:val="003A7043"/>
    <w:rsid w:val="003B5308"/>
    <w:rsid w:val="003B5B62"/>
    <w:rsid w:val="003B5E4E"/>
    <w:rsid w:val="003B6D24"/>
    <w:rsid w:val="003C1C34"/>
    <w:rsid w:val="003C3289"/>
    <w:rsid w:val="003C6CD8"/>
    <w:rsid w:val="003D152D"/>
    <w:rsid w:val="003D157C"/>
    <w:rsid w:val="003D2128"/>
    <w:rsid w:val="003D53D8"/>
    <w:rsid w:val="003D593C"/>
    <w:rsid w:val="003D5CA8"/>
    <w:rsid w:val="003D7538"/>
    <w:rsid w:val="003D7B4A"/>
    <w:rsid w:val="003D7E24"/>
    <w:rsid w:val="003E03ED"/>
    <w:rsid w:val="003E42D3"/>
    <w:rsid w:val="003E7B18"/>
    <w:rsid w:val="003F1ED0"/>
    <w:rsid w:val="003F2B0F"/>
    <w:rsid w:val="003F3038"/>
    <w:rsid w:val="003F460B"/>
    <w:rsid w:val="003F4ED4"/>
    <w:rsid w:val="003F67BE"/>
    <w:rsid w:val="003F7EEF"/>
    <w:rsid w:val="00400879"/>
    <w:rsid w:val="00403100"/>
    <w:rsid w:val="0040530D"/>
    <w:rsid w:val="00406F58"/>
    <w:rsid w:val="00407C1A"/>
    <w:rsid w:val="0041008B"/>
    <w:rsid w:val="0041243F"/>
    <w:rsid w:val="00412A72"/>
    <w:rsid w:val="004132B2"/>
    <w:rsid w:val="00413C1A"/>
    <w:rsid w:val="00414436"/>
    <w:rsid w:val="004209BA"/>
    <w:rsid w:val="00420DB0"/>
    <w:rsid w:val="004212F0"/>
    <w:rsid w:val="0042215A"/>
    <w:rsid w:val="00423269"/>
    <w:rsid w:val="004235BF"/>
    <w:rsid w:val="00423E84"/>
    <w:rsid w:val="00424D08"/>
    <w:rsid w:val="004270B9"/>
    <w:rsid w:val="00427FFA"/>
    <w:rsid w:val="00431D7D"/>
    <w:rsid w:val="00433797"/>
    <w:rsid w:val="00436291"/>
    <w:rsid w:val="00436851"/>
    <w:rsid w:val="00437F5D"/>
    <w:rsid w:val="004414E8"/>
    <w:rsid w:val="00443774"/>
    <w:rsid w:val="00444EA5"/>
    <w:rsid w:val="00444EAF"/>
    <w:rsid w:val="00445C83"/>
    <w:rsid w:val="004465D9"/>
    <w:rsid w:val="00447384"/>
    <w:rsid w:val="00451025"/>
    <w:rsid w:val="004515AB"/>
    <w:rsid w:val="00453D4B"/>
    <w:rsid w:val="00453FC4"/>
    <w:rsid w:val="00454E67"/>
    <w:rsid w:val="004566B3"/>
    <w:rsid w:val="004574B5"/>
    <w:rsid w:val="00462089"/>
    <w:rsid w:val="00464460"/>
    <w:rsid w:val="00465D05"/>
    <w:rsid w:val="00466831"/>
    <w:rsid w:val="00470491"/>
    <w:rsid w:val="00471178"/>
    <w:rsid w:val="00471A23"/>
    <w:rsid w:val="00471C51"/>
    <w:rsid w:val="00471D11"/>
    <w:rsid w:val="00472A30"/>
    <w:rsid w:val="00472BB6"/>
    <w:rsid w:val="00472CEF"/>
    <w:rsid w:val="00473CB8"/>
    <w:rsid w:val="004740CA"/>
    <w:rsid w:val="00474FED"/>
    <w:rsid w:val="00476C54"/>
    <w:rsid w:val="00477C72"/>
    <w:rsid w:val="004800AB"/>
    <w:rsid w:val="004801AB"/>
    <w:rsid w:val="00480E15"/>
    <w:rsid w:val="00483B93"/>
    <w:rsid w:val="00486B59"/>
    <w:rsid w:val="00487301"/>
    <w:rsid w:val="0049555C"/>
    <w:rsid w:val="00495DF8"/>
    <w:rsid w:val="00496D8B"/>
    <w:rsid w:val="00497E89"/>
    <w:rsid w:val="004A119E"/>
    <w:rsid w:val="004A1613"/>
    <w:rsid w:val="004A1E52"/>
    <w:rsid w:val="004A2861"/>
    <w:rsid w:val="004B19D0"/>
    <w:rsid w:val="004B3CEF"/>
    <w:rsid w:val="004B4CCA"/>
    <w:rsid w:val="004B4D0D"/>
    <w:rsid w:val="004B5D6F"/>
    <w:rsid w:val="004B6742"/>
    <w:rsid w:val="004B6AEF"/>
    <w:rsid w:val="004B6AF5"/>
    <w:rsid w:val="004B6F4A"/>
    <w:rsid w:val="004C43DD"/>
    <w:rsid w:val="004C50CE"/>
    <w:rsid w:val="004C5901"/>
    <w:rsid w:val="004C5DDA"/>
    <w:rsid w:val="004C6014"/>
    <w:rsid w:val="004C62D3"/>
    <w:rsid w:val="004C76B4"/>
    <w:rsid w:val="004D0C4F"/>
    <w:rsid w:val="004D1007"/>
    <w:rsid w:val="004D139D"/>
    <w:rsid w:val="004D18C3"/>
    <w:rsid w:val="004D4921"/>
    <w:rsid w:val="004D49B5"/>
    <w:rsid w:val="004D6816"/>
    <w:rsid w:val="004E2B97"/>
    <w:rsid w:val="004E442F"/>
    <w:rsid w:val="004E46DB"/>
    <w:rsid w:val="004E578E"/>
    <w:rsid w:val="004F191F"/>
    <w:rsid w:val="004F2DD3"/>
    <w:rsid w:val="004F4567"/>
    <w:rsid w:val="004F5D8F"/>
    <w:rsid w:val="004F7BCE"/>
    <w:rsid w:val="00500028"/>
    <w:rsid w:val="005031CD"/>
    <w:rsid w:val="00506E3E"/>
    <w:rsid w:val="00507A7B"/>
    <w:rsid w:val="00507DBA"/>
    <w:rsid w:val="00511142"/>
    <w:rsid w:val="005133CB"/>
    <w:rsid w:val="0051416A"/>
    <w:rsid w:val="005144A9"/>
    <w:rsid w:val="00516559"/>
    <w:rsid w:val="005207F0"/>
    <w:rsid w:val="00520BFB"/>
    <w:rsid w:val="0052229A"/>
    <w:rsid w:val="0052368C"/>
    <w:rsid w:val="00524D62"/>
    <w:rsid w:val="00525C26"/>
    <w:rsid w:val="00526784"/>
    <w:rsid w:val="005310D3"/>
    <w:rsid w:val="0053364F"/>
    <w:rsid w:val="005341F1"/>
    <w:rsid w:val="00534E65"/>
    <w:rsid w:val="00537119"/>
    <w:rsid w:val="00537284"/>
    <w:rsid w:val="00540A6E"/>
    <w:rsid w:val="00540DF6"/>
    <w:rsid w:val="00541748"/>
    <w:rsid w:val="00542251"/>
    <w:rsid w:val="00542521"/>
    <w:rsid w:val="00543145"/>
    <w:rsid w:val="00543D99"/>
    <w:rsid w:val="00543E8E"/>
    <w:rsid w:val="005444F3"/>
    <w:rsid w:val="00544DB0"/>
    <w:rsid w:val="0054553B"/>
    <w:rsid w:val="005469B6"/>
    <w:rsid w:val="00547A81"/>
    <w:rsid w:val="00552612"/>
    <w:rsid w:val="005528A6"/>
    <w:rsid w:val="005543BC"/>
    <w:rsid w:val="005557A7"/>
    <w:rsid w:val="0055636B"/>
    <w:rsid w:val="005573A5"/>
    <w:rsid w:val="00561C5D"/>
    <w:rsid w:val="005641D0"/>
    <w:rsid w:val="0056783C"/>
    <w:rsid w:val="005714EA"/>
    <w:rsid w:val="00571B5D"/>
    <w:rsid w:val="00573A59"/>
    <w:rsid w:val="0057590F"/>
    <w:rsid w:val="00576836"/>
    <w:rsid w:val="005768DB"/>
    <w:rsid w:val="00577139"/>
    <w:rsid w:val="005775C9"/>
    <w:rsid w:val="005813E0"/>
    <w:rsid w:val="005838E2"/>
    <w:rsid w:val="00583FB1"/>
    <w:rsid w:val="00584D1A"/>
    <w:rsid w:val="00592E0D"/>
    <w:rsid w:val="00593048"/>
    <w:rsid w:val="0059520C"/>
    <w:rsid w:val="00596250"/>
    <w:rsid w:val="00596AF2"/>
    <w:rsid w:val="00597325"/>
    <w:rsid w:val="005973BE"/>
    <w:rsid w:val="00597CC3"/>
    <w:rsid w:val="005A0E3B"/>
    <w:rsid w:val="005A0E63"/>
    <w:rsid w:val="005A19A5"/>
    <w:rsid w:val="005A2AB2"/>
    <w:rsid w:val="005A35F9"/>
    <w:rsid w:val="005A3A46"/>
    <w:rsid w:val="005A3ADD"/>
    <w:rsid w:val="005A408D"/>
    <w:rsid w:val="005A4C35"/>
    <w:rsid w:val="005A58F4"/>
    <w:rsid w:val="005A5994"/>
    <w:rsid w:val="005A5A18"/>
    <w:rsid w:val="005A6751"/>
    <w:rsid w:val="005A6DE0"/>
    <w:rsid w:val="005A7AF5"/>
    <w:rsid w:val="005B0F6F"/>
    <w:rsid w:val="005B1281"/>
    <w:rsid w:val="005B327A"/>
    <w:rsid w:val="005B395C"/>
    <w:rsid w:val="005B6633"/>
    <w:rsid w:val="005C10EE"/>
    <w:rsid w:val="005C195E"/>
    <w:rsid w:val="005C3582"/>
    <w:rsid w:val="005C4255"/>
    <w:rsid w:val="005C46A1"/>
    <w:rsid w:val="005C6711"/>
    <w:rsid w:val="005D11BF"/>
    <w:rsid w:val="005D267F"/>
    <w:rsid w:val="005D42D6"/>
    <w:rsid w:val="005D68E6"/>
    <w:rsid w:val="005D6F7E"/>
    <w:rsid w:val="005D7906"/>
    <w:rsid w:val="005E1133"/>
    <w:rsid w:val="005E4432"/>
    <w:rsid w:val="005E5E8D"/>
    <w:rsid w:val="005E646B"/>
    <w:rsid w:val="005F0526"/>
    <w:rsid w:val="005F0A2B"/>
    <w:rsid w:val="005F1D77"/>
    <w:rsid w:val="005F2947"/>
    <w:rsid w:val="005F2D3C"/>
    <w:rsid w:val="005F2E73"/>
    <w:rsid w:val="005F37DE"/>
    <w:rsid w:val="005F7E62"/>
    <w:rsid w:val="006001CC"/>
    <w:rsid w:val="006019C3"/>
    <w:rsid w:val="00601A3C"/>
    <w:rsid w:val="00601EF0"/>
    <w:rsid w:val="00601F18"/>
    <w:rsid w:val="00601F4E"/>
    <w:rsid w:val="00602E77"/>
    <w:rsid w:val="00604D72"/>
    <w:rsid w:val="00605FA0"/>
    <w:rsid w:val="00606AAE"/>
    <w:rsid w:val="00607935"/>
    <w:rsid w:val="00607969"/>
    <w:rsid w:val="0061166B"/>
    <w:rsid w:val="006121F8"/>
    <w:rsid w:val="006126D5"/>
    <w:rsid w:val="006135D4"/>
    <w:rsid w:val="006148F1"/>
    <w:rsid w:val="00615282"/>
    <w:rsid w:val="006213E9"/>
    <w:rsid w:val="006217F1"/>
    <w:rsid w:val="0062197F"/>
    <w:rsid w:val="0062266C"/>
    <w:rsid w:val="006244A5"/>
    <w:rsid w:val="006308BE"/>
    <w:rsid w:val="006356D6"/>
    <w:rsid w:val="00635DB0"/>
    <w:rsid w:val="00644012"/>
    <w:rsid w:val="00645656"/>
    <w:rsid w:val="00645A64"/>
    <w:rsid w:val="0064690C"/>
    <w:rsid w:val="006471E0"/>
    <w:rsid w:val="006518B6"/>
    <w:rsid w:val="00652493"/>
    <w:rsid w:val="0065367F"/>
    <w:rsid w:val="00653AE9"/>
    <w:rsid w:val="0065435A"/>
    <w:rsid w:val="0065553C"/>
    <w:rsid w:val="00655E38"/>
    <w:rsid w:val="006564C5"/>
    <w:rsid w:val="006568A7"/>
    <w:rsid w:val="00662D13"/>
    <w:rsid w:val="0066655D"/>
    <w:rsid w:val="006669A7"/>
    <w:rsid w:val="00666F87"/>
    <w:rsid w:val="00667B64"/>
    <w:rsid w:val="00672CD1"/>
    <w:rsid w:val="00672EE3"/>
    <w:rsid w:val="006757A3"/>
    <w:rsid w:val="0067599A"/>
    <w:rsid w:val="00676545"/>
    <w:rsid w:val="00677F5D"/>
    <w:rsid w:val="006809B7"/>
    <w:rsid w:val="006827CD"/>
    <w:rsid w:val="00682CBA"/>
    <w:rsid w:val="00682EBA"/>
    <w:rsid w:val="00684C95"/>
    <w:rsid w:val="00685177"/>
    <w:rsid w:val="00686FEF"/>
    <w:rsid w:val="006902D8"/>
    <w:rsid w:val="0069356C"/>
    <w:rsid w:val="00693977"/>
    <w:rsid w:val="0069513F"/>
    <w:rsid w:val="0069520B"/>
    <w:rsid w:val="006954F3"/>
    <w:rsid w:val="006A1C9E"/>
    <w:rsid w:val="006A30CA"/>
    <w:rsid w:val="006A32A9"/>
    <w:rsid w:val="006A3868"/>
    <w:rsid w:val="006A441B"/>
    <w:rsid w:val="006A7A4D"/>
    <w:rsid w:val="006B3961"/>
    <w:rsid w:val="006B3A5B"/>
    <w:rsid w:val="006B428F"/>
    <w:rsid w:val="006B49F5"/>
    <w:rsid w:val="006B7C95"/>
    <w:rsid w:val="006C0AD0"/>
    <w:rsid w:val="006C0B40"/>
    <w:rsid w:val="006C6681"/>
    <w:rsid w:val="006C6D8B"/>
    <w:rsid w:val="006D0A67"/>
    <w:rsid w:val="006D1346"/>
    <w:rsid w:val="006D2ECC"/>
    <w:rsid w:val="006D3AD2"/>
    <w:rsid w:val="006D5BDF"/>
    <w:rsid w:val="006E0950"/>
    <w:rsid w:val="006E1036"/>
    <w:rsid w:val="006E32A4"/>
    <w:rsid w:val="006E356E"/>
    <w:rsid w:val="006E4C10"/>
    <w:rsid w:val="006E5308"/>
    <w:rsid w:val="006E5EAA"/>
    <w:rsid w:val="006E6BC8"/>
    <w:rsid w:val="006F00CE"/>
    <w:rsid w:val="006F15E1"/>
    <w:rsid w:val="006F2E28"/>
    <w:rsid w:val="006F36E0"/>
    <w:rsid w:val="006F7998"/>
    <w:rsid w:val="0070006C"/>
    <w:rsid w:val="007001C7"/>
    <w:rsid w:val="00700700"/>
    <w:rsid w:val="00700FE6"/>
    <w:rsid w:val="007017BF"/>
    <w:rsid w:val="00701BF7"/>
    <w:rsid w:val="00702959"/>
    <w:rsid w:val="0070398B"/>
    <w:rsid w:val="00713EFC"/>
    <w:rsid w:val="0071545D"/>
    <w:rsid w:val="00715C27"/>
    <w:rsid w:val="00715F65"/>
    <w:rsid w:val="00716932"/>
    <w:rsid w:val="00717EFF"/>
    <w:rsid w:val="0072036A"/>
    <w:rsid w:val="00721F1B"/>
    <w:rsid w:val="0072206F"/>
    <w:rsid w:val="007235CC"/>
    <w:rsid w:val="00723D15"/>
    <w:rsid w:val="00723D22"/>
    <w:rsid w:val="00723F24"/>
    <w:rsid w:val="0072624A"/>
    <w:rsid w:val="00730F58"/>
    <w:rsid w:val="00731B68"/>
    <w:rsid w:val="007342AA"/>
    <w:rsid w:val="00734EF6"/>
    <w:rsid w:val="007371EB"/>
    <w:rsid w:val="00743CEC"/>
    <w:rsid w:val="00746535"/>
    <w:rsid w:val="00746FCE"/>
    <w:rsid w:val="00747A29"/>
    <w:rsid w:val="00747DAA"/>
    <w:rsid w:val="0075072E"/>
    <w:rsid w:val="00751024"/>
    <w:rsid w:val="00752CEA"/>
    <w:rsid w:val="0075417A"/>
    <w:rsid w:val="00754270"/>
    <w:rsid w:val="0075757E"/>
    <w:rsid w:val="00757974"/>
    <w:rsid w:val="0076168D"/>
    <w:rsid w:val="00762512"/>
    <w:rsid w:val="007639A0"/>
    <w:rsid w:val="00763DB3"/>
    <w:rsid w:val="007640B7"/>
    <w:rsid w:val="00764279"/>
    <w:rsid w:val="007655ED"/>
    <w:rsid w:val="00766E89"/>
    <w:rsid w:val="00767C3A"/>
    <w:rsid w:val="00767DF7"/>
    <w:rsid w:val="00767E12"/>
    <w:rsid w:val="00772B59"/>
    <w:rsid w:val="00774CCC"/>
    <w:rsid w:val="00774CDE"/>
    <w:rsid w:val="00776D76"/>
    <w:rsid w:val="00776EF6"/>
    <w:rsid w:val="00777A40"/>
    <w:rsid w:val="0078268A"/>
    <w:rsid w:val="00783258"/>
    <w:rsid w:val="00783FE2"/>
    <w:rsid w:val="007847D0"/>
    <w:rsid w:val="00784E8D"/>
    <w:rsid w:val="00787547"/>
    <w:rsid w:val="00790FEB"/>
    <w:rsid w:val="007917E9"/>
    <w:rsid w:val="0079246E"/>
    <w:rsid w:val="007941FA"/>
    <w:rsid w:val="007970A8"/>
    <w:rsid w:val="007A07BB"/>
    <w:rsid w:val="007A5FCC"/>
    <w:rsid w:val="007A6019"/>
    <w:rsid w:val="007A63A4"/>
    <w:rsid w:val="007A7CDE"/>
    <w:rsid w:val="007B01E8"/>
    <w:rsid w:val="007B11BA"/>
    <w:rsid w:val="007B185D"/>
    <w:rsid w:val="007B516D"/>
    <w:rsid w:val="007C1A8D"/>
    <w:rsid w:val="007C1D10"/>
    <w:rsid w:val="007C1D9C"/>
    <w:rsid w:val="007C2391"/>
    <w:rsid w:val="007C2D6A"/>
    <w:rsid w:val="007C454E"/>
    <w:rsid w:val="007C4836"/>
    <w:rsid w:val="007C4D44"/>
    <w:rsid w:val="007C6038"/>
    <w:rsid w:val="007D3256"/>
    <w:rsid w:val="007D3687"/>
    <w:rsid w:val="007D3895"/>
    <w:rsid w:val="007D6B18"/>
    <w:rsid w:val="007D7B8B"/>
    <w:rsid w:val="007E2C79"/>
    <w:rsid w:val="007E3971"/>
    <w:rsid w:val="007E6549"/>
    <w:rsid w:val="007E68E4"/>
    <w:rsid w:val="007F04E1"/>
    <w:rsid w:val="007F1461"/>
    <w:rsid w:val="007F2630"/>
    <w:rsid w:val="007F28AE"/>
    <w:rsid w:val="007F41E5"/>
    <w:rsid w:val="007F49A5"/>
    <w:rsid w:val="007F4E67"/>
    <w:rsid w:val="007F5630"/>
    <w:rsid w:val="0080202B"/>
    <w:rsid w:val="0080209D"/>
    <w:rsid w:val="008054B9"/>
    <w:rsid w:val="00805EFF"/>
    <w:rsid w:val="00807D75"/>
    <w:rsid w:val="0081277A"/>
    <w:rsid w:val="00812CB0"/>
    <w:rsid w:val="008138A8"/>
    <w:rsid w:val="00813FAA"/>
    <w:rsid w:val="00814276"/>
    <w:rsid w:val="00814F97"/>
    <w:rsid w:val="008162CC"/>
    <w:rsid w:val="0081746B"/>
    <w:rsid w:val="00820E81"/>
    <w:rsid w:val="00822DBB"/>
    <w:rsid w:val="00822E71"/>
    <w:rsid w:val="00824305"/>
    <w:rsid w:val="0082455E"/>
    <w:rsid w:val="00824FB6"/>
    <w:rsid w:val="00825498"/>
    <w:rsid w:val="00825986"/>
    <w:rsid w:val="008263A6"/>
    <w:rsid w:val="00826A02"/>
    <w:rsid w:val="008337C0"/>
    <w:rsid w:val="008359E9"/>
    <w:rsid w:val="00836594"/>
    <w:rsid w:val="008452B5"/>
    <w:rsid w:val="0085019E"/>
    <w:rsid w:val="00852485"/>
    <w:rsid w:val="00852A9F"/>
    <w:rsid w:val="00852C7A"/>
    <w:rsid w:val="00853483"/>
    <w:rsid w:val="00854B2A"/>
    <w:rsid w:val="00854D1E"/>
    <w:rsid w:val="00856372"/>
    <w:rsid w:val="00857B50"/>
    <w:rsid w:val="00857FA9"/>
    <w:rsid w:val="00860128"/>
    <w:rsid w:val="0086251B"/>
    <w:rsid w:val="0086269E"/>
    <w:rsid w:val="00864829"/>
    <w:rsid w:val="0086558D"/>
    <w:rsid w:val="008662ED"/>
    <w:rsid w:val="008666B8"/>
    <w:rsid w:val="0087390D"/>
    <w:rsid w:val="00874C32"/>
    <w:rsid w:val="00875D4D"/>
    <w:rsid w:val="00875DD0"/>
    <w:rsid w:val="0088626A"/>
    <w:rsid w:val="0088711E"/>
    <w:rsid w:val="00887F94"/>
    <w:rsid w:val="008910DB"/>
    <w:rsid w:val="00891AD6"/>
    <w:rsid w:val="00891B14"/>
    <w:rsid w:val="0089387F"/>
    <w:rsid w:val="008A2B6A"/>
    <w:rsid w:val="008A34AD"/>
    <w:rsid w:val="008A4ABC"/>
    <w:rsid w:val="008A6315"/>
    <w:rsid w:val="008A74F6"/>
    <w:rsid w:val="008A7E29"/>
    <w:rsid w:val="008B0B42"/>
    <w:rsid w:val="008B37C7"/>
    <w:rsid w:val="008B516D"/>
    <w:rsid w:val="008B56A6"/>
    <w:rsid w:val="008B5F2A"/>
    <w:rsid w:val="008C1D7F"/>
    <w:rsid w:val="008C25AB"/>
    <w:rsid w:val="008C298F"/>
    <w:rsid w:val="008C3AB2"/>
    <w:rsid w:val="008D0C43"/>
    <w:rsid w:val="008D11D5"/>
    <w:rsid w:val="008D374E"/>
    <w:rsid w:val="008D4079"/>
    <w:rsid w:val="008D5BAE"/>
    <w:rsid w:val="008D61EB"/>
    <w:rsid w:val="008D734C"/>
    <w:rsid w:val="008D7D73"/>
    <w:rsid w:val="008E0242"/>
    <w:rsid w:val="008E179D"/>
    <w:rsid w:val="008E4575"/>
    <w:rsid w:val="008F00EC"/>
    <w:rsid w:val="008F1755"/>
    <w:rsid w:val="008F2241"/>
    <w:rsid w:val="008F258D"/>
    <w:rsid w:val="008F2A5D"/>
    <w:rsid w:val="008F33FD"/>
    <w:rsid w:val="008F518D"/>
    <w:rsid w:val="008F581A"/>
    <w:rsid w:val="008F5E1E"/>
    <w:rsid w:val="008F7471"/>
    <w:rsid w:val="008F79EE"/>
    <w:rsid w:val="00900927"/>
    <w:rsid w:val="0090206B"/>
    <w:rsid w:val="00902770"/>
    <w:rsid w:val="0090394C"/>
    <w:rsid w:val="009050BA"/>
    <w:rsid w:val="009064B3"/>
    <w:rsid w:val="00910503"/>
    <w:rsid w:val="0091188E"/>
    <w:rsid w:val="00912D4A"/>
    <w:rsid w:val="0091366F"/>
    <w:rsid w:val="00920898"/>
    <w:rsid w:val="00921645"/>
    <w:rsid w:val="00921AE6"/>
    <w:rsid w:val="00923849"/>
    <w:rsid w:val="009243DD"/>
    <w:rsid w:val="0092533A"/>
    <w:rsid w:val="00931835"/>
    <w:rsid w:val="009349E8"/>
    <w:rsid w:val="00935AC3"/>
    <w:rsid w:val="00936E7E"/>
    <w:rsid w:val="00940BF8"/>
    <w:rsid w:val="00946C0B"/>
    <w:rsid w:val="009541BF"/>
    <w:rsid w:val="009546DE"/>
    <w:rsid w:val="00954DD9"/>
    <w:rsid w:val="0096064F"/>
    <w:rsid w:val="00960F5A"/>
    <w:rsid w:val="009617C9"/>
    <w:rsid w:val="00962AD6"/>
    <w:rsid w:val="009665DE"/>
    <w:rsid w:val="00966671"/>
    <w:rsid w:val="009666E8"/>
    <w:rsid w:val="00967477"/>
    <w:rsid w:val="00967CD4"/>
    <w:rsid w:val="00967FFA"/>
    <w:rsid w:val="0097026E"/>
    <w:rsid w:val="0097270A"/>
    <w:rsid w:val="00972AC0"/>
    <w:rsid w:val="009733E1"/>
    <w:rsid w:val="00974429"/>
    <w:rsid w:val="009759F8"/>
    <w:rsid w:val="00975B9B"/>
    <w:rsid w:val="0097757F"/>
    <w:rsid w:val="00981CE2"/>
    <w:rsid w:val="0098213F"/>
    <w:rsid w:val="009824EB"/>
    <w:rsid w:val="00986161"/>
    <w:rsid w:val="0098684C"/>
    <w:rsid w:val="00990389"/>
    <w:rsid w:val="0099120B"/>
    <w:rsid w:val="00991654"/>
    <w:rsid w:val="00991A08"/>
    <w:rsid w:val="0099584F"/>
    <w:rsid w:val="009963D0"/>
    <w:rsid w:val="009970FD"/>
    <w:rsid w:val="009A0E96"/>
    <w:rsid w:val="009A30BD"/>
    <w:rsid w:val="009A3128"/>
    <w:rsid w:val="009A4C14"/>
    <w:rsid w:val="009A619F"/>
    <w:rsid w:val="009B03DA"/>
    <w:rsid w:val="009B0D23"/>
    <w:rsid w:val="009B5BFC"/>
    <w:rsid w:val="009B6DA3"/>
    <w:rsid w:val="009C2300"/>
    <w:rsid w:val="009C26DB"/>
    <w:rsid w:val="009C36BE"/>
    <w:rsid w:val="009D4067"/>
    <w:rsid w:val="009D431A"/>
    <w:rsid w:val="009D76EC"/>
    <w:rsid w:val="009E2578"/>
    <w:rsid w:val="009E2CFC"/>
    <w:rsid w:val="009E3019"/>
    <w:rsid w:val="009E3825"/>
    <w:rsid w:val="009E4120"/>
    <w:rsid w:val="009E41ED"/>
    <w:rsid w:val="009E44DE"/>
    <w:rsid w:val="009E5116"/>
    <w:rsid w:val="009E5B46"/>
    <w:rsid w:val="009E6B64"/>
    <w:rsid w:val="009F11EF"/>
    <w:rsid w:val="009F4BC6"/>
    <w:rsid w:val="00A0113A"/>
    <w:rsid w:val="00A019F4"/>
    <w:rsid w:val="00A032D0"/>
    <w:rsid w:val="00A03935"/>
    <w:rsid w:val="00A039E5"/>
    <w:rsid w:val="00A04304"/>
    <w:rsid w:val="00A06D04"/>
    <w:rsid w:val="00A072C0"/>
    <w:rsid w:val="00A12617"/>
    <w:rsid w:val="00A13ADE"/>
    <w:rsid w:val="00A13F7A"/>
    <w:rsid w:val="00A14545"/>
    <w:rsid w:val="00A16859"/>
    <w:rsid w:val="00A16F9A"/>
    <w:rsid w:val="00A17FD6"/>
    <w:rsid w:val="00A27CD4"/>
    <w:rsid w:val="00A30826"/>
    <w:rsid w:val="00A3207A"/>
    <w:rsid w:val="00A322DE"/>
    <w:rsid w:val="00A32D37"/>
    <w:rsid w:val="00A3322A"/>
    <w:rsid w:val="00A33339"/>
    <w:rsid w:val="00A35166"/>
    <w:rsid w:val="00A355A8"/>
    <w:rsid w:val="00A400FD"/>
    <w:rsid w:val="00A41462"/>
    <w:rsid w:val="00A417C6"/>
    <w:rsid w:val="00A4565C"/>
    <w:rsid w:val="00A45688"/>
    <w:rsid w:val="00A517B5"/>
    <w:rsid w:val="00A52087"/>
    <w:rsid w:val="00A535D8"/>
    <w:rsid w:val="00A53C3D"/>
    <w:rsid w:val="00A54F13"/>
    <w:rsid w:val="00A55619"/>
    <w:rsid w:val="00A60A41"/>
    <w:rsid w:val="00A619C6"/>
    <w:rsid w:val="00A628C4"/>
    <w:rsid w:val="00A62D78"/>
    <w:rsid w:val="00A63835"/>
    <w:rsid w:val="00A64405"/>
    <w:rsid w:val="00A644AF"/>
    <w:rsid w:val="00A70138"/>
    <w:rsid w:val="00A707AD"/>
    <w:rsid w:val="00A71253"/>
    <w:rsid w:val="00A72DC4"/>
    <w:rsid w:val="00A72EF6"/>
    <w:rsid w:val="00A746AB"/>
    <w:rsid w:val="00A775C9"/>
    <w:rsid w:val="00A7780A"/>
    <w:rsid w:val="00A80663"/>
    <w:rsid w:val="00A80D8A"/>
    <w:rsid w:val="00A8335D"/>
    <w:rsid w:val="00A839CE"/>
    <w:rsid w:val="00A83C1D"/>
    <w:rsid w:val="00A855B1"/>
    <w:rsid w:val="00A901AA"/>
    <w:rsid w:val="00A923E6"/>
    <w:rsid w:val="00A93E54"/>
    <w:rsid w:val="00A93EDF"/>
    <w:rsid w:val="00A95D3F"/>
    <w:rsid w:val="00A96C0A"/>
    <w:rsid w:val="00AA0A99"/>
    <w:rsid w:val="00AA0EC9"/>
    <w:rsid w:val="00AA3C01"/>
    <w:rsid w:val="00AA3EF8"/>
    <w:rsid w:val="00AA6FE7"/>
    <w:rsid w:val="00AB62D1"/>
    <w:rsid w:val="00AC0FEF"/>
    <w:rsid w:val="00AC18ED"/>
    <w:rsid w:val="00AC372B"/>
    <w:rsid w:val="00AC3849"/>
    <w:rsid w:val="00AC5B5B"/>
    <w:rsid w:val="00AC5E63"/>
    <w:rsid w:val="00AC6D07"/>
    <w:rsid w:val="00AD0208"/>
    <w:rsid w:val="00AD0FAB"/>
    <w:rsid w:val="00AD139B"/>
    <w:rsid w:val="00AD1BCD"/>
    <w:rsid w:val="00AD3054"/>
    <w:rsid w:val="00AE14AE"/>
    <w:rsid w:val="00AE2DB7"/>
    <w:rsid w:val="00AE321B"/>
    <w:rsid w:val="00AE3FB6"/>
    <w:rsid w:val="00AE4F22"/>
    <w:rsid w:val="00AE5728"/>
    <w:rsid w:val="00AE5782"/>
    <w:rsid w:val="00AF18E5"/>
    <w:rsid w:val="00AF212E"/>
    <w:rsid w:val="00AF29F0"/>
    <w:rsid w:val="00AF2B7A"/>
    <w:rsid w:val="00AF3DA4"/>
    <w:rsid w:val="00AF71DA"/>
    <w:rsid w:val="00B01DC6"/>
    <w:rsid w:val="00B024BB"/>
    <w:rsid w:val="00B02F0F"/>
    <w:rsid w:val="00B036DD"/>
    <w:rsid w:val="00B03906"/>
    <w:rsid w:val="00B0454C"/>
    <w:rsid w:val="00B04684"/>
    <w:rsid w:val="00B05A20"/>
    <w:rsid w:val="00B05FDD"/>
    <w:rsid w:val="00B1064E"/>
    <w:rsid w:val="00B10BE4"/>
    <w:rsid w:val="00B128DD"/>
    <w:rsid w:val="00B20CA0"/>
    <w:rsid w:val="00B21B42"/>
    <w:rsid w:val="00B25B02"/>
    <w:rsid w:val="00B26410"/>
    <w:rsid w:val="00B2719E"/>
    <w:rsid w:val="00B279ED"/>
    <w:rsid w:val="00B304C9"/>
    <w:rsid w:val="00B320C7"/>
    <w:rsid w:val="00B4149C"/>
    <w:rsid w:val="00B414D1"/>
    <w:rsid w:val="00B420FB"/>
    <w:rsid w:val="00B42C31"/>
    <w:rsid w:val="00B43114"/>
    <w:rsid w:val="00B44311"/>
    <w:rsid w:val="00B45FBF"/>
    <w:rsid w:val="00B53408"/>
    <w:rsid w:val="00B53AF2"/>
    <w:rsid w:val="00B570F5"/>
    <w:rsid w:val="00B61909"/>
    <w:rsid w:val="00B619ED"/>
    <w:rsid w:val="00B62F04"/>
    <w:rsid w:val="00B64488"/>
    <w:rsid w:val="00B65075"/>
    <w:rsid w:val="00B66F29"/>
    <w:rsid w:val="00B706A0"/>
    <w:rsid w:val="00B7158D"/>
    <w:rsid w:val="00B72027"/>
    <w:rsid w:val="00B7324A"/>
    <w:rsid w:val="00B73FFE"/>
    <w:rsid w:val="00B74457"/>
    <w:rsid w:val="00B7652E"/>
    <w:rsid w:val="00B80C03"/>
    <w:rsid w:val="00B82E10"/>
    <w:rsid w:val="00B876F2"/>
    <w:rsid w:val="00B87780"/>
    <w:rsid w:val="00B87BBD"/>
    <w:rsid w:val="00B906BA"/>
    <w:rsid w:val="00B92AF3"/>
    <w:rsid w:val="00B96F37"/>
    <w:rsid w:val="00BA10A4"/>
    <w:rsid w:val="00BA1846"/>
    <w:rsid w:val="00BA53A0"/>
    <w:rsid w:val="00BA5BED"/>
    <w:rsid w:val="00BB1CB4"/>
    <w:rsid w:val="00BB25CB"/>
    <w:rsid w:val="00BB364B"/>
    <w:rsid w:val="00BB3F75"/>
    <w:rsid w:val="00BB48F2"/>
    <w:rsid w:val="00BB69CD"/>
    <w:rsid w:val="00BB7877"/>
    <w:rsid w:val="00BB7A4B"/>
    <w:rsid w:val="00BB7D35"/>
    <w:rsid w:val="00BC04D3"/>
    <w:rsid w:val="00BC1379"/>
    <w:rsid w:val="00BC1D84"/>
    <w:rsid w:val="00BC2A49"/>
    <w:rsid w:val="00BC2E8A"/>
    <w:rsid w:val="00BC2F13"/>
    <w:rsid w:val="00BC4A9F"/>
    <w:rsid w:val="00BC7B65"/>
    <w:rsid w:val="00BD30BB"/>
    <w:rsid w:val="00BD3DBA"/>
    <w:rsid w:val="00BD4E43"/>
    <w:rsid w:val="00BD6927"/>
    <w:rsid w:val="00BD7291"/>
    <w:rsid w:val="00BE417D"/>
    <w:rsid w:val="00BE42C8"/>
    <w:rsid w:val="00BE685A"/>
    <w:rsid w:val="00BE6F79"/>
    <w:rsid w:val="00BE7D58"/>
    <w:rsid w:val="00BF1D32"/>
    <w:rsid w:val="00BF4E6B"/>
    <w:rsid w:val="00BF69D9"/>
    <w:rsid w:val="00C02990"/>
    <w:rsid w:val="00C0492E"/>
    <w:rsid w:val="00C0522B"/>
    <w:rsid w:val="00C058D9"/>
    <w:rsid w:val="00C05D40"/>
    <w:rsid w:val="00C06508"/>
    <w:rsid w:val="00C069FD"/>
    <w:rsid w:val="00C06B27"/>
    <w:rsid w:val="00C07DEE"/>
    <w:rsid w:val="00C07ED1"/>
    <w:rsid w:val="00C10506"/>
    <w:rsid w:val="00C107AA"/>
    <w:rsid w:val="00C11D03"/>
    <w:rsid w:val="00C1333B"/>
    <w:rsid w:val="00C154C1"/>
    <w:rsid w:val="00C214D5"/>
    <w:rsid w:val="00C2269D"/>
    <w:rsid w:val="00C22A47"/>
    <w:rsid w:val="00C260EA"/>
    <w:rsid w:val="00C309D0"/>
    <w:rsid w:val="00C31FB2"/>
    <w:rsid w:val="00C31FC2"/>
    <w:rsid w:val="00C325F3"/>
    <w:rsid w:val="00C337D9"/>
    <w:rsid w:val="00C35EBA"/>
    <w:rsid w:val="00C360D4"/>
    <w:rsid w:val="00C37954"/>
    <w:rsid w:val="00C42340"/>
    <w:rsid w:val="00C429AB"/>
    <w:rsid w:val="00C438B9"/>
    <w:rsid w:val="00C4410F"/>
    <w:rsid w:val="00C44AFE"/>
    <w:rsid w:val="00C462F3"/>
    <w:rsid w:val="00C4689B"/>
    <w:rsid w:val="00C46DB6"/>
    <w:rsid w:val="00C47847"/>
    <w:rsid w:val="00C500E6"/>
    <w:rsid w:val="00C50D08"/>
    <w:rsid w:val="00C526D1"/>
    <w:rsid w:val="00C53C10"/>
    <w:rsid w:val="00C56168"/>
    <w:rsid w:val="00C5663D"/>
    <w:rsid w:val="00C643E9"/>
    <w:rsid w:val="00C67049"/>
    <w:rsid w:val="00C71120"/>
    <w:rsid w:val="00C7195F"/>
    <w:rsid w:val="00C71A84"/>
    <w:rsid w:val="00C72A72"/>
    <w:rsid w:val="00C736CC"/>
    <w:rsid w:val="00C75D95"/>
    <w:rsid w:val="00C80F6A"/>
    <w:rsid w:val="00C82393"/>
    <w:rsid w:val="00C843B6"/>
    <w:rsid w:val="00C84C04"/>
    <w:rsid w:val="00C86DF6"/>
    <w:rsid w:val="00C874FD"/>
    <w:rsid w:val="00C878B8"/>
    <w:rsid w:val="00C879F0"/>
    <w:rsid w:val="00C90D50"/>
    <w:rsid w:val="00C91A32"/>
    <w:rsid w:val="00C92DFC"/>
    <w:rsid w:val="00C94061"/>
    <w:rsid w:val="00C96A58"/>
    <w:rsid w:val="00C96F05"/>
    <w:rsid w:val="00C973C5"/>
    <w:rsid w:val="00CA175C"/>
    <w:rsid w:val="00CA3196"/>
    <w:rsid w:val="00CA534F"/>
    <w:rsid w:val="00CA7D90"/>
    <w:rsid w:val="00CB19C4"/>
    <w:rsid w:val="00CB2753"/>
    <w:rsid w:val="00CB39BA"/>
    <w:rsid w:val="00CB7722"/>
    <w:rsid w:val="00CD0E05"/>
    <w:rsid w:val="00CD1076"/>
    <w:rsid w:val="00CD1EDB"/>
    <w:rsid w:val="00CD2488"/>
    <w:rsid w:val="00CD3D7A"/>
    <w:rsid w:val="00CD3D98"/>
    <w:rsid w:val="00CD4BA7"/>
    <w:rsid w:val="00CD6AC9"/>
    <w:rsid w:val="00CE0D5A"/>
    <w:rsid w:val="00CE1B50"/>
    <w:rsid w:val="00CE1D77"/>
    <w:rsid w:val="00CE2912"/>
    <w:rsid w:val="00CE30B0"/>
    <w:rsid w:val="00CE3EAC"/>
    <w:rsid w:val="00CE4D2A"/>
    <w:rsid w:val="00CE7318"/>
    <w:rsid w:val="00CF0143"/>
    <w:rsid w:val="00CF01DF"/>
    <w:rsid w:val="00CF15BA"/>
    <w:rsid w:val="00CF2191"/>
    <w:rsid w:val="00CF2A68"/>
    <w:rsid w:val="00CF2AA2"/>
    <w:rsid w:val="00CF40B0"/>
    <w:rsid w:val="00CF4A86"/>
    <w:rsid w:val="00CF4E67"/>
    <w:rsid w:val="00CF62CF"/>
    <w:rsid w:val="00CF7066"/>
    <w:rsid w:val="00CF70CB"/>
    <w:rsid w:val="00D016BA"/>
    <w:rsid w:val="00D02B8C"/>
    <w:rsid w:val="00D03FE2"/>
    <w:rsid w:val="00D04118"/>
    <w:rsid w:val="00D06105"/>
    <w:rsid w:val="00D072C9"/>
    <w:rsid w:val="00D072FA"/>
    <w:rsid w:val="00D10488"/>
    <w:rsid w:val="00D10679"/>
    <w:rsid w:val="00D1275C"/>
    <w:rsid w:val="00D15AA7"/>
    <w:rsid w:val="00D16713"/>
    <w:rsid w:val="00D17296"/>
    <w:rsid w:val="00D205F8"/>
    <w:rsid w:val="00D23241"/>
    <w:rsid w:val="00D23682"/>
    <w:rsid w:val="00D24DE0"/>
    <w:rsid w:val="00D254B9"/>
    <w:rsid w:val="00D32C65"/>
    <w:rsid w:val="00D330D9"/>
    <w:rsid w:val="00D33C92"/>
    <w:rsid w:val="00D37812"/>
    <w:rsid w:val="00D41C2B"/>
    <w:rsid w:val="00D421DA"/>
    <w:rsid w:val="00D4434D"/>
    <w:rsid w:val="00D4461E"/>
    <w:rsid w:val="00D46338"/>
    <w:rsid w:val="00D519C4"/>
    <w:rsid w:val="00D5255C"/>
    <w:rsid w:val="00D53138"/>
    <w:rsid w:val="00D5384E"/>
    <w:rsid w:val="00D538D5"/>
    <w:rsid w:val="00D5491B"/>
    <w:rsid w:val="00D55C60"/>
    <w:rsid w:val="00D5649A"/>
    <w:rsid w:val="00D61038"/>
    <w:rsid w:val="00D64F55"/>
    <w:rsid w:val="00D65DD8"/>
    <w:rsid w:val="00D664C1"/>
    <w:rsid w:val="00D7422A"/>
    <w:rsid w:val="00D74317"/>
    <w:rsid w:val="00D755B8"/>
    <w:rsid w:val="00D76D9D"/>
    <w:rsid w:val="00D7733D"/>
    <w:rsid w:val="00D801A0"/>
    <w:rsid w:val="00D80E05"/>
    <w:rsid w:val="00D818EC"/>
    <w:rsid w:val="00D82D25"/>
    <w:rsid w:val="00D83000"/>
    <w:rsid w:val="00D9131C"/>
    <w:rsid w:val="00D914BA"/>
    <w:rsid w:val="00D92017"/>
    <w:rsid w:val="00D92299"/>
    <w:rsid w:val="00D92C8A"/>
    <w:rsid w:val="00D93FE0"/>
    <w:rsid w:val="00D944C2"/>
    <w:rsid w:val="00D94A30"/>
    <w:rsid w:val="00D96475"/>
    <w:rsid w:val="00D96D37"/>
    <w:rsid w:val="00D96D3C"/>
    <w:rsid w:val="00D9760F"/>
    <w:rsid w:val="00DA2504"/>
    <w:rsid w:val="00DA3E85"/>
    <w:rsid w:val="00DA62A6"/>
    <w:rsid w:val="00DB14BC"/>
    <w:rsid w:val="00DB614A"/>
    <w:rsid w:val="00DB67FA"/>
    <w:rsid w:val="00DC0469"/>
    <w:rsid w:val="00DC0D33"/>
    <w:rsid w:val="00DC3119"/>
    <w:rsid w:val="00DC3C4C"/>
    <w:rsid w:val="00DC7A2B"/>
    <w:rsid w:val="00DD0AAF"/>
    <w:rsid w:val="00DD5EEA"/>
    <w:rsid w:val="00DE0E47"/>
    <w:rsid w:val="00DE221C"/>
    <w:rsid w:val="00DE5077"/>
    <w:rsid w:val="00DE6E88"/>
    <w:rsid w:val="00DE766C"/>
    <w:rsid w:val="00DE7D5A"/>
    <w:rsid w:val="00DF1E00"/>
    <w:rsid w:val="00DF2BEF"/>
    <w:rsid w:val="00DF327E"/>
    <w:rsid w:val="00DF41C4"/>
    <w:rsid w:val="00DF7E0D"/>
    <w:rsid w:val="00E0151B"/>
    <w:rsid w:val="00E0541C"/>
    <w:rsid w:val="00E06C48"/>
    <w:rsid w:val="00E07942"/>
    <w:rsid w:val="00E123B2"/>
    <w:rsid w:val="00E14789"/>
    <w:rsid w:val="00E16408"/>
    <w:rsid w:val="00E20417"/>
    <w:rsid w:val="00E24984"/>
    <w:rsid w:val="00E250CF"/>
    <w:rsid w:val="00E256F3"/>
    <w:rsid w:val="00E27030"/>
    <w:rsid w:val="00E31364"/>
    <w:rsid w:val="00E31BE3"/>
    <w:rsid w:val="00E32488"/>
    <w:rsid w:val="00E3766A"/>
    <w:rsid w:val="00E37C0B"/>
    <w:rsid w:val="00E4467D"/>
    <w:rsid w:val="00E45928"/>
    <w:rsid w:val="00E460F4"/>
    <w:rsid w:val="00E54AEA"/>
    <w:rsid w:val="00E55022"/>
    <w:rsid w:val="00E56A9D"/>
    <w:rsid w:val="00E56BBB"/>
    <w:rsid w:val="00E61EE9"/>
    <w:rsid w:val="00E64FDB"/>
    <w:rsid w:val="00E65DED"/>
    <w:rsid w:val="00E67379"/>
    <w:rsid w:val="00E67755"/>
    <w:rsid w:val="00E70206"/>
    <w:rsid w:val="00E7254A"/>
    <w:rsid w:val="00E72F9F"/>
    <w:rsid w:val="00E754BA"/>
    <w:rsid w:val="00E75940"/>
    <w:rsid w:val="00E835B0"/>
    <w:rsid w:val="00E84460"/>
    <w:rsid w:val="00E85A03"/>
    <w:rsid w:val="00E86223"/>
    <w:rsid w:val="00E865D1"/>
    <w:rsid w:val="00E87007"/>
    <w:rsid w:val="00E9069F"/>
    <w:rsid w:val="00E909C0"/>
    <w:rsid w:val="00E925C2"/>
    <w:rsid w:val="00E935C0"/>
    <w:rsid w:val="00E93AB9"/>
    <w:rsid w:val="00E94DA8"/>
    <w:rsid w:val="00E9731F"/>
    <w:rsid w:val="00EA0BDE"/>
    <w:rsid w:val="00EA0BF9"/>
    <w:rsid w:val="00EA109F"/>
    <w:rsid w:val="00EA1FC8"/>
    <w:rsid w:val="00EA2248"/>
    <w:rsid w:val="00EA25D2"/>
    <w:rsid w:val="00EA34E5"/>
    <w:rsid w:val="00EA372E"/>
    <w:rsid w:val="00EB0831"/>
    <w:rsid w:val="00EB25B6"/>
    <w:rsid w:val="00EB2E9C"/>
    <w:rsid w:val="00EB356C"/>
    <w:rsid w:val="00EB410E"/>
    <w:rsid w:val="00EB5B74"/>
    <w:rsid w:val="00EB63EF"/>
    <w:rsid w:val="00EC3424"/>
    <w:rsid w:val="00EC3444"/>
    <w:rsid w:val="00EC394F"/>
    <w:rsid w:val="00EC3BB3"/>
    <w:rsid w:val="00EC42BA"/>
    <w:rsid w:val="00EC4B1A"/>
    <w:rsid w:val="00EC4E79"/>
    <w:rsid w:val="00EC5965"/>
    <w:rsid w:val="00EC6126"/>
    <w:rsid w:val="00EC6A32"/>
    <w:rsid w:val="00EC77A2"/>
    <w:rsid w:val="00ED01BE"/>
    <w:rsid w:val="00ED1B91"/>
    <w:rsid w:val="00ED2822"/>
    <w:rsid w:val="00ED2F2E"/>
    <w:rsid w:val="00ED5511"/>
    <w:rsid w:val="00ED6FE0"/>
    <w:rsid w:val="00ED7463"/>
    <w:rsid w:val="00ED7D99"/>
    <w:rsid w:val="00ED7ECA"/>
    <w:rsid w:val="00EE0B35"/>
    <w:rsid w:val="00EE24A1"/>
    <w:rsid w:val="00EE3FE3"/>
    <w:rsid w:val="00EE4BA3"/>
    <w:rsid w:val="00EE6CE8"/>
    <w:rsid w:val="00EE7F83"/>
    <w:rsid w:val="00EF1752"/>
    <w:rsid w:val="00EF46D5"/>
    <w:rsid w:val="00EF4CF8"/>
    <w:rsid w:val="00EF4DA3"/>
    <w:rsid w:val="00EF764C"/>
    <w:rsid w:val="00F001F3"/>
    <w:rsid w:val="00F02DC2"/>
    <w:rsid w:val="00F03C36"/>
    <w:rsid w:val="00F046AD"/>
    <w:rsid w:val="00F04CA8"/>
    <w:rsid w:val="00F06005"/>
    <w:rsid w:val="00F12188"/>
    <w:rsid w:val="00F13D99"/>
    <w:rsid w:val="00F15AE7"/>
    <w:rsid w:val="00F17901"/>
    <w:rsid w:val="00F17D5F"/>
    <w:rsid w:val="00F21E66"/>
    <w:rsid w:val="00F22044"/>
    <w:rsid w:val="00F230AC"/>
    <w:rsid w:val="00F230E2"/>
    <w:rsid w:val="00F2448B"/>
    <w:rsid w:val="00F24BAC"/>
    <w:rsid w:val="00F26B4A"/>
    <w:rsid w:val="00F27AFF"/>
    <w:rsid w:val="00F331A7"/>
    <w:rsid w:val="00F42CB6"/>
    <w:rsid w:val="00F43834"/>
    <w:rsid w:val="00F4446E"/>
    <w:rsid w:val="00F44988"/>
    <w:rsid w:val="00F45650"/>
    <w:rsid w:val="00F462C4"/>
    <w:rsid w:val="00F46479"/>
    <w:rsid w:val="00F46ADC"/>
    <w:rsid w:val="00F47525"/>
    <w:rsid w:val="00F47798"/>
    <w:rsid w:val="00F51CAA"/>
    <w:rsid w:val="00F523A8"/>
    <w:rsid w:val="00F52A56"/>
    <w:rsid w:val="00F546EE"/>
    <w:rsid w:val="00F546FB"/>
    <w:rsid w:val="00F54A25"/>
    <w:rsid w:val="00F56556"/>
    <w:rsid w:val="00F567FB"/>
    <w:rsid w:val="00F56E76"/>
    <w:rsid w:val="00F57D25"/>
    <w:rsid w:val="00F60A72"/>
    <w:rsid w:val="00F6336D"/>
    <w:rsid w:val="00F633F9"/>
    <w:rsid w:val="00F66690"/>
    <w:rsid w:val="00F67062"/>
    <w:rsid w:val="00F67AB5"/>
    <w:rsid w:val="00F702D9"/>
    <w:rsid w:val="00F70785"/>
    <w:rsid w:val="00F735B3"/>
    <w:rsid w:val="00F73A55"/>
    <w:rsid w:val="00F74464"/>
    <w:rsid w:val="00F7472B"/>
    <w:rsid w:val="00F7509E"/>
    <w:rsid w:val="00F76B99"/>
    <w:rsid w:val="00F81D6F"/>
    <w:rsid w:val="00F81E54"/>
    <w:rsid w:val="00F832E4"/>
    <w:rsid w:val="00F84278"/>
    <w:rsid w:val="00F84281"/>
    <w:rsid w:val="00F84C92"/>
    <w:rsid w:val="00F854FF"/>
    <w:rsid w:val="00F855E3"/>
    <w:rsid w:val="00F85AD9"/>
    <w:rsid w:val="00F90446"/>
    <w:rsid w:val="00F918D1"/>
    <w:rsid w:val="00F924D3"/>
    <w:rsid w:val="00F9307B"/>
    <w:rsid w:val="00F936A9"/>
    <w:rsid w:val="00F96972"/>
    <w:rsid w:val="00F96FC9"/>
    <w:rsid w:val="00FA1385"/>
    <w:rsid w:val="00FA2AD9"/>
    <w:rsid w:val="00FA4D2B"/>
    <w:rsid w:val="00FB245B"/>
    <w:rsid w:val="00FB3E77"/>
    <w:rsid w:val="00FB4177"/>
    <w:rsid w:val="00FB6417"/>
    <w:rsid w:val="00FC03FF"/>
    <w:rsid w:val="00FC40BA"/>
    <w:rsid w:val="00FC416E"/>
    <w:rsid w:val="00FC41C7"/>
    <w:rsid w:val="00FC5F02"/>
    <w:rsid w:val="00FD0925"/>
    <w:rsid w:val="00FD1A19"/>
    <w:rsid w:val="00FD268B"/>
    <w:rsid w:val="00FD66AF"/>
    <w:rsid w:val="00FE067F"/>
    <w:rsid w:val="00FE0ECF"/>
    <w:rsid w:val="00FE1B44"/>
    <w:rsid w:val="00FE4D83"/>
    <w:rsid w:val="00FE539F"/>
    <w:rsid w:val="00FF57D9"/>
    <w:rsid w:val="00FF75B6"/>
    <w:rsid w:val="00FF7804"/>
    <w:rsid w:val="0576BE80"/>
    <w:rsid w:val="06EEA96E"/>
    <w:rsid w:val="07F3C5C7"/>
    <w:rsid w:val="08C8FC64"/>
    <w:rsid w:val="0925A57D"/>
    <w:rsid w:val="0A81E60B"/>
    <w:rsid w:val="10390219"/>
    <w:rsid w:val="103E3CCF"/>
    <w:rsid w:val="10E58C7D"/>
    <w:rsid w:val="10F6048A"/>
    <w:rsid w:val="11228845"/>
    <w:rsid w:val="11332676"/>
    <w:rsid w:val="11A25DFE"/>
    <w:rsid w:val="13F51E64"/>
    <w:rsid w:val="14F63BBE"/>
    <w:rsid w:val="16980277"/>
    <w:rsid w:val="18FF1002"/>
    <w:rsid w:val="19A7E63E"/>
    <w:rsid w:val="1C235B09"/>
    <w:rsid w:val="1D2817C8"/>
    <w:rsid w:val="228CC1B5"/>
    <w:rsid w:val="25751C8C"/>
    <w:rsid w:val="2689DA74"/>
    <w:rsid w:val="26F3B138"/>
    <w:rsid w:val="272E5349"/>
    <w:rsid w:val="29D86CAA"/>
    <w:rsid w:val="2D499799"/>
    <w:rsid w:val="2D4DB089"/>
    <w:rsid w:val="30A3FE42"/>
    <w:rsid w:val="316DE648"/>
    <w:rsid w:val="3430835D"/>
    <w:rsid w:val="37B5AC81"/>
    <w:rsid w:val="38D64824"/>
    <w:rsid w:val="39FCC28A"/>
    <w:rsid w:val="3B262065"/>
    <w:rsid w:val="3DDC492F"/>
    <w:rsid w:val="3F6909C8"/>
    <w:rsid w:val="400B5994"/>
    <w:rsid w:val="472131B6"/>
    <w:rsid w:val="4A2DC176"/>
    <w:rsid w:val="4ABE8151"/>
    <w:rsid w:val="4CB03E39"/>
    <w:rsid w:val="4D296CAB"/>
    <w:rsid w:val="4DB393B8"/>
    <w:rsid w:val="4E9FD1CB"/>
    <w:rsid w:val="534F385C"/>
    <w:rsid w:val="544560CF"/>
    <w:rsid w:val="5E8A95F0"/>
    <w:rsid w:val="5F02C319"/>
    <w:rsid w:val="67A4CF5E"/>
    <w:rsid w:val="6A88757C"/>
    <w:rsid w:val="6BF25AC2"/>
    <w:rsid w:val="6F97BA13"/>
    <w:rsid w:val="70B54F73"/>
    <w:rsid w:val="71C6A131"/>
    <w:rsid w:val="726A8D4A"/>
    <w:rsid w:val="7381070D"/>
    <w:rsid w:val="738C31D5"/>
    <w:rsid w:val="74E82499"/>
    <w:rsid w:val="75B4A4B3"/>
    <w:rsid w:val="78718F36"/>
    <w:rsid w:val="7A2172A4"/>
    <w:rsid w:val="7B723244"/>
    <w:rsid w:val="7E9A2D6F"/>
    <w:rsid w:val="7F440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22979"/>
  <w15:docId w15:val="{F90CA158-9505-432F-962A-9CADBC05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FAB"/>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uiPriority w:val="99"/>
    <w:semiHidden/>
    <w:unhideWhenUsed/>
    <w:pPr>
      <w:spacing w:after="120"/>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List">
    <w:name w:val="List"/>
    <w:basedOn w:val="Normal"/>
    <w:uiPriority w:val="99"/>
    <w:semiHidden/>
    <w:unhideWhenUsed/>
    <w:pPr>
      <w:ind w:left="283" w:hanging="283"/>
      <w:contextualSpacing/>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character" w:customStyle="1" w:styleId="Heading1Char">
    <w:name w:val="Heading 1 Char"/>
    <w:link w:val="Heading1"/>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qFormat/>
    <w:rPr>
      <w:rFonts w:ascii="Cambria" w:hAnsi="Cambria"/>
      <w:color w:val="243F60"/>
      <w:lang w:val="zh-CN" w:eastAsia="zh-CN"/>
    </w:rPr>
  </w:style>
  <w:style w:type="character" w:customStyle="1" w:styleId="Heading6Char">
    <w:name w:val="Heading 6 Char"/>
    <w:link w:val="Heading6"/>
    <w:uiPriority w:val="9"/>
    <w:semiHidden/>
    <w:qFormat/>
    <w:rPr>
      <w:rFonts w:eastAsia="Times New Roman"/>
      <w:b/>
      <w:bCs/>
      <w:sz w:val="22"/>
      <w:szCs w:val="22"/>
      <w:lang w:val="zh-CN" w:eastAsia="zh-CN"/>
    </w:rPr>
  </w:style>
  <w:style w:type="character" w:customStyle="1" w:styleId="Heading7Char">
    <w:name w:val="Heading 7 Char"/>
    <w:link w:val="Heading7"/>
    <w:uiPriority w:val="9"/>
    <w:semiHidden/>
    <w:qFormat/>
    <w:rPr>
      <w:rFonts w:eastAsia="Times New Roman"/>
      <w:sz w:val="24"/>
      <w:szCs w:val="24"/>
      <w:lang w:val="zh-CN" w:eastAsia="zh-CN"/>
    </w:rPr>
  </w:style>
  <w:style w:type="character" w:customStyle="1" w:styleId="Heading8Char">
    <w:name w:val="Heading 8 Char"/>
    <w:link w:val="Heading8"/>
    <w:uiPriority w:val="9"/>
    <w:semiHidden/>
    <w:qFormat/>
    <w:rPr>
      <w:rFonts w:eastAsia="Times New Roman"/>
      <w:i/>
      <w:iCs/>
      <w:sz w:val="24"/>
      <w:szCs w:val="24"/>
      <w:lang w:val="zh-CN" w:eastAsia="zh-CN"/>
    </w:rPr>
  </w:style>
  <w:style w:type="character" w:customStyle="1" w:styleId="Heading9Char">
    <w:name w:val="Heading 9 Char"/>
    <w:link w:val="Heading9"/>
    <w:uiPriority w:val="9"/>
    <w:semiHidden/>
    <w:rPr>
      <w:rFonts w:ascii="Calibri Light" w:eastAsia="Times New Roman" w:hAnsi="Calibri Light"/>
      <w:sz w:val="22"/>
      <w:szCs w:val="22"/>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paragraph" w:customStyle="1" w:styleId="CRCoverPage">
    <w:name w:val="CR Cover Page"/>
    <w:qFormat/>
    <w:pPr>
      <w:spacing w:after="120"/>
    </w:pPr>
    <w:rPr>
      <w:rFonts w:ascii="Arial" w:eastAsia="MS Mincho" w:hAnsi="Arial"/>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THChar">
    <w:name w:val="TH Char"/>
    <w:link w:val="TH"/>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Pr>
      <w:rFonts w:ascii="Arial" w:eastAsia="Times New Roman" w:hAnsi="Arial" w:cs="Arial"/>
      <w:b/>
      <w:lang w:val="en-GB" w:eastAsia="ko-KR"/>
    </w:rPr>
  </w:style>
  <w:style w:type="paragraph" w:customStyle="1" w:styleId="TF">
    <w:name w:val="TF"/>
    <w:basedOn w:val="TH"/>
    <w:link w:val="TFChar"/>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jc w:val="both"/>
    </w:pPr>
    <w:rPr>
      <w:lang w:val="en-GB" w:eastAsia="zh-CN"/>
    </w:rPr>
  </w:style>
  <w:style w:type="character" w:customStyle="1" w:styleId="ProposalChar">
    <w:name w:val="Proposal Char"/>
    <w:link w:val="Proposal"/>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rPr>
      <w:rFonts w:ascii="Times New Roman" w:hAnsi="Times New Roman"/>
      <w:lang w:val="en-GB" w:eastAsia="zh-CN"/>
    </w:rPr>
  </w:style>
  <w:style w:type="paragraph" w:customStyle="1" w:styleId="3GPPHeader">
    <w:name w:val="3GPP_Header"/>
    <w:basedOn w:val="BodyTex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link w:val="BodyText"/>
    <w:uiPriority w:val="99"/>
    <w:semiHidden/>
    <w:rPr>
      <w:rFonts w:ascii="Times New Roman" w:eastAsia="SimSun" w:hAnsi="Times New Roman"/>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styleId="ListParagraph">
    <w:name w:val="List Paragraph"/>
    <w:basedOn w:val="Normal"/>
    <w:link w:val="ListParagraphChar"/>
    <w:uiPriority w:val="34"/>
    <w:qFormat/>
    <w:pPr>
      <w:ind w:left="720"/>
      <w:contextualSpacing/>
    </w:p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ListParagraphChar">
    <w:name w:val="List Paragraph Char"/>
    <w:basedOn w:val="DefaultParagraphFont"/>
    <w:link w:val="ListParagraph"/>
    <w:uiPriority w:val="34"/>
    <w:qFormat/>
    <w:rPr>
      <w:rFonts w:ascii="Times New Roman" w:eastAsia="SimSun" w:hAnsi="Times New Roman"/>
    </w:rPr>
  </w:style>
  <w:style w:type="character" w:customStyle="1" w:styleId="CommentTextChar">
    <w:name w:val="Comment Text Char"/>
    <w:basedOn w:val="DefaultParagraphFont"/>
    <w:link w:val="CommentText"/>
    <w:qFormat/>
    <w:rPr>
      <w:rFonts w:ascii="Times New Roman" w:eastAsia="SimSun" w:hAnsi="Times New Roman"/>
    </w:rPr>
  </w:style>
  <w:style w:type="character" w:customStyle="1" w:styleId="CommentSubjectChar">
    <w:name w:val="Comment Subject Char"/>
    <w:basedOn w:val="CommentTextChar"/>
    <w:link w:val="CommentSubject"/>
    <w:uiPriority w:val="99"/>
    <w:semiHidden/>
    <w:rPr>
      <w:rFonts w:ascii="Times New Roman" w:eastAsia="SimSun" w:hAnsi="Times New Roman"/>
      <w:b/>
      <w:bCs/>
    </w:rPr>
  </w:style>
  <w:style w:type="paragraph" w:customStyle="1" w:styleId="1">
    <w:name w:val="修订1"/>
    <w:hidden/>
    <w:uiPriority w:val="99"/>
    <w:semiHidden/>
    <w:rPr>
      <w:rFonts w:ascii="Times New Roman" w:hAnsi="Times New Roman"/>
      <w:lang w:eastAsia="en-US"/>
    </w:rPr>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EmailDiscussion">
    <w:name w:val="EmailDiscussion"/>
    <w:basedOn w:val="Normal"/>
    <w:next w:val="Normal"/>
    <w:link w:val="EmailDiscussionChar"/>
    <w:qFormat/>
    <w:pPr>
      <w:numPr>
        <w:numId w:val="3"/>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Arial" w:eastAsia="MS Mincho" w:hAnsi="Arial"/>
      <w:szCs w:val="24"/>
      <w:lang w:val="en-GB" w:eastAsia="en-GB"/>
    </w:rPr>
  </w:style>
  <w:style w:type="paragraph" w:customStyle="1" w:styleId="B1">
    <w:name w:val="B1"/>
    <w:basedOn w:val="List"/>
    <w:link w:val="B1Char1"/>
    <w:qFormat/>
    <w:pPr>
      <w:overflowPunct/>
      <w:autoSpaceDE/>
      <w:autoSpaceDN/>
      <w:adjustRightInd/>
      <w:ind w:left="568" w:hanging="284"/>
      <w:contextualSpacing w:val="0"/>
    </w:pPr>
    <w:rPr>
      <w:rFonts w:eastAsiaTheme="minorEastAsia"/>
      <w:lang w:val="en-GB"/>
    </w:rPr>
  </w:style>
  <w:style w:type="character" w:customStyle="1" w:styleId="B1Char1">
    <w:name w:val="B1 Char1"/>
    <w:link w:val="B1"/>
    <w:qFormat/>
    <w:rPr>
      <w:rFonts w:ascii="Times New Roman" w:eastAsiaTheme="minorEastAsia" w:hAnsi="Times New Roman"/>
      <w:lang w:val="en-GB"/>
    </w:rPr>
  </w:style>
  <w:style w:type="character" w:customStyle="1" w:styleId="FooterChar">
    <w:name w:val="Footer Char"/>
    <w:basedOn w:val="DefaultParagraphFont"/>
    <w:link w:val="Footer"/>
    <w:uiPriority w:val="99"/>
    <w:rPr>
      <w:rFonts w:ascii="Times New Roman" w:hAnsi="Times New Roman"/>
      <w:sz w:val="18"/>
      <w:szCs w:val="18"/>
    </w:rPr>
  </w:style>
  <w:style w:type="character" w:customStyle="1" w:styleId="Mention1">
    <w:name w:val="Mention1"/>
    <w:basedOn w:val="DefaultParagraphFont"/>
    <w:uiPriority w:val="99"/>
    <w:unhideWhenUsed/>
    <w:rPr>
      <w:color w:val="2B579A"/>
      <w:shd w:val="clear" w:color="auto" w:fill="E1DFDD"/>
    </w:rPr>
  </w:style>
  <w:style w:type="character" w:customStyle="1" w:styleId="CommentsChar">
    <w:name w:val="Comments Char"/>
    <w:basedOn w:val="DefaultParagraphFont"/>
    <w:link w:val="Comments"/>
    <w:locked/>
    <w:rPr>
      <w:rFonts w:ascii="Arial" w:hAnsi="Arial" w:cs="Arial"/>
      <w:i/>
      <w:iCs/>
      <w:lang w:eastAsia="en-GB"/>
    </w:rPr>
  </w:style>
  <w:style w:type="paragraph" w:customStyle="1" w:styleId="Comments">
    <w:name w:val="Comments"/>
    <w:basedOn w:val="Normal"/>
    <w:link w:val="CommentsChar"/>
    <w:pPr>
      <w:overflowPunct/>
      <w:autoSpaceDE/>
      <w:autoSpaceDN/>
      <w:adjustRightInd/>
      <w:spacing w:before="40" w:after="0"/>
    </w:pPr>
    <w:rPr>
      <w:rFonts w:ascii="Arial" w:hAnsi="Arial" w:cs="Arial"/>
      <w:i/>
      <w:iCs/>
      <w:lang w:eastAsia="en-GB"/>
    </w:rPr>
  </w:style>
  <w:style w:type="paragraph" w:styleId="Revision">
    <w:name w:val="Revision"/>
    <w:hidden/>
    <w:uiPriority w:val="99"/>
    <w:semiHidden/>
    <w:rsid w:val="00887F94"/>
    <w:rPr>
      <w:rFonts w:ascii="Times New Roman" w:hAnsi="Times New Roman"/>
      <w:lang w:eastAsia="en-US"/>
    </w:rPr>
  </w:style>
  <w:style w:type="paragraph" w:customStyle="1" w:styleId="pf0">
    <w:name w:val="pf0"/>
    <w:basedOn w:val="Normal"/>
    <w:rsid w:val="00AD0FAB"/>
    <w:pPr>
      <w:overflowPunct/>
      <w:autoSpaceDE/>
      <w:autoSpaceDN/>
      <w:adjustRightInd/>
      <w:spacing w:before="100" w:beforeAutospacing="1" w:after="100" w:afterAutospacing="1"/>
    </w:pPr>
    <w:rPr>
      <w:rFonts w:eastAsia="Times New Roman"/>
      <w:sz w:val="24"/>
      <w:szCs w:val="24"/>
    </w:rPr>
  </w:style>
  <w:style w:type="character" w:customStyle="1" w:styleId="cf01">
    <w:name w:val="cf01"/>
    <w:basedOn w:val="DefaultParagraphFont"/>
    <w:rsid w:val="00AD0FAB"/>
    <w:rPr>
      <w:rFonts w:ascii="Segoe UI" w:hAnsi="Segoe UI" w:cs="Segoe UI" w:hint="default"/>
      <w:sz w:val="18"/>
      <w:szCs w:val="18"/>
    </w:rPr>
  </w:style>
  <w:style w:type="character" w:customStyle="1" w:styleId="cf11">
    <w:name w:val="cf11"/>
    <w:basedOn w:val="DefaultParagraphFont"/>
    <w:rsid w:val="00AD0FAB"/>
    <w:rPr>
      <w:rFonts w:ascii="Segoe UI" w:hAnsi="Segoe UI" w:cs="Segoe UI" w:hint="default"/>
      <w:i/>
      <w:iCs/>
      <w:sz w:val="18"/>
      <w:szCs w:val="18"/>
    </w:rPr>
  </w:style>
  <w:style w:type="character" w:customStyle="1" w:styleId="cf21">
    <w:name w:val="cf21"/>
    <w:basedOn w:val="DefaultParagraphFont"/>
    <w:rsid w:val="00AD0FAB"/>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63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6488615C-9B55-457A-856C-62F8A689508F}">
  <ds:schemaRefs>
    <ds:schemaRef ds:uri="http://schemas.openxmlformats.org/officeDocument/2006/bibliography"/>
  </ds:schemaRefs>
</ds:datastoreItem>
</file>

<file path=customXml/itemProps2.xml><?xml version="1.0" encoding="utf-8"?>
<ds:datastoreItem xmlns:ds="http://schemas.openxmlformats.org/officeDocument/2006/customXml" ds:itemID="{DCFC08EB-935E-4251-A964-94EF14DD6E66}">
  <ds:schemaRefs>
    <ds:schemaRef ds:uri="http://schemas.microsoft.com/sharepoint/v3/contenttype/forms"/>
  </ds:schemaRefs>
</ds:datastoreItem>
</file>

<file path=customXml/itemProps3.xml><?xml version="1.0" encoding="utf-8"?>
<ds:datastoreItem xmlns:ds="http://schemas.openxmlformats.org/officeDocument/2006/customXml" ds:itemID="{4CCFA087-1344-463E-A0C0-8A17CBD4D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A57EF2-29B4-4EF6-BFAB-10CDF38E267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924</TotalTime>
  <Pages>8</Pages>
  <Words>3138</Words>
  <Characters>17887</Characters>
  <Application>Microsoft Office Word</Application>
  <DocSecurity>0</DocSecurity>
  <Lines>149</Lines>
  <Paragraphs>41</Paragraphs>
  <ScaleCrop>false</ScaleCrop>
  <Company>Intel Corporation</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NR_MT_SDT-Core</cp:lastModifiedBy>
  <cp:revision>628</cp:revision>
  <dcterms:created xsi:type="dcterms:W3CDTF">2023-09-18T04:20:00Z</dcterms:created>
  <dcterms:modified xsi:type="dcterms:W3CDTF">2023-11-03T01:07:00Z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y fmtid="{D5CDD505-2E9C-101B-9397-08002B2CF9AE}" pid="10" name="_2015_ms_pID_725343">
    <vt:lpwstr>(3)gLvbRnHYKQGo/D+P8T0jTlrrUkV1MD/dRNHDO/xm3O2T2xo2Tq7dCd8a8xa3LYx4jbJJx9Ls
8428FNZWMFTpMaQwfgleaKASECEwP0PaqZUeQ9dNgpCIOzELgWXgnhnmWeih6l6y5yHOViZl
l74kIGTce1Ko3xhTcPY1Q22xgKSw5ATSlLl3xDvFPkPqH5FBw2xfSmACJNiX5wfU3a16wnAh
OQBdfI6IjVAKkErNzd</vt:lpwstr>
  </property>
  <property fmtid="{D5CDD505-2E9C-101B-9397-08002B2CF9AE}" pid="11" name="_2015_ms_pID_7253431">
    <vt:lpwstr>49AvvmIYchDUW0h0LSVBSLlGVeWljw6YGrszrcy92+4fKW73HyQxzP
oW8KvLbMDfMZD9B/K1vHaIC5CJl9ooVpNVuhuXrAAsRA6ADvjqUCT78GRVqdL7czLDMO5Ga1
bLSAJJNcr337aXtn5+NygwNW2Oo4evWHiGnFUuUShgO8cvlwucj6U3x5f7Zc9sIRoyhypiuX
uucpUtv7ZxUD6j0Px7JnBOOcP5odZUI3Z91c</vt:lpwstr>
  </property>
  <property fmtid="{D5CDD505-2E9C-101B-9397-08002B2CF9AE}" pid="12" name="_2015_ms_pID_7253432">
    <vt:lpwstr>GQ==</vt:lpwstr>
  </property>
  <property fmtid="{D5CDD505-2E9C-101B-9397-08002B2CF9AE}" pid="13" name="MSIP_Label_83bcef13-7cac-433f-ba1d-47a323951816_Enabled">
    <vt:lpwstr>true</vt:lpwstr>
  </property>
  <property fmtid="{D5CDD505-2E9C-101B-9397-08002B2CF9AE}" pid="14" name="MSIP_Label_83bcef13-7cac-433f-ba1d-47a323951816_SetDate">
    <vt:lpwstr>2023-09-19T08:22:26Z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5dd12c32-b9b6-4199-ad02-4768c32939d7</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1698226989</vt:lpwstr>
  </property>
  <property fmtid="{D5CDD505-2E9C-101B-9397-08002B2CF9AE}" pid="24" name="KSOProductBuildVer">
    <vt:lpwstr>2052-11.8.2.12085</vt:lpwstr>
  </property>
  <property fmtid="{D5CDD505-2E9C-101B-9397-08002B2CF9AE}" pid="25" name="ICV">
    <vt:lpwstr>E3651022E89546629303C5E4C55046D0</vt:lpwstr>
  </property>
  <property fmtid="{D5CDD505-2E9C-101B-9397-08002B2CF9AE}" pid="26" name="CWMeaa7786073db11ee8000197d0000187d">
    <vt:lpwstr>CWMnw4Nom6UoQbDMFWjQkWo4ce44PPO7HQMesAmcK86ccQx+GP+4OcRPUAXvgWnNmPX/A+xaWekYvYLlzTwY9Iu6w==</vt:lpwstr>
  </property>
</Properties>
</file>