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4136" w14:textId="33067616" w:rsidR="00E65EB5" w:rsidRPr="00552860" w:rsidRDefault="00E65EB5" w:rsidP="00E65EB5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8</w:t>
      </w:r>
    </w:p>
    <w:p w14:paraId="2253A90F" w14:textId="77777777" w:rsidR="00E65EB5" w:rsidRPr="00552860" w:rsidRDefault="00E65EB5" w:rsidP="00E65EB5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7E896269" w14:textId="77777777" w:rsidR="00E65EB5" w:rsidRPr="00552860" w:rsidRDefault="00E65EB5" w:rsidP="00E65EB5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77915EA9" w14:textId="77777777" w:rsidR="00E65EB5" w:rsidRPr="00552860" w:rsidRDefault="00E65EB5" w:rsidP="00E65EB5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p w14:paraId="128FFD20" w14:textId="42E5494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3"/>
      <w:bookmarkEnd w:id="4"/>
      <w:bookmarkEnd w:id="5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  <w:t>R4-231</w:t>
      </w:r>
      <w:r w:rsidR="00163674">
        <w:rPr>
          <w:rFonts w:cs="Arial"/>
          <w:bCs/>
          <w:sz w:val="22"/>
          <w:szCs w:val="22"/>
        </w:rPr>
        <w:t>4455</w:t>
      </w:r>
    </w:p>
    <w:p w14:paraId="38EE63E8" w14:textId="77777777" w:rsidR="004E3939" w:rsidRPr="00DA53A0" w:rsidRDefault="009B5AD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21 Aug. 2023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9B5AD2">
        <w:rPr>
          <w:rFonts w:ascii="Arial" w:hAnsi="Arial" w:cs="Arial"/>
          <w:b/>
          <w:sz w:val="22"/>
          <w:szCs w:val="22"/>
        </w:rPr>
        <w:t>Reply LS on beam application time and UE based TA measurement for LTM</w:t>
      </w:r>
    </w:p>
    <w:p w14:paraId="00E608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R1-2306259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RAN4</w:t>
      </w:r>
    </w:p>
    <w:p w14:paraId="05C066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9B5AD2">
        <w:rPr>
          <w:rFonts w:ascii="Arial" w:hAnsi="Arial" w:cs="Arial"/>
          <w:b/>
          <w:bCs/>
          <w:sz w:val="22"/>
          <w:szCs w:val="22"/>
        </w:rPr>
        <w:t>RAN1</w:t>
      </w:r>
      <w:bookmarkEnd w:id="11"/>
      <w:bookmarkEnd w:id="12"/>
      <w:bookmarkEnd w:id="13"/>
    </w:p>
    <w:p w14:paraId="412085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RAN2, RAN3</w:t>
      </w:r>
    </w:p>
    <w:bookmarkEnd w:id="14"/>
    <w:bookmarkEnd w:id="15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 Gonuguntla</w:t>
      </w:r>
    </w:p>
    <w:p w14:paraId="3CC4B65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3783D6D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for the LS. RAN4 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RAN1 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7A0AD5AE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>RAN4 is still discussing whether beam application time shall be considered in RAN4 cell switch delay requirements</w:t>
      </w:r>
      <w:r w:rsidR="00FF6C41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and the possible latency when UE is ready for PDCCH</w:t>
      </w:r>
      <w:r w:rsidR="00DA3A4E">
        <w:rPr>
          <w:rFonts w:ascii="Arial" w:hAnsi="Arial" w:cs="Arial"/>
        </w:rPr>
        <w:t xml:space="preserve"> reception</w:t>
      </w:r>
      <w:r w:rsidRPr="00FF6C41">
        <w:rPr>
          <w:rFonts w:ascii="Arial" w:hAnsi="Arial" w:cs="Arial"/>
        </w:rPr>
        <w:t xml:space="preserve"> in </w:t>
      </w:r>
      <w:r w:rsidR="007D3845">
        <w:rPr>
          <w:rFonts w:ascii="Arial" w:hAnsi="Arial" w:cs="Arial"/>
        </w:rPr>
        <w:t xml:space="preserve">the </w:t>
      </w:r>
      <w:r w:rsidRPr="00FF6C41">
        <w:rPr>
          <w:rFonts w:ascii="Arial" w:hAnsi="Arial" w:cs="Arial"/>
        </w:rPr>
        <w:t xml:space="preserve">target cell in different scenarios. 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46D95B35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1339B0BD" w14:textId="163353EC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Existing time alignment error (TAE) (from TS 38.104) is provided below. </w:t>
      </w: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0"/>
      </w:tblGrid>
      <w:tr w:rsidR="009B5AD2" w:rsidRPr="00FF6C41" w14:paraId="6DE08679" w14:textId="77777777" w:rsidTr="009B5AD2">
        <w:trPr>
          <w:trHeight w:val="1770"/>
        </w:trPr>
        <w:tc>
          <w:tcPr>
            <w:tcW w:w="9190" w:type="dxa"/>
          </w:tcPr>
          <w:p w14:paraId="130C40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MIMO transmission, at each carrier frequency, TAE shall not exceed 65 ns.</w:t>
            </w:r>
          </w:p>
          <w:p w14:paraId="58213E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contiguous carrier aggregation, with or without MIMO, TAE shall not exceed 260ns.</w:t>
            </w:r>
          </w:p>
          <w:p w14:paraId="0E75A9A9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non-contiguous carrier aggregation, with or without MIMO, TAE shall not exceed 3µs.</w:t>
            </w:r>
          </w:p>
          <w:p w14:paraId="52FA7828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inter-band carrier aggregation, with or without MIMO, TAE shall not exceed 3µs.</w:t>
            </w:r>
          </w:p>
        </w:tc>
      </w:tr>
    </w:tbl>
    <w:p w14:paraId="2F70368E" w14:textId="77777777" w:rsidR="00536A5B" w:rsidRDefault="00536A5B" w:rsidP="00FB6C23">
      <w:pPr>
        <w:rPr>
          <w:rFonts w:ascii="Arial" w:hAnsi="Arial" w:cs="Arial"/>
          <w:lang w:eastAsia="zh-CN"/>
        </w:rPr>
      </w:pPr>
    </w:p>
    <w:p w14:paraId="1307F04A" w14:textId="2A697C15" w:rsidR="009B5AD2" w:rsidRPr="00FF6C41" w:rsidRDefault="0059652B" w:rsidP="009B5AD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36A5B">
        <w:rPr>
          <w:rFonts w:ascii="Arial" w:hAnsi="Arial" w:cs="Arial"/>
        </w:rPr>
        <w:t>ue to</w:t>
      </w:r>
      <w:r w:rsidR="00536A5B" w:rsidRPr="00FF6C41">
        <w:rPr>
          <w:rFonts w:ascii="Arial" w:hAnsi="Arial" w:cs="Arial"/>
        </w:rPr>
        <w:t xml:space="preserve"> TA</w:t>
      </w:r>
      <w:r w:rsidR="00536A5B">
        <w:rPr>
          <w:rFonts w:ascii="Arial" w:hAnsi="Arial" w:cs="Arial"/>
        </w:rPr>
        <w:t>E, DL timing</w:t>
      </w:r>
      <w:r w:rsidR="00536A5B" w:rsidRPr="00307AC1">
        <w:rPr>
          <w:rFonts w:eastAsia="DotumChe"/>
          <w:bCs/>
          <w:sz w:val="21"/>
          <w:szCs w:val="21"/>
          <w:lang w:eastAsia="en-US"/>
        </w:rPr>
        <w:t xml:space="preserve"> </w:t>
      </w:r>
      <w:r w:rsidR="00536A5B" w:rsidRPr="00307AC1">
        <w:rPr>
          <w:rFonts w:ascii="Arial" w:hAnsi="Arial" w:cs="Arial"/>
          <w:bCs/>
        </w:rPr>
        <w:t>estimation error</w:t>
      </w:r>
      <w:r w:rsidR="00536A5B">
        <w:rPr>
          <w:rFonts w:ascii="Arial" w:hAnsi="Arial" w:cs="Arial"/>
          <w:bCs/>
        </w:rPr>
        <w:t xml:space="preserve"> (of both serving and target cell)</w:t>
      </w:r>
      <w:r w:rsidR="00536A5B" w:rsidRPr="00307AC1">
        <w:rPr>
          <w:rFonts w:ascii="Arial" w:hAnsi="Arial" w:cs="Arial"/>
          <w:bCs/>
        </w:rPr>
        <w:t xml:space="preserve">, serving cell TA resolution </w:t>
      </w:r>
      <w:r w:rsidR="00536A5B">
        <w:rPr>
          <w:rFonts w:ascii="Arial" w:hAnsi="Arial" w:cs="Arial"/>
          <w:bCs/>
        </w:rPr>
        <w:t xml:space="preserve">error </w:t>
      </w:r>
      <w:r w:rsidR="00536A5B" w:rsidRPr="00307AC1">
        <w:rPr>
          <w:rFonts w:ascii="Arial" w:hAnsi="Arial" w:cs="Arial"/>
          <w:bCs/>
        </w:rPr>
        <w:t>and TA adjustment error</w:t>
      </w:r>
      <w:r w:rsidR="00536A5B">
        <w:rPr>
          <w:rFonts w:ascii="Arial" w:hAnsi="Arial" w:cs="Arial"/>
        </w:rPr>
        <w:t xml:space="preserve">, </w:t>
      </w:r>
      <w:r w:rsidR="00AF1158">
        <w:rPr>
          <w:rFonts w:ascii="Arial" w:hAnsi="Arial" w:cs="Arial"/>
        </w:rPr>
        <w:t xml:space="preserve">though UE may be able to derive the TA, </w:t>
      </w:r>
      <w:r w:rsidR="004116A3">
        <w:rPr>
          <w:rFonts w:ascii="Arial" w:hAnsi="Arial" w:cs="Arial"/>
        </w:rPr>
        <w:t xml:space="preserve">the actual UL Rx timing error at the target gNB may be </w:t>
      </w:r>
      <w:r w:rsidR="00C77672">
        <w:rPr>
          <w:rFonts w:ascii="Arial" w:hAnsi="Arial" w:cs="Arial"/>
        </w:rPr>
        <w:t>larger than</w:t>
      </w:r>
      <w:r w:rsidR="004116A3">
        <w:rPr>
          <w:rFonts w:ascii="Arial" w:hAnsi="Arial" w:cs="Arial"/>
        </w:rPr>
        <w:t xml:space="preserve"> CP</w:t>
      </w:r>
      <w:r w:rsidR="008979BD">
        <w:rPr>
          <w:rFonts w:ascii="Arial" w:hAnsi="Arial" w:cs="Arial"/>
        </w:rPr>
        <w:t xml:space="preserve"> and </w:t>
      </w:r>
      <w:r w:rsidR="006A4523">
        <w:rPr>
          <w:rFonts w:ascii="Arial" w:hAnsi="Arial" w:cs="Arial"/>
        </w:rPr>
        <w:t>may</w:t>
      </w:r>
      <w:r w:rsidR="00A72CCE">
        <w:rPr>
          <w:rFonts w:ascii="Arial" w:hAnsi="Arial" w:cs="Arial"/>
        </w:rPr>
        <w:t xml:space="preserve"> cause </w:t>
      </w:r>
      <w:r w:rsidR="004116A3">
        <w:rPr>
          <w:rFonts w:ascii="Arial" w:hAnsi="Arial" w:cs="Arial"/>
        </w:rPr>
        <w:t xml:space="preserve">performance degradation </w:t>
      </w:r>
      <w:r w:rsidR="00A72CCE">
        <w:rPr>
          <w:rFonts w:ascii="Arial" w:hAnsi="Arial" w:cs="Arial"/>
        </w:rPr>
        <w:t>at the gNB.</w:t>
      </w:r>
    </w:p>
    <w:p w14:paraId="18717E95" w14:textId="2D4E2836" w:rsidR="00A72CCE" w:rsidRDefault="00455AA6" w:rsidP="009B5AD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However, i</w:t>
      </w:r>
      <w:r w:rsidR="009B5AD2" w:rsidRPr="00FF6C41">
        <w:rPr>
          <w:rFonts w:ascii="Arial" w:hAnsi="Arial" w:cs="Arial"/>
        </w:rPr>
        <w:t>n some</w:t>
      </w:r>
      <w:r w:rsidR="003A52F6">
        <w:rPr>
          <w:rFonts w:ascii="Arial" w:hAnsi="Arial" w:cs="Arial"/>
        </w:rPr>
        <w:t xml:space="preserve"> specific</w:t>
      </w:r>
      <w:r w:rsidR="009B5AD2" w:rsidRPr="00FF6C41">
        <w:rPr>
          <w:rFonts w:ascii="Arial" w:hAnsi="Arial" w:cs="Arial"/>
        </w:rPr>
        <w:t xml:space="preserve"> scenarios, </w:t>
      </w:r>
      <w:r w:rsidR="007F24F9">
        <w:rPr>
          <w:rFonts w:ascii="Arial" w:hAnsi="Arial" w:cs="Arial"/>
        </w:rPr>
        <w:t>for example</w:t>
      </w:r>
      <w:r w:rsidR="00B034F2">
        <w:rPr>
          <w:rFonts w:ascii="Arial" w:hAnsi="Arial" w:cs="Arial"/>
        </w:rPr>
        <w:t>,</w:t>
      </w:r>
      <w:r w:rsidR="00605B68">
        <w:rPr>
          <w:rFonts w:ascii="Arial" w:hAnsi="Arial" w:cs="Arial"/>
        </w:rPr>
        <w:t xml:space="preserve"> in FR1</w:t>
      </w:r>
      <w:r w:rsidR="007F24F9">
        <w:rPr>
          <w:rFonts w:ascii="Arial" w:hAnsi="Arial" w:cs="Arial"/>
        </w:rPr>
        <w:t xml:space="preserve">, </w:t>
      </w:r>
      <w:r w:rsidR="009B5AD2" w:rsidRPr="00FF6C41">
        <w:rPr>
          <w:rFonts w:ascii="Arial" w:hAnsi="Arial" w:cs="Arial"/>
        </w:rPr>
        <w:t xml:space="preserve">where the TAE between serving cell and candidate cell is within </w:t>
      </w:r>
      <w:r w:rsidR="00A72CCE">
        <w:rPr>
          <w:rFonts w:ascii="Arial" w:hAnsi="Arial" w:cs="Arial"/>
        </w:rPr>
        <w:t>260</w:t>
      </w:r>
      <w:r w:rsidR="00536A5B">
        <w:rPr>
          <w:rFonts w:ascii="Arial" w:hAnsi="Arial" w:cs="Arial"/>
        </w:rPr>
        <w:t>ns,</w:t>
      </w:r>
      <w:r w:rsidR="009B5AD2" w:rsidRPr="00FF6C41">
        <w:rPr>
          <w:rFonts w:ascii="Arial" w:hAnsi="Arial" w:cs="Arial"/>
        </w:rPr>
        <w:t xml:space="preserve"> UE may be able to </w:t>
      </w:r>
      <w:r w:rsidR="00C72EA2">
        <w:rPr>
          <w:rFonts w:ascii="Arial" w:hAnsi="Arial" w:cs="Arial"/>
        </w:rPr>
        <w:t xml:space="preserve">derive the TA based on UE based TA </w:t>
      </w:r>
      <w:r w:rsidR="00892060">
        <w:rPr>
          <w:rFonts w:ascii="Arial" w:hAnsi="Arial" w:cs="Arial"/>
        </w:rPr>
        <w:t>measurement</w:t>
      </w:r>
      <w:r w:rsidR="00307AC1">
        <w:rPr>
          <w:rFonts w:ascii="Arial" w:hAnsi="Arial" w:cs="Arial"/>
        </w:rPr>
        <w:t xml:space="preserve"> </w:t>
      </w:r>
      <w:r w:rsidR="00C72EA2">
        <w:rPr>
          <w:rFonts w:ascii="Arial" w:hAnsi="Arial" w:cs="Arial"/>
        </w:rPr>
        <w:t xml:space="preserve">and </w:t>
      </w:r>
      <w:r w:rsidR="00767135">
        <w:rPr>
          <w:rFonts w:ascii="Arial" w:hAnsi="Arial" w:cs="Arial"/>
        </w:rPr>
        <w:t xml:space="preserve">may </w:t>
      </w:r>
      <w:r w:rsidR="009B5AD2" w:rsidRPr="00FF6C41">
        <w:rPr>
          <w:rFonts w:ascii="Arial" w:hAnsi="Arial" w:cs="Arial"/>
        </w:rPr>
        <w:t>meet the UL transmit timing requirements</w:t>
      </w:r>
      <w:r w:rsidR="00307AC1" w:rsidRPr="00307AC1">
        <w:rPr>
          <w:rFonts w:ascii="Arial" w:hAnsi="Arial" w:cs="Arial"/>
        </w:rPr>
        <w:t xml:space="preserve"> </w:t>
      </w:r>
      <w:r w:rsidR="00307AC1">
        <w:rPr>
          <w:rFonts w:ascii="Arial" w:hAnsi="Arial" w:cs="Arial"/>
        </w:rPr>
        <w:t>under good SNR condition</w:t>
      </w:r>
      <w:r w:rsidR="004116A3">
        <w:rPr>
          <w:rFonts w:ascii="Arial" w:hAnsi="Arial" w:cs="Arial"/>
        </w:rPr>
        <w:t xml:space="preserve"> and </w:t>
      </w:r>
      <w:r w:rsidR="00735FEE">
        <w:rPr>
          <w:rFonts w:ascii="Arial" w:hAnsi="Arial" w:cs="Arial"/>
        </w:rPr>
        <w:t xml:space="preserve">may not cause any </w:t>
      </w:r>
      <w:r w:rsidR="004116A3">
        <w:rPr>
          <w:rFonts w:ascii="Arial" w:hAnsi="Arial" w:cs="Arial"/>
        </w:rPr>
        <w:t xml:space="preserve">performance degradation </w:t>
      </w:r>
      <w:r w:rsidR="00735FEE">
        <w:rPr>
          <w:rFonts w:ascii="Arial" w:hAnsi="Arial" w:cs="Arial"/>
        </w:rPr>
        <w:t>at the gNB.</w:t>
      </w:r>
    </w:p>
    <w:p w14:paraId="4A6A4512" w14:textId="77777777" w:rsidR="00A40A13" w:rsidRPr="00FF6C41" w:rsidRDefault="00A40A13" w:rsidP="00A40A13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 w:hint="eastAsia"/>
          <w:lang w:eastAsia="zh-CN"/>
        </w:rPr>
        <w:t>Note:</w:t>
      </w:r>
      <w:r>
        <w:rPr>
          <w:rFonts w:ascii="Arial" w:hAnsi="Arial" w:cs="Arial"/>
        </w:rPr>
        <w:t xml:space="preserve"> TAE of 260ns corresponds to </w:t>
      </w:r>
      <w:r w:rsidRPr="00FF6C41">
        <w:rPr>
          <w:rFonts w:ascii="Arial" w:hAnsi="Arial" w:cs="Arial"/>
        </w:rPr>
        <w:t>Intra-band contiguous carrier aggregation</w:t>
      </w:r>
      <w:r>
        <w:rPr>
          <w:rFonts w:ascii="Arial" w:hAnsi="Arial" w:cs="Arial"/>
        </w:rPr>
        <w:t>, where the CC are collocated.</w:t>
      </w:r>
    </w:p>
    <w:p w14:paraId="56EE634C" w14:textId="77777777" w:rsidR="00A40A13" w:rsidRDefault="00A40A13" w:rsidP="009B5AD2">
      <w:pPr>
        <w:rPr>
          <w:rFonts w:ascii="Arial" w:hAnsi="Arial" w:cs="Arial"/>
        </w:rPr>
      </w:pP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2E4CB1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</w:p>
    <w:p w14:paraId="32F07675" w14:textId="7777777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RAN4 respectfully asks RAN1 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2A26B0" w14:textId="077ED037" w:rsidR="00FF6C41" w:rsidRDefault="00FF6C41" w:rsidP="000133D3">
      <w:pPr>
        <w:tabs>
          <w:tab w:val="left" w:pos="3969"/>
          <w:tab w:val="left" w:pos="6804"/>
        </w:tabs>
        <w:rPr>
          <w:bCs/>
        </w:rPr>
      </w:pPr>
      <w:r w:rsidRPr="00481F43">
        <w:rPr>
          <w:bCs/>
        </w:rPr>
        <w:t>TSG RAN WG</w:t>
      </w:r>
      <w:r>
        <w:rPr>
          <w:bCs/>
        </w:rPr>
        <w:t>4</w:t>
      </w:r>
      <w:r w:rsidRPr="00481F43">
        <w:rPr>
          <w:bCs/>
        </w:rPr>
        <w:t xml:space="preserve"> Meeting #1</w:t>
      </w:r>
      <w:r>
        <w:rPr>
          <w:bCs/>
        </w:rPr>
        <w:t>08-bis</w:t>
      </w:r>
      <w:r>
        <w:rPr>
          <w:bCs/>
        </w:rPr>
        <w:tab/>
        <w:t>09 to 15, Oct. 2023</w:t>
      </w:r>
      <w:r>
        <w:rPr>
          <w:bCs/>
        </w:rPr>
        <w:tab/>
        <w:t>Xiamen</w:t>
      </w:r>
      <w:r w:rsidRPr="00481F43">
        <w:rPr>
          <w:bCs/>
        </w:rPr>
        <w:t xml:space="preserve">, </w:t>
      </w:r>
      <w:r>
        <w:rPr>
          <w:bCs/>
        </w:rPr>
        <w:t>China</w:t>
      </w:r>
    </w:p>
    <w:p w14:paraId="771AE83B" w14:textId="3EFA95AC" w:rsidR="002F1940" w:rsidRPr="002F1940" w:rsidRDefault="00FF6C41" w:rsidP="000133D3">
      <w:pPr>
        <w:tabs>
          <w:tab w:val="left" w:pos="3969"/>
          <w:tab w:val="left" w:pos="6804"/>
        </w:tabs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>
        <w:rPr>
          <w:bCs/>
        </w:rPr>
        <w:tab/>
        <w:t>13 to 17, Nov. 2023</w:t>
      </w:r>
      <w:r>
        <w:rPr>
          <w:bCs/>
        </w:rPr>
        <w:tab/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8416" w14:textId="77777777" w:rsidR="00494C8F" w:rsidRDefault="00494C8F">
      <w:pPr>
        <w:spacing w:after="0"/>
      </w:pPr>
      <w:r>
        <w:separator/>
      </w:r>
    </w:p>
  </w:endnote>
  <w:endnote w:type="continuationSeparator" w:id="0">
    <w:p w14:paraId="7E6EF43F" w14:textId="77777777" w:rsidR="00494C8F" w:rsidRDefault="00494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A196" w14:textId="77777777" w:rsidR="00494C8F" w:rsidRDefault="00494C8F">
      <w:pPr>
        <w:spacing w:after="0"/>
      </w:pPr>
      <w:r>
        <w:separator/>
      </w:r>
    </w:p>
  </w:footnote>
  <w:footnote w:type="continuationSeparator" w:id="0">
    <w:p w14:paraId="144FE243" w14:textId="77777777" w:rsidR="00494C8F" w:rsidRDefault="00494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7389303">
    <w:abstractNumId w:val="3"/>
  </w:num>
  <w:num w:numId="2" w16cid:durableId="913662928">
    <w:abstractNumId w:val="2"/>
  </w:num>
  <w:num w:numId="3" w16cid:durableId="1789473875">
    <w:abstractNumId w:val="1"/>
  </w:num>
  <w:num w:numId="4" w16cid:durableId="12889672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33D3"/>
    <w:rsid w:val="00017F23"/>
    <w:rsid w:val="000F6242"/>
    <w:rsid w:val="001271EC"/>
    <w:rsid w:val="00163674"/>
    <w:rsid w:val="001E0D7F"/>
    <w:rsid w:val="002F1940"/>
    <w:rsid w:val="00307AC1"/>
    <w:rsid w:val="003617D6"/>
    <w:rsid w:val="00365404"/>
    <w:rsid w:val="00383545"/>
    <w:rsid w:val="00397D99"/>
    <w:rsid w:val="003A52F6"/>
    <w:rsid w:val="003D3CD7"/>
    <w:rsid w:val="004116A3"/>
    <w:rsid w:val="00433500"/>
    <w:rsid w:val="00433F71"/>
    <w:rsid w:val="00440D43"/>
    <w:rsid w:val="00455AA6"/>
    <w:rsid w:val="00494C8F"/>
    <w:rsid w:val="004E3939"/>
    <w:rsid w:val="00536A5B"/>
    <w:rsid w:val="00561B3D"/>
    <w:rsid w:val="005949B4"/>
    <w:rsid w:val="0059652B"/>
    <w:rsid w:val="005F737C"/>
    <w:rsid w:val="00605B68"/>
    <w:rsid w:val="00653245"/>
    <w:rsid w:val="006A4523"/>
    <w:rsid w:val="006C612B"/>
    <w:rsid w:val="00735FEE"/>
    <w:rsid w:val="00767135"/>
    <w:rsid w:val="007D3845"/>
    <w:rsid w:val="007F24F9"/>
    <w:rsid w:val="007F4F92"/>
    <w:rsid w:val="00812C72"/>
    <w:rsid w:val="00892060"/>
    <w:rsid w:val="008979BD"/>
    <w:rsid w:val="008D772F"/>
    <w:rsid w:val="0094336D"/>
    <w:rsid w:val="0099764C"/>
    <w:rsid w:val="009B5AD2"/>
    <w:rsid w:val="009F3BE6"/>
    <w:rsid w:val="00A40A13"/>
    <w:rsid w:val="00A72CCE"/>
    <w:rsid w:val="00A9497B"/>
    <w:rsid w:val="00AD214D"/>
    <w:rsid w:val="00AF1158"/>
    <w:rsid w:val="00B034F2"/>
    <w:rsid w:val="00B97703"/>
    <w:rsid w:val="00BB5928"/>
    <w:rsid w:val="00BC756D"/>
    <w:rsid w:val="00C010BE"/>
    <w:rsid w:val="00C23993"/>
    <w:rsid w:val="00C6687A"/>
    <w:rsid w:val="00C72EA2"/>
    <w:rsid w:val="00C77672"/>
    <w:rsid w:val="00CA767C"/>
    <w:rsid w:val="00CF6087"/>
    <w:rsid w:val="00D643C1"/>
    <w:rsid w:val="00DA3A4E"/>
    <w:rsid w:val="00DA523F"/>
    <w:rsid w:val="00E65EB5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E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E65E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65E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5E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5E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5E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5EB5"/>
    <w:pPr>
      <w:outlineLvl w:val="5"/>
    </w:pPr>
  </w:style>
  <w:style w:type="paragraph" w:styleId="Heading7">
    <w:name w:val="heading 7"/>
    <w:basedOn w:val="H6"/>
    <w:next w:val="Normal"/>
    <w:qFormat/>
    <w:rsid w:val="00E65EB5"/>
    <w:pPr>
      <w:outlineLvl w:val="6"/>
    </w:pPr>
  </w:style>
  <w:style w:type="paragraph" w:styleId="Heading8">
    <w:name w:val="heading 8"/>
    <w:basedOn w:val="Heading1"/>
    <w:next w:val="Normal"/>
    <w:qFormat/>
    <w:rsid w:val="00E65E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5EB5"/>
    <w:pPr>
      <w:outlineLvl w:val="8"/>
    </w:pPr>
  </w:style>
  <w:style w:type="character" w:default="1" w:styleId="DefaultParagraphFont">
    <w:name w:val="Default Paragraph Font"/>
    <w:semiHidden/>
    <w:rsid w:val="00E65E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5EB5"/>
  </w:style>
  <w:style w:type="paragraph" w:styleId="Header">
    <w:name w:val="header"/>
    <w:link w:val="HeaderChar"/>
    <w:rsid w:val="00E65E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65E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5E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65EB5"/>
    <w:pPr>
      <w:spacing w:before="180"/>
      <w:ind w:left="2693" w:hanging="2693"/>
    </w:pPr>
    <w:rPr>
      <w:b/>
    </w:rPr>
  </w:style>
  <w:style w:type="paragraph" w:styleId="TOC1">
    <w:name w:val="toc 1"/>
    <w:semiHidden/>
    <w:rsid w:val="00E65E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65E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65EB5"/>
    <w:pPr>
      <w:ind w:left="1701" w:hanging="1701"/>
    </w:pPr>
  </w:style>
  <w:style w:type="paragraph" w:styleId="TOC4">
    <w:name w:val="toc 4"/>
    <w:basedOn w:val="TOC3"/>
    <w:semiHidden/>
    <w:rsid w:val="00E65EB5"/>
    <w:pPr>
      <w:ind w:left="1418" w:hanging="1418"/>
    </w:pPr>
  </w:style>
  <w:style w:type="paragraph" w:styleId="TOC3">
    <w:name w:val="toc 3"/>
    <w:basedOn w:val="TOC2"/>
    <w:semiHidden/>
    <w:rsid w:val="00E65EB5"/>
    <w:pPr>
      <w:ind w:left="1134" w:hanging="1134"/>
    </w:pPr>
  </w:style>
  <w:style w:type="paragraph" w:styleId="TOC2">
    <w:name w:val="toc 2"/>
    <w:basedOn w:val="TOC1"/>
    <w:semiHidden/>
    <w:rsid w:val="00E65E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5EB5"/>
    <w:pPr>
      <w:ind w:left="284"/>
    </w:pPr>
  </w:style>
  <w:style w:type="paragraph" w:styleId="Index1">
    <w:name w:val="index 1"/>
    <w:basedOn w:val="Normal"/>
    <w:semiHidden/>
    <w:rsid w:val="00E65EB5"/>
    <w:pPr>
      <w:keepLines/>
      <w:spacing w:after="0"/>
    </w:pPr>
  </w:style>
  <w:style w:type="paragraph" w:customStyle="1" w:styleId="ZH">
    <w:name w:val="ZH"/>
    <w:rsid w:val="00E65E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65EB5"/>
    <w:pPr>
      <w:outlineLvl w:val="9"/>
    </w:pPr>
  </w:style>
  <w:style w:type="paragraph" w:styleId="ListNumber2">
    <w:name w:val="List Number 2"/>
    <w:basedOn w:val="ListNumber"/>
    <w:semiHidden/>
    <w:rsid w:val="00E65EB5"/>
    <w:pPr>
      <w:ind w:left="851"/>
    </w:pPr>
  </w:style>
  <w:style w:type="character" w:styleId="FootnoteReference">
    <w:name w:val="footnote reference"/>
    <w:basedOn w:val="DefaultParagraphFont"/>
    <w:semiHidden/>
    <w:rsid w:val="00E65E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5E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E65EB5"/>
    <w:rPr>
      <w:b/>
    </w:rPr>
  </w:style>
  <w:style w:type="paragraph" w:customStyle="1" w:styleId="TAC">
    <w:name w:val="TAC"/>
    <w:basedOn w:val="TAL"/>
    <w:rsid w:val="00E65EB5"/>
    <w:pPr>
      <w:jc w:val="center"/>
    </w:pPr>
  </w:style>
  <w:style w:type="paragraph" w:customStyle="1" w:styleId="TF">
    <w:name w:val="TF"/>
    <w:basedOn w:val="TH"/>
    <w:rsid w:val="00E65EB5"/>
    <w:pPr>
      <w:keepNext w:val="0"/>
      <w:spacing w:before="0" w:after="240"/>
    </w:pPr>
  </w:style>
  <w:style w:type="paragraph" w:customStyle="1" w:styleId="NO">
    <w:name w:val="NO"/>
    <w:basedOn w:val="Normal"/>
    <w:rsid w:val="00E65EB5"/>
    <w:pPr>
      <w:keepLines/>
      <w:ind w:left="1135" w:hanging="851"/>
    </w:pPr>
  </w:style>
  <w:style w:type="paragraph" w:styleId="TOC9">
    <w:name w:val="toc 9"/>
    <w:basedOn w:val="TOC8"/>
    <w:semiHidden/>
    <w:rsid w:val="00E65EB5"/>
    <w:pPr>
      <w:ind w:left="1418" w:hanging="1418"/>
    </w:pPr>
  </w:style>
  <w:style w:type="paragraph" w:customStyle="1" w:styleId="EX">
    <w:name w:val="EX"/>
    <w:basedOn w:val="Normal"/>
    <w:rsid w:val="00E65EB5"/>
    <w:pPr>
      <w:keepLines/>
      <w:ind w:left="1702" w:hanging="1418"/>
    </w:pPr>
  </w:style>
  <w:style w:type="paragraph" w:customStyle="1" w:styleId="FP">
    <w:name w:val="FP"/>
    <w:basedOn w:val="Normal"/>
    <w:rsid w:val="00E65EB5"/>
    <w:pPr>
      <w:spacing w:after="0"/>
    </w:pPr>
  </w:style>
  <w:style w:type="paragraph" w:customStyle="1" w:styleId="LD">
    <w:name w:val="LD"/>
    <w:rsid w:val="00E65E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65EB5"/>
    <w:pPr>
      <w:spacing w:after="0"/>
    </w:pPr>
  </w:style>
  <w:style w:type="paragraph" w:customStyle="1" w:styleId="EW">
    <w:name w:val="EW"/>
    <w:basedOn w:val="EX"/>
    <w:rsid w:val="00E65EB5"/>
    <w:pPr>
      <w:spacing w:after="0"/>
    </w:pPr>
  </w:style>
  <w:style w:type="paragraph" w:styleId="TOC6">
    <w:name w:val="toc 6"/>
    <w:basedOn w:val="TOC5"/>
    <w:next w:val="Normal"/>
    <w:semiHidden/>
    <w:rsid w:val="00E65EB5"/>
    <w:pPr>
      <w:ind w:left="1985" w:hanging="1985"/>
    </w:pPr>
  </w:style>
  <w:style w:type="paragraph" w:styleId="TOC7">
    <w:name w:val="toc 7"/>
    <w:basedOn w:val="TOC6"/>
    <w:next w:val="Normal"/>
    <w:semiHidden/>
    <w:rsid w:val="00E65EB5"/>
    <w:pPr>
      <w:ind w:left="2268" w:hanging="2268"/>
    </w:pPr>
  </w:style>
  <w:style w:type="paragraph" w:styleId="ListBullet2">
    <w:name w:val="List Bullet 2"/>
    <w:basedOn w:val="ListBullet"/>
    <w:semiHidden/>
    <w:rsid w:val="00E65EB5"/>
    <w:pPr>
      <w:ind w:left="851"/>
    </w:pPr>
  </w:style>
  <w:style w:type="paragraph" w:styleId="ListBullet3">
    <w:name w:val="List Bullet 3"/>
    <w:basedOn w:val="ListBullet2"/>
    <w:semiHidden/>
    <w:rsid w:val="00E65EB5"/>
    <w:pPr>
      <w:ind w:left="1135"/>
    </w:pPr>
  </w:style>
  <w:style w:type="paragraph" w:styleId="ListNumber">
    <w:name w:val="List Number"/>
    <w:basedOn w:val="List"/>
    <w:semiHidden/>
    <w:rsid w:val="00E65EB5"/>
  </w:style>
  <w:style w:type="paragraph" w:customStyle="1" w:styleId="EQ">
    <w:name w:val="EQ"/>
    <w:basedOn w:val="Normal"/>
    <w:next w:val="Normal"/>
    <w:rsid w:val="00E65E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5E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5E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5E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65EB5"/>
    <w:pPr>
      <w:jc w:val="right"/>
    </w:pPr>
  </w:style>
  <w:style w:type="paragraph" w:customStyle="1" w:styleId="H6">
    <w:name w:val="H6"/>
    <w:basedOn w:val="Heading5"/>
    <w:next w:val="Normal"/>
    <w:rsid w:val="00E65E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5EB5"/>
    <w:pPr>
      <w:ind w:left="851" w:hanging="851"/>
    </w:pPr>
  </w:style>
  <w:style w:type="paragraph" w:customStyle="1" w:styleId="TAL">
    <w:name w:val="TAL"/>
    <w:basedOn w:val="Normal"/>
    <w:rsid w:val="00E65E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5E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65E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65E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65E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65EB5"/>
    <w:pPr>
      <w:framePr w:wrap="notBeside" w:y="16161"/>
    </w:pPr>
  </w:style>
  <w:style w:type="character" w:customStyle="1" w:styleId="ZGSM">
    <w:name w:val="ZGSM"/>
    <w:rsid w:val="00E65EB5"/>
  </w:style>
  <w:style w:type="paragraph" w:styleId="List2">
    <w:name w:val="List 2"/>
    <w:basedOn w:val="List"/>
    <w:semiHidden/>
    <w:rsid w:val="00E65EB5"/>
    <w:pPr>
      <w:ind w:left="851"/>
    </w:pPr>
  </w:style>
  <w:style w:type="paragraph" w:customStyle="1" w:styleId="ZG">
    <w:name w:val="ZG"/>
    <w:rsid w:val="00E65E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E65EB5"/>
    <w:pPr>
      <w:ind w:left="1135"/>
    </w:pPr>
  </w:style>
  <w:style w:type="paragraph" w:styleId="List4">
    <w:name w:val="List 4"/>
    <w:basedOn w:val="List3"/>
    <w:semiHidden/>
    <w:rsid w:val="00E65EB5"/>
    <w:pPr>
      <w:ind w:left="1418"/>
    </w:pPr>
  </w:style>
  <w:style w:type="paragraph" w:styleId="List5">
    <w:name w:val="List 5"/>
    <w:basedOn w:val="List4"/>
    <w:semiHidden/>
    <w:rsid w:val="00E65EB5"/>
    <w:pPr>
      <w:ind w:left="1702"/>
    </w:pPr>
  </w:style>
  <w:style w:type="paragraph" w:customStyle="1" w:styleId="EditorsNote">
    <w:name w:val="Editor's Note"/>
    <w:basedOn w:val="NO"/>
    <w:rsid w:val="00E65EB5"/>
    <w:rPr>
      <w:color w:val="FF0000"/>
    </w:rPr>
  </w:style>
  <w:style w:type="paragraph" w:styleId="List">
    <w:name w:val="List"/>
    <w:basedOn w:val="Normal"/>
    <w:semiHidden/>
    <w:rsid w:val="00E65EB5"/>
    <w:pPr>
      <w:ind w:left="568" w:hanging="284"/>
    </w:pPr>
  </w:style>
  <w:style w:type="paragraph" w:styleId="ListBullet">
    <w:name w:val="List Bullet"/>
    <w:basedOn w:val="List"/>
    <w:semiHidden/>
    <w:rsid w:val="00E65EB5"/>
  </w:style>
  <w:style w:type="paragraph" w:styleId="ListBullet4">
    <w:name w:val="List Bullet 4"/>
    <w:basedOn w:val="ListBullet3"/>
    <w:semiHidden/>
    <w:rsid w:val="00E65EB5"/>
    <w:pPr>
      <w:ind w:left="1418"/>
    </w:pPr>
  </w:style>
  <w:style w:type="paragraph" w:styleId="ListBullet5">
    <w:name w:val="List Bullet 5"/>
    <w:basedOn w:val="ListBullet4"/>
    <w:semiHidden/>
    <w:rsid w:val="00E65EB5"/>
    <w:pPr>
      <w:ind w:left="1702"/>
    </w:pPr>
  </w:style>
  <w:style w:type="paragraph" w:customStyle="1" w:styleId="B2">
    <w:name w:val="B2"/>
    <w:basedOn w:val="List2"/>
    <w:rsid w:val="00E65EB5"/>
  </w:style>
  <w:style w:type="paragraph" w:customStyle="1" w:styleId="B3">
    <w:name w:val="B3"/>
    <w:basedOn w:val="List3"/>
    <w:rsid w:val="00E65EB5"/>
  </w:style>
  <w:style w:type="paragraph" w:customStyle="1" w:styleId="B4">
    <w:name w:val="B4"/>
    <w:basedOn w:val="List4"/>
    <w:rsid w:val="00E65EB5"/>
  </w:style>
  <w:style w:type="paragraph" w:customStyle="1" w:styleId="B5">
    <w:name w:val="B5"/>
    <w:basedOn w:val="List5"/>
    <w:rsid w:val="00E65EB5"/>
  </w:style>
  <w:style w:type="paragraph" w:customStyle="1" w:styleId="ZTD">
    <w:name w:val="ZTD"/>
    <w:basedOn w:val="ZB"/>
    <w:rsid w:val="00E65EB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2023-09-24T17:22:00Z</dcterms:created>
  <dcterms:modified xsi:type="dcterms:W3CDTF">2023-09-24T17:25:00Z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