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79AFD924"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w:t>
      </w:r>
      <w:r w:rsidR="00A94E0B">
        <w:rPr>
          <w:rFonts w:cs="Arial"/>
          <w:b/>
          <w:sz w:val="24"/>
          <w:lang w:val="en-US"/>
        </w:rPr>
        <w:t>3bis</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E14881">
        <w:rPr>
          <w:rFonts w:cs="Arial"/>
          <w:b/>
          <w:sz w:val="24"/>
          <w:lang w:val="en-US"/>
        </w:rPr>
        <w:t>R</w:t>
      </w:r>
      <w:r w:rsidR="00E14881" w:rsidRPr="00E14881">
        <w:rPr>
          <w:rFonts w:cs="Arial"/>
          <w:b/>
          <w:sz w:val="24"/>
          <w:lang w:val="en-US"/>
        </w:rPr>
        <w:t>2-23</w:t>
      </w:r>
      <w:r w:rsidR="001D4946">
        <w:rPr>
          <w:rFonts w:cs="Arial"/>
          <w:b/>
          <w:sz w:val="24"/>
          <w:lang w:val="en-US"/>
        </w:rPr>
        <w:t>11056</w:t>
      </w:r>
      <w:r w:rsidRPr="00DC168D">
        <w:rPr>
          <w:rFonts w:cs="Arial"/>
          <w:b/>
          <w:sz w:val="24"/>
          <w:lang w:val="en-US"/>
        </w:rPr>
        <w:br/>
      </w:r>
      <w:bookmarkStart w:id="0" w:name="_Hlk142491575"/>
      <w:r w:rsidR="00A94E0B" w:rsidRPr="00A94E0B">
        <w:rPr>
          <w:rFonts w:cs="Arial"/>
          <w:b/>
          <w:sz w:val="24"/>
          <w:lang w:val="en-US"/>
        </w:rPr>
        <w:t xml:space="preserve">Xiamen, China, October </w:t>
      </w:r>
      <w:r w:rsidR="00A94E0B">
        <w:rPr>
          <w:rFonts w:cs="Arial"/>
          <w:b/>
          <w:sz w:val="24"/>
          <w:lang w:val="en-US"/>
        </w:rPr>
        <w:t>9</w:t>
      </w:r>
      <w:r w:rsidR="002A6D51" w:rsidRPr="00636554">
        <w:rPr>
          <w:rFonts w:cs="Arial"/>
          <w:b/>
          <w:sz w:val="24"/>
          <w:lang w:val="en-US"/>
        </w:rPr>
        <w:t>-</w:t>
      </w:r>
      <w:r w:rsidR="00A94E0B">
        <w:rPr>
          <w:rFonts w:cs="Arial"/>
          <w:b/>
          <w:sz w:val="24"/>
          <w:lang w:val="en-US"/>
        </w:rPr>
        <w:t>13</w:t>
      </w:r>
      <w:r w:rsidR="002A6D51" w:rsidRPr="00636554">
        <w:rPr>
          <w:rFonts w:cs="Arial"/>
          <w:b/>
          <w:sz w:val="24"/>
          <w:lang w:val="en-US"/>
        </w:rPr>
        <w:t>, 2023</w:t>
      </w:r>
      <w:bookmarkEnd w:id="0"/>
    </w:p>
    <w:p w14:paraId="5BF18584" w14:textId="77777777" w:rsidR="00280751" w:rsidRPr="00692DEB" w:rsidRDefault="00280751" w:rsidP="00280751">
      <w:pPr>
        <w:pStyle w:val="CRCoverPage"/>
        <w:outlineLvl w:val="0"/>
        <w:rPr>
          <w:b/>
          <w:sz w:val="24"/>
          <w:lang w:val="en-US"/>
        </w:rPr>
      </w:pPr>
    </w:p>
    <w:p w14:paraId="5B9BF21E" w14:textId="0B7BB321"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A94E0B">
        <w:rPr>
          <w:rFonts w:ascii="Arial" w:eastAsia="MS Mincho" w:hAnsi="Arial" w:cs="Arial"/>
          <w:b/>
          <w:bCs/>
          <w:color w:val="auto"/>
          <w:sz w:val="24"/>
          <w:lang w:eastAsia="en-US"/>
        </w:rPr>
        <w:t>4</w:t>
      </w:r>
      <w:r w:rsidR="009F6FF5" w:rsidRPr="009F6FF5">
        <w:rPr>
          <w:rFonts w:ascii="Arial" w:eastAsia="MS Mincho" w:hAnsi="Arial" w:cs="Arial"/>
          <w:b/>
          <w:bCs/>
          <w:color w:val="auto"/>
          <w:sz w:val="24"/>
          <w:lang w:eastAsia="en-US"/>
        </w:rPr>
        <w:t xml:space="preserve">      </w:t>
      </w:r>
    </w:p>
    <w:p w14:paraId="08A44896" w14:textId="6A2A3CFA" w:rsidR="006D3016" w:rsidRPr="00A94E0B" w:rsidRDefault="006D3016" w:rsidP="00C81753">
      <w:pPr>
        <w:tabs>
          <w:tab w:val="left" w:pos="1985"/>
        </w:tabs>
        <w:overflowPunct/>
        <w:autoSpaceDE/>
        <w:adjustRightInd/>
        <w:ind w:left="1985" w:hanging="1985"/>
        <w:rPr>
          <w:rFonts w:ascii="Arial" w:hAnsi="Arial" w:cs="Arial"/>
          <w:b/>
          <w:bCs/>
          <w:sz w:val="24"/>
          <w:szCs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w:t>
      </w:r>
      <w:r w:rsidR="00734B58">
        <w:rPr>
          <w:rFonts w:ascii="Arial" w:eastAsia="MS Mincho" w:hAnsi="Arial" w:cs="Arial"/>
          <w:b/>
          <w:bCs/>
          <w:color w:val="auto"/>
          <w:sz w:val="24"/>
          <w:lang w:eastAsia="en-US"/>
        </w:rPr>
        <w:t xml:space="preserve">, </w:t>
      </w:r>
      <w:r w:rsidR="00941026">
        <w:rPr>
          <w:rFonts w:ascii="Arial" w:eastAsia="MS Mincho" w:hAnsi="Arial" w:cs="Arial"/>
          <w:b/>
          <w:bCs/>
          <w:color w:val="auto"/>
          <w:sz w:val="24"/>
          <w:lang w:eastAsia="en-US"/>
        </w:rPr>
        <w:t>Apple</w:t>
      </w:r>
    </w:p>
    <w:p w14:paraId="740A35EE" w14:textId="36B790D3" w:rsidR="00BC10E1" w:rsidRPr="00860BBA" w:rsidRDefault="006D3016" w:rsidP="000824F5">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A94E0B">
        <w:rPr>
          <w:rFonts w:ascii="Arial" w:hAnsi="Arial" w:cs="Arial"/>
          <w:b/>
          <w:bCs/>
          <w:sz w:val="24"/>
          <w:szCs w:val="24"/>
          <w:lang w:eastAsia="en-US"/>
        </w:rPr>
        <w:t xml:space="preserve">Tx Profile for </w:t>
      </w:r>
      <w:r w:rsidR="00A94E0B" w:rsidRPr="00A94E0B">
        <w:rPr>
          <w:rFonts w:ascii="Arial" w:hAnsi="Arial" w:cs="Arial"/>
          <w:b/>
          <w:bCs/>
          <w:sz w:val="24"/>
          <w:szCs w:val="24"/>
          <w:lang w:eastAsia="en-US"/>
        </w:rPr>
        <w:t>SL CA</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77777777" w:rsidR="003972AD" w:rsidRPr="00692DEB" w:rsidRDefault="00CD1FF7" w:rsidP="00A94EB1">
      <w:pPr>
        <w:pStyle w:val="Heading1"/>
        <w:rPr>
          <w:lang w:val="en-US"/>
        </w:rPr>
      </w:pPr>
      <w:r w:rsidRPr="00692DEB">
        <w:rPr>
          <w:lang w:val="en-US"/>
        </w:rPr>
        <w:t>Introduction</w:t>
      </w:r>
    </w:p>
    <w:p w14:paraId="1F5652D9" w14:textId="2C97E95A" w:rsidR="009219F1" w:rsidRDefault="009219F1" w:rsidP="004456F4">
      <w:pPr>
        <w:rPr>
          <w:color w:val="auto"/>
          <w:sz w:val="22"/>
          <w:szCs w:val="22"/>
        </w:rPr>
      </w:pPr>
      <w:r>
        <w:rPr>
          <w:color w:val="auto"/>
          <w:sz w:val="22"/>
          <w:szCs w:val="22"/>
        </w:rPr>
        <w:t>The following agreement was made at RAN2 #122 [1], regarding backward compatibility.</w:t>
      </w:r>
    </w:p>
    <w:p w14:paraId="6C6F3354" w14:textId="77777777" w:rsidR="009219F1" w:rsidRPr="009219F1" w:rsidRDefault="009219F1" w:rsidP="00F4306B">
      <w:pPr>
        <w:pBdr>
          <w:top w:val="single" w:sz="4" w:space="1" w:color="auto"/>
          <w:left w:val="single" w:sz="4" w:space="4" w:color="auto"/>
          <w:bottom w:val="single" w:sz="4" w:space="0" w:color="auto"/>
          <w:right w:val="single" w:sz="4" w:space="4" w:color="auto"/>
        </w:pBdr>
        <w:tabs>
          <w:tab w:val="left" w:pos="720"/>
        </w:tabs>
        <w:ind w:left="720" w:right="278" w:hanging="360"/>
        <w:rPr>
          <w:b/>
          <w:bCs/>
          <w:i/>
          <w:iCs/>
          <w:sz w:val="22"/>
          <w:szCs w:val="22"/>
        </w:rPr>
      </w:pPr>
      <w:r w:rsidRPr="009219F1">
        <w:rPr>
          <w:b/>
          <w:bCs/>
          <w:i/>
          <w:iCs/>
          <w:sz w:val="22"/>
          <w:szCs w:val="22"/>
          <w:highlight w:val="green"/>
        </w:rPr>
        <w:t>Agreements on backward compatibility issue in SL CA (for GC/BC)</w:t>
      </w:r>
    </w:p>
    <w:p w14:paraId="0111206B" w14:textId="77777777" w:rsidR="009219F1" w:rsidRPr="009219F1" w:rsidRDefault="009219F1" w:rsidP="00F4306B">
      <w:pPr>
        <w:pBdr>
          <w:top w:val="single" w:sz="4" w:space="1" w:color="auto"/>
          <w:left w:val="single" w:sz="4" w:space="4" w:color="auto"/>
          <w:bottom w:val="single" w:sz="4" w:space="0" w:color="auto"/>
          <w:right w:val="single" w:sz="4" w:space="4" w:color="auto"/>
        </w:pBdr>
        <w:tabs>
          <w:tab w:val="left" w:pos="720"/>
        </w:tabs>
        <w:ind w:left="720" w:right="278" w:hanging="360"/>
        <w:rPr>
          <w:i/>
          <w:iCs/>
          <w:sz w:val="22"/>
          <w:szCs w:val="22"/>
        </w:rPr>
      </w:pPr>
      <w:r w:rsidRPr="009219F1">
        <w:rPr>
          <w:i/>
          <w:iCs/>
          <w:sz w:val="22"/>
          <w:szCs w:val="22"/>
        </w:rPr>
        <w:t xml:space="preserve">1: </w:t>
      </w:r>
      <w:r w:rsidRPr="009219F1">
        <w:rPr>
          <w:i/>
          <w:iCs/>
          <w:sz w:val="22"/>
          <w:szCs w:val="22"/>
        </w:rPr>
        <w:tab/>
        <w:t xml:space="preserve">Consider a case that a V2X service which needs to be mapped into multiple carriers while there is at least one legacy UE to receive this V2X service. RAN2 further discuss whether TX profile approach can be supported. </w:t>
      </w:r>
    </w:p>
    <w:p w14:paraId="3689D6B9" w14:textId="4DB51484" w:rsidR="00A94E0B" w:rsidRDefault="00A94E0B" w:rsidP="004456F4">
      <w:pPr>
        <w:rPr>
          <w:color w:val="auto"/>
          <w:sz w:val="22"/>
          <w:szCs w:val="22"/>
        </w:rPr>
      </w:pPr>
      <w:r>
        <w:rPr>
          <w:color w:val="auto"/>
          <w:sz w:val="22"/>
          <w:szCs w:val="22"/>
        </w:rPr>
        <w:t>Th</w:t>
      </w:r>
      <w:r w:rsidR="009219F1">
        <w:rPr>
          <w:color w:val="auto"/>
          <w:sz w:val="22"/>
          <w:szCs w:val="22"/>
        </w:rPr>
        <w:t>e</w:t>
      </w:r>
      <w:r>
        <w:rPr>
          <w:color w:val="auto"/>
          <w:sz w:val="22"/>
          <w:szCs w:val="22"/>
        </w:rPr>
        <w:t xml:space="preserve"> following agreement was made at RAN2 #123 [1], regarding backward compatibility.</w:t>
      </w:r>
    </w:p>
    <w:p w14:paraId="6E78EF69" w14:textId="77777777" w:rsidR="00A94E0B" w:rsidRPr="00A94E0B" w:rsidRDefault="00A94E0B" w:rsidP="00F4306B">
      <w:pPr>
        <w:pBdr>
          <w:top w:val="single" w:sz="4" w:space="1" w:color="auto"/>
          <w:left w:val="single" w:sz="4" w:space="4" w:color="auto"/>
          <w:bottom w:val="single" w:sz="4" w:space="1" w:color="auto"/>
          <w:right w:val="single" w:sz="4" w:space="0" w:color="auto"/>
        </w:pBdr>
        <w:tabs>
          <w:tab w:val="left" w:pos="720"/>
        </w:tabs>
        <w:ind w:left="720" w:right="278" w:hanging="360"/>
        <w:rPr>
          <w:i/>
          <w:iCs/>
          <w:sz w:val="22"/>
          <w:szCs w:val="22"/>
        </w:rPr>
      </w:pPr>
      <w:r w:rsidRPr="00A94E0B">
        <w:rPr>
          <w:i/>
          <w:iCs/>
          <w:sz w:val="22"/>
          <w:szCs w:val="22"/>
          <w:highlight w:val="green"/>
        </w:rPr>
        <w:t>Agreements on TX profile extension for SL CA</w:t>
      </w:r>
    </w:p>
    <w:p w14:paraId="3BC422D4" w14:textId="31FC7D40" w:rsidR="00A94E0B" w:rsidRPr="00A94E0B" w:rsidRDefault="00A94E0B" w:rsidP="00F4306B">
      <w:pPr>
        <w:pBdr>
          <w:top w:val="single" w:sz="4" w:space="1" w:color="auto"/>
          <w:left w:val="single" w:sz="4" w:space="4" w:color="auto"/>
          <w:bottom w:val="single" w:sz="4" w:space="1" w:color="auto"/>
          <w:right w:val="single" w:sz="4" w:space="0" w:color="auto"/>
        </w:pBdr>
        <w:tabs>
          <w:tab w:val="left" w:pos="720"/>
        </w:tabs>
        <w:ind w:left="720" w:right="278" w:hanging="360"/>
        <w:rPr>
          <w:i/>
          <w:iCs/>
          <w:color w:val="C00000"/>
          <w:sz w:val="22"/>
          <w:szCs w:val="22"/>
        </w:rPr>
      </w:pPr>
      <w:r w:rsidRPr="00A94E0B">
        <w:rPr>
          <w:i/>
          <w:iCs/>
          <w:sz w:val="22"/>
          <w:szCs w:val="22"/>
        </w:rPr>
        <w:t>1:</w:t>
      </w:r>
      <w:r w:rsidRPr="00A94E0B">
        <w:rPr>
          <w:i/>
          <w:iCs/>
          <w:sz w:val="22"/>
          <w:szCs w:val="22"/>
        </w:rPr>
        <w:tab/>
      </w:r>
      <w:r w:rsidRPr="00A94E0B">
        <w:rPr>
          <w:i/>
          <w:iCs/>
          <w:noProof/>
          <w:sz w:val="22"/>
          <w:szCs w:val="22"/>
        </w:rPr>
        <w:t xml:space="preserve">When the upper layer provides multiple carriers in service to carrier mapping information to AS, we need TX profile extension to inform whether the transmisson corresponding the service is backward compatibile or not. If </w:t>
      </w:r>
      <w:r w:rsidRPr="009219F1">
        <w:rPr>
          <w:i/>
          <w:iCs/>
          <w:noProof/>
          <w:sz w:val="22"/>
          <w:szCs w:val="22"/>
          <w:u w:val="single"/>
        </w:rPr>
        <w:t>backward compatible</w:t>
      </w:r>
      <w:r w:rsidRPr="00A94E0B">
        <w:rPr>
          <w:i/>
          <w:iCs/>
          <w:noProof/>
          <w:sz w:val="22"/>
          <w:szCs w:val="22"/>
        </w:rPr>
        <w:t xml:space="preserve"> is needed, only legacy carrier is used for transmission when PDCP duplication is not used. If PDCP duplication is used, at least legacy carrier is used. </w:t>
      </w:r>
      <w:r w:rsidRPr="00A94E0B">
        <w:rPr>
          <w:i/>
          <w:iCs/>
          <w:noProof/>
          <w:color w:val="C00000"/>
          <w:sz w:val="22"/>
          <w:szCs w:val="22"/>
        </w:rPr>
        <w:t>FFS whether to use PDCP duplication or not is up to UE implementation.</w:t>
      </w:r>
    </w:p>
    <w:p w14:paraId="5192C419" w14:textId="30C667C5" w:rsidR="004456F4" w:rsidRDefault="004456F4" w:rsidP="004456F4">
      <w:pPr>
        <w:rPr>
          <w:color w:val="auto"/>
          <w:sz w:val="22"/>
          <w:szCs w:val="22"/>
        </w:rPr>
      </w:pPr>
      <w:r w:rsidRPr="00613452">
        <w:rPr>
          <w:color w:val="auto"/>
          <w:sz w:val="22"/>
          <w:szCs w:val="22"/>
        </w:rPr>
        <w:t xml:space="preserve">In this contribution, we </w:t>
      </w:r>
      <w:r w:rsidR="00A94E0B">
        <w:rPr>
          <w:color w:val="auto"/>
          <w:sz w:val="22"/>
          <w:szCs w:val="22"/>
        </w:rPr>
        <w:t xml:space="preserve">further </w:t>
      </w:r>
      <w:r w:rsidRPr="00613452">
        <w:rPr>
          <w:color w:val="auto"/>
          <w:sz w:val="22"/>
          <w:szCs w:val="22"/>
        </w:rPr>
        <w:t xml:space="preserve">discuss </w:t>
      </w:r>
      <w:r w:rsidR="00672981">
        <w:rPr>
          <w:color w:val="auto"/>
          <w:sz w:val="22"/>
          <w:szCs w:val="22"/>
        </w:rPr>
        <w:t>design consideration</w:t>
      </w:r>
      <w:r w:rsidR="00A94E0B">
        <w:rPr>
          <w:color w:val="auto"/>
          <w:sz w:val="22"/>
          <w:szCs w:val="22"/>
        </w:rPr>
        <w:t>s</w:t>
      </w:r>
      <w:r w:rsidR="00672981">
        <w:rPr>
          <w:color w:val="auto"/>
          <w:sz w:val="22"/>
          <w:szCs w:val="22"/>
        </w:rPr>
        <w:t xml:space="preserve"> for </w:t>
      </w:r>
      <w:r w:rsidR="00A94E0B">
        <w:rPr>
          <w:color w:val="auto"/>
          <w:sz w:val="22"/>
          <w:szCs w:val="22"/>
        </w:rPr>
        <w:t>backward compatibility issue with sidelink carrier aggregation</w:t>
      </w:r>
      <w:r w:rsidR="009570A4">
        <w:rPr>
          <w:color w:val="auto"/>
          <w:sz w:val="22"/>
          <w:szCs w:val="22"/>
        </w:rPr>
        <w:t xml:space="preserve"> GC/BC</w:t>
      </w:r>
      <w:r w:rsidR="00A94E0B">
        <w:rPr>
          <w:color w:val="auto"/>
          <w:sz w:val="22"/>
          <w:szCs w:val="22"/>
        </w:rPr>
        <w:t xml:space="preserve"> using Tx Profile.</w:t>
      </w:r>
    </w:p>
    <w:p w14:paraId="2E0F199C" w14:textId="5C65A868" w:rsidR="00242D1E" w:rsidRPr="00B0353B" w:rsidRDefault="004456F4" w:rsidP="00B0353B">
      <w:pPr>
        <w:pStyle w:val="Heading1"/>
        <w:rPr>
          <w:b/>
          <w:lang w:val="en-US"/>
        </w:rPr>
      </w:pPr>
      <w:r w:rsidRPr="000E215F">
        <w:rPr>
          <w:lang w:val="en-US"/>
        </w:rPr>
        <w:t xml:space="preserve">Discussion </w:t>
      </w:r>
      <w:r w:rsidRPr="000E215F">
        <w:rPr>
          <w:b/>
          <w:lang w:val="en-US"/>
        </w:rPr>
        <w:t xml:space="preserve"> </w:t>
      </w:r>
    </w:p>
    <w:p w14:paraId="06E15046" w14:textId="19E33475" w:rsidR="006D0C64" w:rsidRDefault="004F310D" w:rsidP="004633DD">
      <w:pPr>
        <w:spacing w:before="120" w:after="0"/>
        <w:textAlignment w:val="baseline"/>
        <w:rPr>
          <w:sz w:val="22"/>
          <w:szCs w:val="22"/>
          <w:lang w:eastAsia="ko-KR"/>
        </w:rPr>
      </w:pPr>
      <w:r>
        <w:rPr>
          <w:sz w:val="22"/>
          <w:szCs w:val="22"/>
          <w:lang w:eastAsia="ko-KR"/>
        </w:rPr>
        <w:t>Since a</w:t>
      </w:r>
      <w:r w:rsidR="00DF67F9" w:rsidRPr="00DF67F9">
        <w:rPr>
          <w:sz w:val="22"/>
          <w:szCs w:val="22"/>
          <w:lang w:eastAsia="ko-KR"/>
        </w:rPr>
        <w:t xml:space="preserve"> Rel-16</w:t>
      </w:r>
      <w:r w:rsidR="004633DD">
        <w:rPr>
          <w:sz w:val="22"/>
          <w:szCs w:val="22"/>
          <w:lang w:eastAsia="ko-KR"/>
        </w:rPr>
        <w:t xml:space="preserve"> or </w:t>
      </w:r>
      <w:r w:rsidR="00DF67F9" w:rsidRPr="00DF67F9">
        <w:rPr>
          <w:sz w:val="22"/>
          <w:szCs w:val="22"/>
          <w:lang w:eastAsia="ko-KR"/>
        </w:rPr>
        <w:t xml:space="preserve">Rel-17 UE </w:t>
      </w:r>
      <w:r w:rsidR="004633DD">
        <w:rPr>
          <w:sz w:val="22"/>
          <w:szCs w:val="22"/>
          <w:lang w:eastAsia="ko-KR"/>
        </w:rPr>
        <w:t>does</w:t>
      </w:r>
      <w:r>
        <w:rPr>
          <w:sz w:val="22"/>
          <w:szCs w:val="22"/>
          <w:lang w:eastAsia="ko-KR"/>
        </w:rPr>
        <w:t xml:space="preserve"> not support sidelink carrier aggregation and can operate with only one carrier, the </w:t>
      </w:r>
      <w:r w:rsidRPr="00DF67F9">
        <w:rPr>
          <w:sz w:val="22"/>
          <w:szCs w:val="22"/>
          <w:lang w:eastAsia="ko-KR"/>
        </w:rPr>
        <w:t xml:space="preserve">Rel-16/Rel-17 UE </w:t>
      </w:r>
      <w:r w:rsidR="00DF67F9">
        <w:rPr>
          <w:sz w:val="22"/>
          <w:szCs w:val="22"/>
          <w:lang w:eastAsia="ko-KR"/>
        </w:rPr>
        <w:t xml:space="preserve">may not be able to receive all TB transmissions which are broadcasted or groupcasted by a Rel-18 UE using sidelink CA </w:t>
      </w:r>
      <w:r>
        <w:rPr>
          <w:sz w:val="22"/>
          <w:szCs w:val="22"/>
          <w:lang w:eastAsia="ko-KR"/>
        </w:rPr>
        <w:t>with</w:t>
      </w:r>
      <w:r w:rsidR="00DF67F9">
        <w:rPr>
          <w:sz w:val="22"/>
          <w:szCs w:val="22"/>
          <w:lang w:eastAsia="ko-KR"/>
        </w:rPr>
        <w:t xml:space="preserve"> </w:t>
      </w:r>
      <w:r>
        <w:rPr>
          <w:sz w:val="22"/>
          <w:szCs w:val="22"/>
          <w:lang w:eastAsia="ko-KR"/>
        </w:rPr>
        <w:t xml:space="preserve">more </w:t>
      </w:r>
      <w:r w:rsidR="00DF67F9">
        <w:rPr>
          <w:sz w:val="22"/>
          <w:szCs w:val="22"/>
          <w:lang w:eastAsia="ko-KR"/>
        </w:rPr>
        <w:t>than one sidelink carrier</w:t>
      </w:r>
      <w:r>
        <w:rPr>
          <w:sz w:val="22"/>
          <w:szCs w:val="22"/>
          <w:lang w:eastAsia="ko-KR"/>
        </w:rPr>
        <w:t xml:space="preserve">. </w:t>
      </w:r>
    </w:p>
    <w:p w14:paraId="0B2A2D27" w14:textId="476BB794" w:rsidR="00141DF2" w:rsidRDefault="003B2DE1" w:rsidP="004633DD">
      <w:pPr>
        <w:spacing w:before="120" w:after="0"/>
        <w:textAlignment w:val="baseline"/>
        <w:rPr>
          <w:sz w:val="22"/>
          <w:szCs w:val="22"/>
          <w:lang w:eastAsia="ko-KR"/>
        </w:rPr>
      </w:pPr>
      <w:r>
        <w:rPr>
          <w:sz w:val="22"/>
          <w:szCs w:val="22"/>
          <w:lang w:eastAsia="ko-KR"/>
        </w:rPr>
        <w:t xml:space="preserve">For a sidelink broadcast or groupcast identified by a destination ID which is associated with a V2X service(s) (e.g., identified by a service type ID at upper layer) where the V2X service(s) </w:t>
      </w:r>
      <w:r w:rsidR="00141DF2">
        <w:rPr>
          <w:sz w:val="22"/>
          <w:szCs w:val="22"/>
          <w:lang w:eastAsia="ko-KR"/>
        </w:rPr>
        <w:t xml:space="preserve">supports </w:t>
      </w:r>
      <w:r w:rsidR="009570A4">
        <w:rPr>
          <w:sz w:val="22"/>
          <w:szCs w:val="22"/>
          <w:lang w:eastAsia="ko-KR"/>
        </w:rPr>
        <w:t xml:space="preserve">only </w:t>
      </w:r>
      <w:r w:rsidR="00141DF2">
        <w:rPr>
          <w:sz w:val="22"/>
          <w:szCs w:val="22"/>
          <w:lang w:eastAsia="ko-KR"/>
        </w:rPr>
        <w:t>Rel</w:t>
      </w:r>
      <w:r w:rsidR="004633DD">
        <w:rPr>
          <w:sz w:val="22"/>
          <w:szCs w:val="22"/>
          <w:lang w:eastAsia="ko-KR"/>
        </w:rPr>
        <w:t>-</w:t>
      </w:r>
      <w:r w:rsidR="00141DF2">
        <w:rPr>
          <w:sz w:val="22"/>
          <w:szCs w:val="22"/>
          <w:lang w:eastAsia="ko-KR"/>
        </w:rPr>
        <w:t>18 UEs, the Tx Profile may be extended with an additional indication</w:t>
      </w:r>
      <w:r w:rsidR="00164E6B">
        <w:rPr>
          <w:sz w:val="22"/>
          <w:szCs w:val="22"/>
          <w:lang w:eastAsia="ko-KR"/>
        </w:rPr>
        <w:t>, for example,</w:t>
      </w:r>
      <w:r w:rsidR="00141DF2">
        <w:rPr>
          <w:sz w:val="22"/>
          <w:szCs w:val="22"/>
          <w:lang w:eastAsia="ko-KR"/>
        </w:rPr>
        <w:t xml:space="preserve"> “no need of backward compatible). In this case, the Tx UE follows the sidelink carrier aggregation design, if enabled, as to be specified in Release 18. </w:t>
      </w:r>
    </w:p>
    <w:p w14:paraId="429F2E93" w14:textId="63617AF8" w:rsidR="00141DF2" w:rsidRDefault="004633DD" w:rsidP="004633DD">
      <w:pPr>
        <w:spacing w:before="120" w:after="0"/>
        <w:textAlignment w:val="baseline"/>
        <w:rPr>
          <w:b/>
          <w:bCs/>
          <w:i/>
          <w:iCs/>
          <w:sz w:val="22"/>
          <w:szCs w:val="22"/>
          <w:lang w:eastAsia="ko-KR"/>
        </w:rPr>
      </w:pPr>
      <w:r>
        <w:rPr>
          <w:b/>
          <w:bCs/>
          <w:i/>
          <w:iCs/>
          <w:sz w:val="22"/>
          <w:szCs w:val="22"/>
          <w:lang w:eastAsia="ko-KR"/>
        </w:rPr>
        <w:t>Observation</w:t>
      </w:r>
      <w:r w:rsidR="00141DF2" w:rsidRPr="000824F5">
        <w:rPr>
          <w:b/>
          <w:bCs/>
          <w:i/>
          <w:iCs/>
          <w:sz w:val="22"/>
          <w:szCs w:val="22"/>
          <w:lang w:eastAsia="ko-KR"/>
        </w:rPr>
        <w:t xml:space="preserve"> </w:t>
      </w:r>
      <w:r w:rsidR="00141DF2">
        <w:rPr>
          <w:b/>
          <w:bCs/>
          <w:i/>
          <w:iCs/>
          <w:sz w:val="22"/>
          <w:szCs w:val="22"/>
          <w:lang w:eastAsia="ko-KR"/>
        </w:rPr>
        <w:t>1</w:t>
      </w:r>
      <w:r w:rsidR="00141DF2" w:rsidRPr="000824F5">
        <w:rPr>
          <w:b/>
          <w:bCs/>
          <w:i/>
          <w:iCs/>
          <w:sz w:val="22"/>
          <w:szCs w:val="22"/>
          <w:lang w:eastAsia="ko-KR"/>
        </w:rPr>
        <w:t>.</w:t>
      </w:r>
      <w:r w:rsidR="00164E6B">
        <w:rPr>
          <w:b/>
          <w:bCs/>
          <w:i/>
          <w:iCs/>
          <w:sz w:val="22"/>
          <w:szCs w:val="22"/>
          <w:lang w:eastAsia="ko-KR"/>
        </w:rPr>
        <w:t xml:space="preserve"> For a sidelink broadcast or groupcast associated with a destination ID, Tx UE does not consider backward compatibility if the Tx Profile associated with the destination ID contains an indication of no backward compatibility (e.g., “no need of backward compatibility”).</w:t>
      </w:r>
    </w:p>
    <w:p w14:paraId="2129C09A" w14:textId="77777777" w:rsidR="00B0353B" w:rsidRDefault="00B0353B" w:rsidP="004633DD">
      <w:pPr>
        <w:spacing w:before="120" w:after="0"/>
        <w:textAlignment w:val="baseline"/>
        <w:rPr>
          <w:b/>
          <w:bCs/>
          <w:i/>
          <w:iCs/>
          <w:sz w:val="22"/>
          <w:szCs w:val="22"/>
          <w:lang w:eastAsia="ko-KR"/>
        </w:rPr>
      </w:pPr>
    </w:p>
    <w:p w14:paraId="0F062AF9" w14:textId="5DCF4EED" w:rsidR="00DF437E" w:rsidRDefault="00164E6B" w:rsidP="004633DD">
      <w:pPr>
        <w:spacing w:before="120" w:after="0"/>
        <w:textAlignment w:val="baseline"/>
        <w:rPr>
          <w:sz w:val="22"/>
          <w:szCs w:val="22"/>
          <w:lang w:eastAsia="ko-KR"/>
        </w:rPr>
      </w:pPr>
      <w:r>
        <w:rPr>
          <w:sz w:val="22"/>
          <w:szCs w:val="22"/>
          <w:lang w:eastAsia="ko-KR"/>
        </w:rPr>
        <w:t xml:space="preserve">For a sidelink broadcast or groupcast </w:t>
      </w:r>
      <w:r w:rsidR="00DF437E">
        <w:rPr>
          <w:sz w:val="22"/>
          <w:szCs w:val="22"/>
          <w:lang w:eastAsia="ko-KR"/>
        </w:rPr>
        <w:t>identified by</w:t>
      </w:r>
      <w:r>
        <w:rPr>
          <w:sz w:val="22"/>
          <w:szCs w:val="22"/>
          <w:lang w:eastAsia="ko-KR"/>
        </w:rPr>
        <w:t xml:space="preserve"> a destination ID</w:t>
      </w:r>
      <w:r w:rsidR="00DF437E">
        <w:rPr>
          <w:sz w:val="22"/>
          <w:szCs w:val="22"/>
          <w:lang w:eastAsia="ko-KR"/>
        </w:rPr>
        <w:t xml:space="preserve"> which is</w:t>
      </w:r>
      <w:r w:rsidR="003B2DE1">
        <w:rPr>
          <w:sz w:val="22"/>
          <w:szCs w:val="22"/>
          <w:lang w:eastAsia="ko-KR"/>
        </w:rPr>
        <w:t xml:space="preserve"> associated with</w:t>
      </w:r>
      <w:r>
        <w:rPr>
          <w:sz w:val="22"/>
          <w:szCs w:val="22"/>
          <w:lang w:eastAsia="ko-KR"/>
        </w:rPr>
        <w:t xml:space="preserve"> </w:t>
      </w:r>
      <w:r w:rsidR="003B2DE1">
        <w:rPr>
          <w:sz w:val="22"/>
          <w:szCs w:val="22"/>
          <w:lang w:eastAsia="ko-KR"/>
        </w:rPr>
        <w:t xml:space="preserve">a </w:t>
      </w:r>
      <w:r>
        <w:rPr>
          <w:sz w:val="22"/>
          <w:szCs w:val="22"/>
          <w:lang w:eastAsia="ko-KR"/>
        </w:rPr>
        <w:t>V2X service</w:t>
      </w:r>
      <w:r w:rsidR="00DF437E">
        <w:rPr>
          <w:sz w:val="22"/>
          <w:szCs w:val="22"/>
          <w:lang w:eastAsia="ko-KR"/>
        </w:rPr>
        <w:t>(</w:t>
      </w:r>
      <w:r>
        <w:rPr>
          <w:sz w:val="22"/>
          <w:szCs w:val="22"/>
          <w:lang w:eastAsia="ko-KR"/>
        </w:rPr>
        <w:t>s</w:t>
      </w:r>
      <w:r w:rsidR="00DF437E">
        <w:rPr>
          <w:sz w:val="22"/>
          <w:szCs w:val="22"/>
          <w:lang w:eastAsia="ko-KR"/>
        </w:rPr>
        <w:t>)</w:t>
      </w:r>
      <w:r>
        <w:rPr>
          <w:sz w:val="22"/>
          <w:szCs w:val="22"/>
          <w:lang w:eastAsia="ko-KR"/>
        </w:rPr>
        <w:t xml:space="preserve"> (e.g., </w:t>
      </w:r>
      <w:r w:rsidR="003B2DE1">
        <w:rPr>
          <w:sz w:val="22"/>
          <w:szCs w:val="22"/>
          <w:lang w:eastAsia="ko-KR"/>
        </w:rPr>
        <w:t>identified by</w:t>
      </w:r>
      <w:r>
        <w:rPr>
          <w:sz w:val="22"/>
          <w:szCs w:val="22"/>
          <w:lang w:eastAsia="ko-KR"/>
        </w:rPr>
        <w:t xml:space="preserve"> a service type ID</w:t>
      </w:r>
      <w:r w:rsidR="003B2DE1">
        <w:rPr>
          <w:sz w:val="22"/>
          <w:szCs w:val="22"/>
          <w:lang w:eastAsia="ko-KR"/>
        </w:rPr>
        <w:t xml:space="preserve"> at upper layer</w:t>
      </w:r>
      <w:r>
        <w:rPr>
          <w:sz w:val="22"/>
          <w:szCs w:val="22"/>
          <w:lang w:eastAsia="ko-KR"/>
        </w:rPr>
        <w:t xml:space="preserve">) </w:t>
      </w:r>
      <w:r w:rsidR="003B2DE1">
        <w:rPr>
          <w:sz w:val="22"/>
          <w:szCs w:val="22"/>
          <w:lang w:eastAsia="ko-KR"/>
        </w:rPr>
        <w:t>where the V2X service(s)</w:t>
      </w:r>
      <w:r>
        <w:rPr>
          <w:sz w:val="22"/>
          <w:szCs w:val="22"/>
          <w:lang w:eastAsia="ko-KR"/>
        </w:rPr>
        <w:t xml:space="preserve"> supports Rel</w:t>
      </w:r>
      <w:r w:rsidR="004633DD">
        <w:rPr>
          <w:sz w:val="22"/>
          <w:szCs w:val="22"/>
          <w:lang w:eastAsia="ko-KR"/>
        </w:rPr>
        <w:t>-</w:t>
      </w:r>
      <w:r>
        <w:rPr>
          <w:sz w:val="22"/>
          <w:szCs w:val="22"/>
          <w:lang w:eastAsia="ko-KR"/>
        </w:rPr>
        <w:t>18 and earlier</w:t>
      </w:r>
      <w:r w:rsidR="003B2DE1">
        <w:rPr>
          <w:sz w:val="22"/>
          <w:szCs w:val="22"/>
          <w:lang w:eastAsia="ko-KR"/>
        </w:rPr>
        <w:t xml:space="preserve"> release</w:t>
      </w:r>
      <w:r>
        <w:rPr>
          <w:sz w:val="22"/>
          <w:szCs w:val="22"/>
          <w:lang w:eastAsia="ko-KR"/>
        </w:rPr>
        <w:t xml:space="preserve"> UEs (e.g., </w:t>
      </w:r>
      <w:r w:rsidR="003B2DE1">
        <w:rPr>
          <w:sz w:val="22"/>
          <w:szCs w:val="22"/>
          <w:lang w:eastAsia="ko-KR"/>
        </w:rPr>
        <w:t xml:space="preserve">legacy UEs such as </w:t>
      </w:r>
      <w:r>
        <w:rPr>
          <w:sz w:val="22"/>
          <w:szCs w:val="22"/>
          <w:lang w:eastAsia="ko-KR"/>
        </w:rPr>
        <w:t>Rel</w:t>
      </w:r>
      <w:r w:rsidR="004633DD">
        <w:rPr>
          <w:sz w:val="22"/>
          <w:szCs w:val="22"/>
          <w:lang w:eastAsia="ko-KR"/>
        </w:rPr>
        <w:t>-</w:t>
      </w:r>
      <w:r>
        <w:rPr>
          <w:sz w:val="22"/>
          <w:szCs w:val="22"/>
          <w:lang w:eastAsia="ko-KR"/>
        </w:rPr>
        <w:t>16 or Rel</w:t>
      </w:r>
      <w:r w:rsidR="004633DD">
        <w:rPr>
          <w:sz w:val="22"/>
          <w:szCs w:val="22"/>
          <w:lang w:eastAsia="ko-KR"/>
        </w:rPr>
        <w:t>-</w:t>
      </w:r>
      <w:r>
        <w:rPr>
          <w:sz w:val="22"/>
          <w:szCs w:val="22"/>
          <w:lang w:eastAsia="ko-KR"/>
        </w:rPr>
        <w:t xml:space="preserve">17 UEs), the Tx Profile may be extended with the </w:t>
      </w:r>
      <w:r>
        <w:rPr>
          <w:sz w:val="22"/>
          <w:szCs w:val="22"/>
          <w:lang w:eastAsia="ko-KR"/>
        </w:rPr>
        <w:lastRenderedPageBreak/>
        <w:t>additional indication</w:t>
      </w:r>
      <w:r w:rsidR="00B0353B">
        <w:rPr>
          <w:sz w:val="22"/>
          <w:szCs w:val="22"/>
          <w:lang w:eastAsia="ko-KR"/>
        </w:rPr>
        <w:t>, for example,</w:t>
      </w:r>
      <w:r>
        <w:rPr>
          <w:sz w:val="22"/>
          <w:szCs w:val="22"/>
          <w:lang w:eastAsia="ko-KR"/>
        </w:rPr>
        <w:t xml:space="preserve"> “need of backward compatible). In this case, the Tx UE </w:t>
      </w:r>
      <w:r w:rsidR="00B0353B">
        <w:rPr>
          <w:sz w:val="22"/>
          <w:szCs w:val="22"/>
          <w:lang w:eastAsia="ko-KR"/>
        </w:rPr>
        <w:t>needs to support backward compatibility</w:t>
      </w:r>
      <w:r w:rsidR="00DF437E">
        <w:rPr>
          <w:sz w:val="22"/>
          <w:szCs w:val="22"/>
          <w:lang w:eastAsia="ko-KR"/>
        </w:rPr>
        <w:t xml:space="preserve"> to ensure that all packets </w:t>
      </w:r>
      <w:r w:rsidR="00B713AA">
        <w:rPr>
          <w:sz w:val="22"/>
          <w:szCs w:val="22"/>
          <w:lang w:eastAsia="ko-KR"/>
        </w:rPr>
        <w:t xml:space="preserve">associated with the V2X service(s) </w:t>
      </w:r>
      <w:r w:rsidR="00DF437E">
        <w:rPr>
          <w:sz w:val="22"/>
          <w:szCs w:val="22"/>
          <w:lang w:eastAsia="ko-KR"/>
        </w:rPr>
        <w:t>are transmitted at least on the carrier that is supported by the early release UEs (i.e., legacy UEs)</w:t>
      </w:r>
      <w:r w:rsidR="00B0353B">
        <w:rPr>
          <w:sz w:val="22"/>
          <w:szCs w:val="22"/>
          <w:lang w:eastAsia="ko-KR"/>
        </w:rPr>
        <w:t xml:space="preserve">. </w:t>
      </w:r>
    </w:p>
    <w:p w14:paraId="163C83CB" w14:textId="623B9B2D" w:rsidR="00DF437E" w:rsidRDefault="00B0353B" w:rsidP="004633DD">
      <w:pPr>
        <w:spacing w:before="120" w:after="0"/>
        <w:textAlignment w:val="baseline"/>
        <w:rPr>
          <w:sz w:val="22"/>
          <w:szCs w:val="22"/>
          <w:lang w:eastAsia="ko-KR"/>
        </w:rPr>
      </w:pPr>
      <w:r>
        <w:rPr>
          <w:sz w:val="22"/>
          <w:szCs w:val="22"/>
          <w:lang w:eastAsia="ko-KR"/>
        </w:rPr>
        <w:t xml:space="preserve">For example, </w:t>
      </w:r>
      <w:r w:rsidR="00DF437E">
        <w:rPr>
          <w:sz w:val="22"/>
          <w:szCs w:val="22"/>
          <w:lang w:eastAsia="ko-KR"/>
        </w:rPr>
        <w:t xml:space="preserve">the Tx UE may disable the sidelink carrier aggregation for the sidelink broadcast or groupcast and transmit all packets </w:t>
      </w:r>
      <w:r w:rsidR="003B2DE1">
        <w:rPr>
          <w:sz w:val="22"/>
          <w:szCs w:val="22"/>
          <w:lang w:eastAsia="ko-KR"/>
        </w:rPr>
        <w:t xml:space="preserve">associated with the V2X service(s) </w:t>
      </w:r>
      <w:r w:rsidR="00DF437E">
        <w:rPr>
          <w:sz w:val="22"/>
          <w:szCs w:val="22"/>
          <w:lang w:eastAsia="ko-KR"/>
        </w:rPr>
        <w:t xml:space="preserve">only on the carrier supported by the legacy UEs. </w:t>
      </w:r>
    </w:p>
    <w:p w14:paraId="6D9E0E25" w14:textId="53ED1812" w:rsidR="00164E6B" w:rsidRDefault="00DF437E" w:rsidP="004633DD">
      <w:pPr>
        <w:spacing w:before="120" w:after="0"/>
        <w:textAlignment w:val="baseline"/>
        <w:rPr>
          <w:sz w:val="22"/>
          <w:szCs w:val="22"/>
          <w:lang w:eastAsia="ko-KR"/>
        </w:rPr>
      </w:pPr>
      <w:r>
        <w:rPr>
          <w:sz w:val="22"/>
          <w:szCs w:val="22"/>
          <w:lang w:eastAsia="ko-KR"/>
        </w:rPr>
        <w:t xml:space="preserve">For another example, the Tx UE may keep sidelink carrier aggregation for the sidelink broadcast or groupcast and transmit all packets </w:t>
      </w:r>
      <w:r w:rsidR="003B2DE1">
        <w:rPr>
          <w:sz w:val="22"/>
          <w:szCs w:val="22"/>
          <w:lang w:eastAsia="ko-KR"/>
        </w:rPr>
        <w:t xml:space="preserve">associated with the V2X service(s) </w:t>
      </w:r>
      <w:r w:rsidR="003F66DD">
        <w:rPr>
          <w:sz w:val="22"/>
          <w:szCs w:val="22"/>
          <w:lang w:eastAsia="ko-KR"/>
        </w:rPr>
        <w:t>duplicated on</w:t>
      </w:r>
      <w:r>
        <w:rPr>
          <w:sz w:val="22"/>
          <w:szCs w:val="22"/>
          <w:lang w:eastAsia="ko-KR"/>
        </w:rPr>
        <w:t xml:space="preserve"> the carrier supported by the legacy UEs</w:t>
      </w:r>
      <w:r w:rsidR="003F66DD">
        <w:rPr>
          <w:sz w:val="22"/>
          <w:szCs w:val="22"/>
          <w:lang w:eastAsia="ko-KR"/>
        </w:rPr>
        <w:t xml:space="preserve">, if the QoS configuration </w:t>
      </w:r>
      <w:r w:rsidR="00040308">
        <w:rPr>
          <w:sz w:val="22"/>
          <w:szCs w:val="22"/>
          <w:lang w:eastAsia="ko-KR"/>
        </w:rPr>
        <w:t xml:space="preserve">(e.g., the QoS profile(s)) </w:t>
      </w:r>
      <w:r w:rsidR="003F66DD">
        <w:rPr>
          <w:sz w:val="22"/>
          <w:szCs w:val="22"/>
          <w:lang w:eastAsia="ko-KR"/>
        </w:rPr>
        <w:t>enables PDCP duplication</w:t>
      </w:r>
      <w:r>
        <w:rPr>
          <w:sz w:val="22"/>
          <w:szCs w:val="22"/>
          <w:lang w:eastAsia="ko-KR"/>
        </w:rPr>
        <w:t xml:space="preserve">. </w:t>
      </w:r>
    </w:p>
    <w:p w14:paraId="6391A337" w14:textId="3B90CCCE" w:rsidR="00164E6B" w:rsidRDefault="002A416F" w:rsidP="004633DD">
      <w:pPr>
        <w:spacing w:before="120" w:after="0"/>
        <w:textAlignment w:val="baseline"/>
        <w:rPr>
          <w:b/>
          <w:bCs/>
          <w:i/>
          <w:iCs/>
          <w:sz w:val="22"/>
          <w:szCs w:val="22"/>
          <w:lang w:eastAsia="ko-KR"/>
        </w:rPr>
      </w:pPr>
      <w:r>
        <w:rPr>
          <w:b/>
          <w:bCs/>
          <w:i/>
          <w:iCs/>
          <w:sz w:val="22"/>
          <w:szCs w:val="22"/>
          <w:lang w:eastAsia="ko-KR"/>
        </w:rPr>
        <w:t>Observation</w:t>
      </w:r>
      <w:r w:rsidR="00164E6B" w:rsidRPr="000824F5">
        <w:rPr>
          <w:b/>
          <w:bCs/>
          <w:i/>
          <w:iCs/>
          <w:sz w:val="22"/>
          <w:szCs w:val="22"/>
          <w:lang w:eastAsia="ko-KR"/>
        </w:rPr>
        <w:t xml:space="preserve"> </w:t>
      </w:r>
      <w:r w:rsidR="00B0353B">
        <w:rPr>
          <w:b/>
          <w:bCs/>
          <w:i/>
          <w:iCs/>
          <w:sz w:val="22"/>
          <w:szCs w:val="22"/>
          <w:lang w:eastAsia="ko-KR"/>
        </w:rPr>
        <w:t>2</w:t>
      </w:r>
      <w:r w:rsidR="00164E6B" w:rsidRPr="000824F5">
        <w:rPr>
          <w:b/>
          <w:bCs/>
          <w:i/>
          <w:iCs/>
          <w:sz w:val="22"/>
          <w:szCs w:val="22"/>
          <w:lang w:eastAsia="ko-KR"/>
        </w:rPr>
        <w:t>.</w:t>
      </w:r>
      <w:r w:rsidR="00164E6B">
        <w:rPr>
          <w:b/>
          <w:bCs/>
          <w:i/>
          <w:iCs/>
          <w:sz w:val="22"/>
          <w:szCs w:val="22"/>
          <w:lang w:eastAsia="ko-KR"/>
        </w:rPr>
        <w:t xml:space="preserve"> For a sidelink broadcast or groupcast associated with a destination ID, </w:t>
      </w:r>
      <w:r w:rsidR="002350AD">
        <w:rPr>
          <w:b/>
          <w:bCs/>
          <w:i/>
          <w:iCs/>
          <w:sz w:val="22"/>
          <w:szCs w:val="22"/>
          <w:lang w:eastAsia="ko-KR"/>
        </w:rPr>
        <w:t xml:space="preserve">a </w:t>
      </w:r>
      <w:r w:rsidR="00164E6B">
        <w:rPr>
          <w:b/>
          <w:bCs/>
          <w:i/>
          <w:iCs/>
          <w:sz w:val="22"/>
          <w:szCs w:val="22"/>
          <w:lang w:eastAsia="ko-KR"/>
        </w:rPr>
        <w:t xml:space="preserve">Tx UE </w:t>
      </w:r>
      <w:r w:rsidR="003F66DD">
        <w:rPr>
          <w:b/>
          <w:bCs/>
          <w:i/>
          <w:iCs/>
          <w:sz w:val="22"/>
          <w:szCs w:val="22"/>
          <w:lang w:eastAsia="ko-KR"/>
        </w:rPr>
        <w:t>needs to support</w:t>
      </w:r>
      <w:r w:rsidR="00164E6B">
        <w:rPr>
          <w:b/>
          <w:bCs/>
          <w:i/>
          <w:iCs/>
          <w:sz w:val="22"/>
          <w:szCs w:val="22"/>
          <w:lang w:eastAsia="ko-KR"/>
        </w:rPr>
        <w:t xml:space="preserve"> backward compatibility if the Tx Profile associated with the destination ID contains an indication of backward compatibility (e.g., “need of backward compatibility”)</w:t>
      </w:r>
      <w:r w:rsidR="003F66DD">
        <w:rPr>
          <w:b/>
          <w:bCs/>
          <w:i/>
          <w:iCs/>
          <w:sz w:val="22"/>
          <w:szCs w:val="22"/>
          <w:lang w:eastAsia="ko-KR"/>
        </w:rPr>
        <w:t>, with the following options.</w:t>
      </w:r>
    </w:p>
    <w:p w14:paraId="5434FE95" w14:textId="77777777" w:rsidR="002A416F" w:rsidRDefault="002A416F" w:rsidP="004633DD">
      <w:pPr>
        <w:spacing w:before="120" w:after="0"/>
        <w:textAlignment w:val="baseline"/>
        <w:rPr>
          <w:b/>
          <w:bCs/>
          <w:i/>
          <w:iCs/>
          <w:sz w:val="22"/>
          <w:szCs w:val="22"/>
          <w:lang w:eastAsia="ko-KR"/>
        </w:rPr>
      </w:pPr>
    </w:p>
    <w:p w14:paraId="70808EFA" w14:textId="1CEDFB4B" w:rsidR="002A416F" w:rsidRDefault="002A416F" w:rsidP="004633DD">
      <w:pPr>
        <w:spacing w:before="120" w:after="0"/>
        <w:textAlignment w:val="baseline"/>
        <w:rPr>
          <w:b/>
          <w:bCs/>
          <w:i/>
          <w:iCs/>
          <w:sz w:val="22"/>
          <w:szCs w:val="22"/>
          <w:lang w:eastAsia="ko-KR"/>
        </w:rPr>
      </w:pPr>
      <w:r w:rsidRPr="000824F5">
        <w:rPr>
          <w:b/>
          <w:bCs/>
          <w:i/>
          <w:iCs/>
          <w:sz w:val="22"/>
          <w:szCs w:val="22"/>
          <w:lang w:eastAsia="ko-KR"/>
        </w:rPr>
        <w:t xml:space="preserve">Proposal </w:t>
      </w:r>
      <w:r>
        <w:rPr>
          <w:b/>
          <w:bCs/>
          <w:i/>
          <w:iCs/>
          <w:sz w:val="22"/>
          <w:szCs w:val="22"/>
          <w:lang w:eastAsia="ko-KR"/>
        </w:rPr>
        <w:t>1. To support backward compatibility, the following design options may be considered.</w:t>
      </w:r>
    </w:p>
    <w:p w14:paraId="27B1C2CC" w14:textId="2EACE75E" w:rsidR="003F66DD" w:rsidRDefault="003F66DD" w:rsidP="004633DD">
      <w:pPr>
        <w:spacing w:before="120" w:after="0"/>
        <w:ind w:left="1260" w:hanging="938"/>
        <w:textAlignment w:val="baseline"/>
        <w:rPr>
          <w:b/>
          <w:bCs/>
          <w:i/>
          <w:iCs/>
          <w:sz w:val="22"/>
          <w:szCs w:val="22"/>
          <w:lang w:eastAsia="ko-KR"/>
        </w:rPr>
      </w:pPr>
      <w:r>
        <w:rPr>
          <w:b/>
          <w:bCs/>
          <w:i/>
          <w:iCs/>
          <w:sz w:val="22"/>
          <w:szCs w:val="22"/>
          <w:lang w:eastAsia="ko-KR"/>
        </w:rPr>
        <w:t xml:space="preserve">Option 1. Up to UE implementation. </w:t>
      </w:r>
      <w:r w:rsidRPr="003F66DD">
        <w:rPr>
          <w:b/>
          <w:bCs/>
          <w:i/>
          <w:iCs/>
          <w:sz w:val="22"/>
          <w:szCs w:val="22"/>
          <w:lang w:eastAsia="ko-KR"/>
        </w:rPr>
        <w:t xml:space="preserve">FFS UE behavior if </w:t>
      </w:r>
      <w:r>
        <w:rPr>
          <w:b/>
          <w:bCs/>
          <w:i/>
          <w:iCs/>
          <w:sz w:val="22"/>
          <w:szCs w:val="22"/>
          <w:lang w:eastAsia="ko-KR"/>
        </w:rPr>
        <w:t xml:space="preserve">the Tx </w:t>
      </w:r>
      <w:r w:rsidRPr="003F66DD">
        <w:rPr>
          <w:b/>
          <w:bCs/>
          <w:i/>
          <w:iCs/>
          <w:sz w:val="22"/>
          <w:szCs w:val="22"/>
          <w:lang w:eastAsia="ko-KR"/>
        </w:rPr>
        <w:t>UE choose to use</w:t>
      </w:r>
      <w:r>
        <w:rPr>
          <w:b/>
          <w:bCs/>
          <w:i/>
          <w:iCs/>
          <w:sz w:val="22"/>
          <w:szCs w:val="22"/>
          <w:lang w:eastAsia="ko-KR"/>
        </w:rPr>
        <w:t xml:space="preserve"> SL CA</w:t>
      </w:r>
      <w:r w:rsidRPr="003F66DD">
        <w:rPr>
          <w:b/>
          <w:bCs/>
          <w:i/>
          <w:iCs/>
          <w:sz w:val="22"/>
          <w:szCs w:val="22"/>
          <w:lang w:eastAsia="ko-KR"/>
        </w:rPr>
        <w:t xml:space="preserve"> PDCP duplication</w:t>
      </w:r>
    </w:p>
    <w:p w14:paraId="2566EDD7" w14:textId="0A6E7BB7" w:rsidR="003F66DD" w:rsidRDefault="003F66DD" w:rsidP="004633DD">
      <w:pPr>
        <w:spacing w:before="120" w:after="0"/>
        <w:ind w:left="1260" w:hanging="938"/>
        <w:rPr>
          <w:b/>
          <w:bCs/>
          <w:i/>
          <w:iCs/>
          <w:sz w:val="22"/>
          <w:szCs w:val="22"/>
          <w:lang w:eastAsia="ko-KR"/>
        </w:rPr>
      </w:pPr>
      <w:r>
        <w:rPr>
          <w:b/>
          <w:bCs/>
          <w:i/>
          <w:iCs/>
          <w:sz w:val="22"/>
          <w:szCs w:val="22"/>
          <w:lang w:eastAsia="ko-KR"/>
        </w:rPr>
        <w:t xml:space="preserve">Option 2. </w:t>
      </w:r>
      <w:r w:rsidR="002350AD">
        <w:rPr>
          <w:b/>
          <w:bCs/>
          <w:i/>
          <w:iCs/>
          <w:sz w:val="22"/>
          <w:szCs w:val="22"/>
          <w:lang w:eastAsia="ko-KR"/>
        </w:rPr>
        <w:t>T</w:t>
      </w:r>
      <w:r>
        <w:rPr>
          <w:b/>
          <w:bCs/>
          <w:i/>
          <w:iCs/>
          <w:sz w:val="22"/>
          <w:szCs w:val="22"/>
          <w:lang w:eastAsia="ko-KR"/>
        </w:rPr>
        <w:t>he Tx UE</w:t>
      </w:r>
      <w:r w:rsidRPr="003F66DD">
        <w:rPr>
          <w:b/>
          <w:bCs/>
          <w:i/>
          <w:iCs/>
          <w:sz w:val="22"/>
          <w:szCs w:val="22"/>
          <w:lang w:eastAsia="ko-KR"/>
        </w:rPr>
        <w:t xml:space="preserve"> </w:t>
      </w:r>
      <w:r>
        <w:rPr>
          <w:b/>
          <w:bCs/>
          <w:i/>
          <w:iCs/>
          <w:sz w:val="22"/>
          <w:szCs w:val="22"/>
          <w:lang w:eastAsia="ko-KR"/>
        </w:rPr>
        <w:t>determines whether</w:t>
      </w:r>
      <w:r w:rsidR="002350AD">
        <w:rPr>
          <w:b/>
          <w:bCs/>
          <w:i/>
          <w:iCs/>
          <w:sz w:val="22"/>
          <w:szCs w:val="22"/>
          <w:lang w:eastAsia="ko-KR"/>
        </w:rPr>
        <w:t xml:space="preserve"> SL CA</w:t>
      </w:r>
      <w:r>
        <w:rPr>
          <w:b/>
          <w:bCs/>
          <w:i/>
          <w:iCs/>
          <w:sz w:val="22"/>
          <w:szCs w:val="22"/>
          <w:lang w:eastAsia="ko-KR"/>
        </w:rPr>
        <w:t xml:space="preserve"> PDCP duplication is applied with </w:t>
      </w:r>
      <w:r w:rsidR="002350AD">
        <w:rPr>
          <w:b/>
          <w:bCs/>
          <w:i/>
          <w:iCs/>
          <w:sz w:val="22"/>
          <w:szCs w:val="22"/>
          <w:lang w:eastAsia="ko-KR"/>
        </w:rPr>
        <w:t xml:space="preserve">the </w:t>
      </w:r>
      <w:r>
        <w:rPr>
          <w:b/>
          <w:bCs/>
          <w:i/>
          <w:iCs/>
          <w:sz w:val="22"/>
          <w:szCs w:val="22"/>
          <w:lang w:eastAsia="ko-KR"/>
        </w:rPr>
        <w:t>carrier</w:t>
      </w:r>
      <w:r w:rsidR="002350AD">
        <w:rPr>
          <w:b/>
          <w:bCs/>
          <w:i/>
          <w:iCs/>
          <w:sz w:val="22"/>
          <w:szCs w:val="22"/>
          <w:lang w:eastAsia="ko-KR"/>
        </w:rPr>
        <w:t xml:space="preserve"> supported by the legacy UEs, b</w:t>
      </w:r>
      <w:r w:rsidR="002350AD" w:rsidRPr="003F66DD">
        <w:rPr>
          <w:b/>
          <w:bCs/>
          <w:i/>
          <w:iCs/>
          <w:sz w:val="22"/>
          <w:szCs w:val="22"/>
          <w:lang w:eastAsia="ko-KR"/>
        </w:rPr>
        <w:t>ased on</w:t>
      </w:r>
      <w:r w:rsidR="002350AD">
        <w:rPr>
          <w:b/>
          <w:bCs/>
          <w:i/>
          <w:iCs/>
          <w:sz w:val="22"/>
          <w:szCs w:val="22"/>
          <w:lang w:eastAsia="ko-KR"/>
        </w:rPr>
        <w:t xml:space="preserve"> the</w:t>
      </w:r>
      <w:r w:rsidR="002350AD" w:rsidRPr="003F66DD">
        <w:rPr>
          <w:b/>
          <w:bCs/>
          <w:i/>
          <w:iCs/>
          <w:sz w:val="22"/>
          <w:szCs w:val="22"/>
          <w:lang w:eastAsia="ko-KR"/>
        </w:rPr>
        <w:t xml:space="preserve"> Q</w:t>
      </w:r>
      <w:r w:rsidR="00941026">
        <w:rPr>
          <w:b/>
          <w:bCs/>
          <w:i/>
          <w:iCs/>
          <w:sz w:val="22"/>
          <w:szCs w:val="22"/>
          <w:lang w:eastAsia="ko-KR"/>
        </w:rPr>
        <w:t>o</w:t>
      </w:r>
      <w:r w:rsidR="002350AD" w:rsidRPr="003F66DD">
        <w:rPr>
          <w:b/>
          <w:bCs/>
          <w:i/>
          <w:iCs/>
          <w:sz w:val="22"/>
          <w:szCs w:val="22"/>
          <w:lang w:eastAsia="ko-KR"/>
        </w:rPr>
        <w:t>S profile</w:t>
      </w:r>
      <w:r w:rsidR="002350AD">
        <w:rPr>
          <w:b/>
          <w:bCs/>
          <w:i/>
          <w:iCs/>
          <w:sz w:val="22"/>
          <w:szCs w:val="22"/>
          <w:lang w:eastAsia="ko-KR"/>
        </w:rPr>
        <w:t xml:space="preserve"> associated with the destination ID</w:t>
      </w:r>
      <w:r w:rsidR="002A416F">
        <w:rPr>
          <w:b/>
          <w:bCs/>
          <w:i/>
          <w:iCs/>
          <w:sz w:val="22"/>
          <w:szCs w:val="22"/>
          <w:lang w:eastAsia="ko-KR"/>
        </w:rPr>
        <w:t xml:space="preserve"> of a sidelink broadcast or groupcast</w:t>
      </w:r>
      <w:r w:rsidRPr="003F66DD">
        <w:rPr>
          <w:b/>
          <w:bCs/>
          <w:i/>
          <w:iCs/>
          <w:sz w:val="22"/>
          <w:szCs w:val="22"/>
          <w:lang w:eastAsia="ko-KR"/>
        </w:rPr>
        <w:t xml:space="preserve">. FFS UE behavior if </w:t>
      </w:r>
      <w:r>
        <w:rPr>
          <w:b/>
          <w:bCs/>
          <w:i/>
          <w:iCs/>
          <w:sz w:val="22"/>
          <w:szCs w:val="22"/>
          <w:lang w:eastAsia="ko-KR"/>
        </w:rPr>
        <w:t xml:space="preserve">SL </w:t>
      </w:r>
      <w:r w:rsidRPr="003F66DD">
        <w:rPr>
          <w:b/>
          <w:bCs/>
          <w:i/>
          <w:iCs/>
          <w:sz w:val="22"/>
          <w:szCs w:val="22"/>
          <w:lang w:eastAsia="ko-KR"/>
        </w:rPr>
        <w:t xml:space="preserve">CA PDCP duplication is </w:t>
      </w:r>
      <w:r w:rsidR="002350AD">
        <w:rPr>
          <w:b/>
          <w:bCs/>
          <w:i/>
          <w:iCs/>
          <w:sz w:val="22"/>
          <w:szCs w:val="22"/>
          <w:lang w:eastAsia="ko-KR"/>
        </w:rPr>
        <w:t>enabled</w:t>
      </w:r>
      <w:r w:rsidRPr="003F66DD">
        <w:rPr>
          <w:b/>
          <w:bCs/>
          <w:i/>
          <w:iCs/>
          <w:sz w:val="22"/>
          <w:szCs w:val="22"/>
          <w:lang w:eastAsia="ko-KR"/>
        </w:rPr>
        <w:t xml:space="preserve"> based on QoS</w:t>
      </w:r>
      <w:r>
        <w:rPr>
          <w:b/>
          <w:bCs/>
          <w:i/>
          <w:iCs/>
          <w:sz w:val="22"/>
          <w:szCs w:val="22"/>
          <w:lang w:eastAsia="ko-KR"/>
        </w:rPr>
        <w:t xml:space="preserve"> profile.</w:t>
      </w:r>
    </w:p>
    <w:p w14:paraId="305678C5" w14:textId="0B930D74" w:rsidR="003F66DD" w:rsidRPr="003F66DD" w:rsidRDefault="003F66DD" w:rsidP="004633DD">
      <w:pPr>
        <w:spacing w:before="120" w:after="0"/>
        <w:ind w:left="1260" w:hanging="938"/>
        <w:rPr>
          <w:b/>
          <w:bCs/>
          <w:i/>
          <w:iCs/>
          <w:sz w:val="22"/>
          <w:szCs w:val="22"/>
          <w:lang w:eastAsia="ko-KR"/>
        </w:rPr>
      </w:pPr>
      <w:r w:rsidRPr="003F66DD">
        <w:rPr>
          <w:b/>
          <w:bCs/>
          <w:i/>
          <w:iCs/>
          <w:sz w:val="22"/>
          <w:szCs w:val="22"/>
          <w:lang w:eastAsia="ko-KR"/>
        </w:rPr>
        <w:t xml:space="preserve">Option 3. </w:t>
      </w:r>
      <w:r w:rsidR="002350AD">
        <w:rPr>
          <w:b/>
          <w:bCs/>
          <w:i/>
          <w:iCs/>
          <w:sz w:val="22"/>
          <w:szCs w:val="22"/>
          <w:lang w:eastAsia="ko-KR"/>
        </w:rPr>
        <w:t xml:space="preserve">The Tx UE follows non-SL-CA procedure and </w:t>
      </w:r>
      <w:r w:rsidR="002350AD" w:rsidRPr="002350AD">
        <w:rPr>
          <w:b/>
          <w:bCs/>
          <w:i/>
          <w:iCs/>
          <w:sz w:val="22"/>
          <w:szCs w:val="22"/>
          <w:lang w:eastAsia="ko-KR"/>
        </w:rPr>
        <w:t xml:space="preserve">transmits all packets </w:t>
      </w:r>
      <w:r w:rsidRPr="003F66DD">
        <w:rPr>
          <w:b/>
          <w:bCs/>
          <w:i/>
          <w:iCs/>
          <w:sz w:val="22"/>
          <w:szCs w:val="22"/>
          <w:lang w:eastAsia="ko-KR"/>
        </w:rPr>
        <w:t xml:space="preserve">on </w:t>
      </w:r>
      <w:r w:rsidR="002350AD">
        <w:rPr>
          <w:b/>
          <w:bCs/>
          <w:i/>
          <w:iCs/>
          <w:sz w:val="22"/>
          <w:szCs w:val="22"/>
          <w:lang w:eastAsia="ko-KR"/>
        </w:rPr>
        <w:t xml:space="preserve">the </w:t>
      </w:r>
      <w:r w:rsidR="009570A4">
        <w:rPr>
          <w:b/>
          <w:bCs/>
          <w:i/>
          <w:iCs/>
          <w:sz w:val="22"/>
          <w:szCs w:val="22"/>
          <w:lang w:eastAsia="ko-KR"/>
        </w:rPr>
        <w:t xml:space="preserve">single </w:t>
      </w:r>
      <w:r w:rsidRPr="003F66DD">
        <w:rPr>
          <w:b/>
          <w:bCs/>
          <w:i/>
          <w:iCs/>
          <w:sz w:val="22"/>
          <w:szCs w:val="22"/>
          <w:lang w:eastAsia="ko-KR"/>
        </w:rPr>
        <w:t>carrier</w:t>
      </w:r>
      <w:r w:rsidR="002350AD" w:rsidRPr="002350AD">
        <w:rPr>
          <w:b/>
          <w:bCs/>
          <w:i/>
          <w:iCs/>
          <w:sz w:val="22"/>
          <w:szCs w:val="22"/>
          <w:lang w:eastAsia="ko-KR"/>
        </w:rPr>
        <w:t xml:space="preserve"> </w:t>
      </w:r>
      <w:r w:rsidR="002350AD">
        <w:rPr>
          <w:b/>
          <w:bCs/>
          <w:i/>
          <w:iCs/>
          <w:sz w:val="22"/>
          <w:szCs w:val="22"/>
          <w:lang w:eastAsia="ko-KR"/>
        </w:rPr>
        <w:t>supported by the legacy UEs</w:t>
      </w:r>
      <w:r w:rsidRPr="003F66DD">
        <w:rPr>
          <w:b/>
          <w:bCs/>
          <w:i/>
          <w:iCs/>
          <w:sz w:val="22"/>
          <w:szCs w:val="22"/>
          <w:lang w:eastAsia="ko-KR"/>
        </w:rPr>
        <w:t>.</w:t>
      </w:r>
    </w:p>
    <w:p w14:paraId="60713355" w14:textId="77777777" w:rsidR="009219F1" w:rsidRDefault="009219F1" w:rsidP="004633DD">
      <w:pPr>
        <w:spacing w:before="120" w:after="0"/>
      </w:pPr>
    </w:p>
    <w:p w14:paraId="17FB9A5B" w14:textId="4C20AC8E" w:rsidR="002350AD" w:rsidRDefault="00040308" w:rsidP="004633DD">
      <w:pPr>
        <w:spacing w:before="120" w:after="0"/>
        <w:rPr>
          <w:sz w:val="22"/>
          <w:szCs w:val="22"/>
          <w:lang w:eastAsia="ko-KR"/>
        </w:rPr>
      </w:pPr>
      <w:r w:rsidRPr="00040308">
        <w:rPr>
          <w:sz w:val="22"/>
          <w:szCs w:val="22"/>
          <w:lang w:eastAsia="ko-KR"/>
        </w:rPr>
        <w:t xml:space="preserve">In the case of Option 2, the Tx UE may use SL CA PDCP duplication with at least the carrier supported by legacy UEs, if the QoS profile(s) enables PDCP duplication. For example, the Tx UE may always select the carrier supported by the legacy UEs and then select another carrier </w:t>
      </w:r>
      <w:r w:rsidR="004278EC">
        <w:rPr>
          <w:sz w:val="22"/>
          <w:szCs w:val="22"/>
          <w:lang w:eastAsia="ko-KR"/>
        </w:rPr>
        <w:t xml:space="preserve">among </w:t>
      </w:r>
      <w:r w:rsidR="00C0737F">
        <w:rPr>
          <w:sz w:val="22"/>
          <w:szCs w:val="22"/>
          <w:lang w:eastAsia="ko-KR"/>
        </w:rPr>
        <w:t xml:space="preserve">all </w:t>
      </w:r>
      <w:r w:rsidR="004278EC">
        <w:rPr>
          <w:sz w:val="22"/>
          <w:szCs w:val="22"/>
          <w:lang w:eastAsia="ko-KR"/>
        </w:rPr>
        <w:t xml:space="preserve">the remaining carriers allowed </w:t>
      </w:r>
      <w:r w:rsidRPr="00040308">
        <w:rPr>
          <w:sz w:val="22"/>
          <w:szCs w:val="22"/>
          <w:lang w:eastAsia="ko-KR"/>
        </w:rPr>
        <w:t>based on carrier selection or reselection criteria (e.g., CBR measurements).</w:t>
      </w:r>
    </w:p>
    <w:p w14:paraId="2897007A" w14:textId="12AF90C6" w:rsidR="00222CA4" w:rsidRDefault="00941026" w:rsidP="004633DD">
      <w:pPr>
        <w:spacing w:before="120" w:after="0"/>
        <w:rPr>
          <w:sz w:val="22"/>
          <w:szCs w:val="22"/>
          <w:lang w:eastAsia="ko-KR"/>
        </w:rPr>
      </w:pPr>
      <w:r>
        <w:rPr>
          <w:sz w:val="22"/>
          <w:szCs w:val="22"/>
          <w:lang w:eastAsia="ko-KR"/>
        </w:rPr>
        <w:t>Following</w:t>
      </w:r>
      <w:r w:rsidR="008C4618">
        <w:rPr>
          <w:sz w:val="22"/>
          <w:szCs w:val="22"/>
          <w:lang w:eastAsia="ko-KR"/>
        </w:rPr>
        <w:t xml:space="preserve"> LTE V2X SL-CA PDCP duplication, two RLC entities may be preconfigured or configured for PDCP duplication based on QoS profile(s) associated to a sid</w:t>
      </w:r>
      <w:r w:rsidR="003E3747">
        <w:rPr>
          <w:sz w:val="22"/>
          <w:szCs w:val="22"/>
          <w:lang w:eastAsia="ko-KR"/>
        </w:rPr>
        <w:t>e</w:t>
      </w:r>
      <w:r w:rsidR="008C4618">
        <w:rPr>
          <w:sz w:val="22"/>
          <w:szCs w:val="22"/>
          <w:lang w:eastAsia="ko-KR"/>
        </w:rPr>
        <w:t xml:space="preserve">link broadcast or groupcast destination ID, where a group of logical channels may be associated with </w:t>
      </w:r>
      <w:r w:rsidR="002A416F">
        <w:rPr>
          <w:sz w:val="22"/>
          <w:szCs w:val="22"/>
          <w:lang w:eastAsia="ko-KR"/>
        </w:rPr>
        <w:t>one</w:t>
      </w:r>
      <w:r w:rsidR="008C4618">
        <w:rPr>
          <w:sz w:val="22"/>
          <w:szCs w:val="22"/>
          <w:lang w:eastAsia="ko-KR"/>
        </w:rPr>
        <w:t xml:space="preserve"> RLC </w:t>
      </w:r>
      <w:r w:rsidR="002A416F">
        <w:rPr>
          <w:sz w:val="22"/>
          <w:szCs w:val="22"/>
          <w:lang w:eastAsia="ko-KR"/>
        </w:rPr>
        <w:t>entity and another group of logical channels may be associated with the other RLC entity</w:t>
      </w:r>
      <w:r w:rsidR="008C4618">
        <w:rPr>
          <w:sz w:val="22"/>
          <w:szCs w:val="22"/>
          <w:lang w:eastAsia="ko-KR"/>
        </w:rPr>
        <w:t>.</w:t>
      </w:r>
      <w:r w:rsidR="00222CA4">
        <w:rPr>
          <w:sz w:val="22"/>
          <w:szCs w:val="22"/>
          <w:lang w:eastAsia="ko-KR"/>
        </w:rPr>
        <w:t xml:space="preserve"> In this case, the Tx UE may always select the carrier supported by legacy UEs for one group of logical channels</w:t>
      </w:r>
      <w:r w:rsidR="00C0737F">
        <w:rPr>
          <w:sz w:val="22"/>
          <w:szCs w:val="22"/>
          <w:lang w:eastAsia="ko-KR"/>
        </w:rPr>
        <w:t xml:space="preserve"> from one of the configured carrier </w:t>
      </w:r>
      <w:proofErr w:type="gramStart"/>
      <w:r w:rsidR="00C0737F">
        <w:rPr>
          <w:sz w:val="22"/>
          <w:szCs w:val="22"/>
          <w:lang w:eastAsia="ko-KR"/>
        </w:rPr>
        <w:t>set</w:t>
      </w:r>
      <w:proofErr w:type="gramEnd"/>
      <w:r w:rsidR="00C0737F">
        <w:rPr>
          <w:sz w:val="22"/>
          <w:szCs w:val="22"/>
          <w:lang w:eastAsia="ko-KR"/>
        </w:rPr>
        <w:t xml:space="preserve"> (e.g., as </w:t>
      </w:r>
      <w:r w:rsidR="00C0737F" w:rsidRPr="00810253">
        <w:rPr>
          <w:i/>
          <w:iCs/>
          <w:sz w:val="22"/>
          <w:szCs w:val="22"/>
          <w:lang w:eastAsia="ko-KR"/>
        </w:rPr>
        <w:t>allowedCarrierFreqSet1</w:t>
      </w:r>
      <w:r w:rsidR="00C0737F">
        <w:rPr>
          <w:i/>
          <w:iCs/>
          <w:sz w:val="22"/>
          <w:szCs w:val="22"/>
          <w:lang w:eastAsia="ko-KR"/>
        </w:rPr>
        <w:t xml:space="preserve"> </w:t>
      </w:r>
      <w:r w:rsidR="00C0737F" w:rsidRPr="00810253">
        <w:rPr>
          <w:sz w:val="22"/>
          <w:szCs w:val="22"/>
          <w:lang w:eastAsia="ko-KR"/>
        </w:rPr>
        <w:t>used in LTE SL CA</w:t>
      </w:r>
      <w:r w:rsidR="00C0737F">
        <w:rPr>
          <w:sz w:val="22"/>
          <w:szCs w:val="22"/>
          <w:lang w:eastAsia="ko-KR"/>
        </w:rPr>
        <w:t>)</w:t>
      </w:r>
      <w:r w:rsidR="00222CA4">
        <w:rPr>
          <w:sz w:val="22"/>
          <w:szCs w:val="22"/>
          <w:lang w:eastAsia="ko-KR"/>
        </w:rPr>
        <w:t xml:space="preserve"> and select </w:t>
      </w:r>
      <w:r w:rsidR="002A416F">
        <w:rPr>
          <w:sz w:val="22"/>
          <w:szCs w:val="22"/>
          <w:lang w:eastAsia="ko-KR"/>
        </w:rPr>
        <w:t>the</w:t>
      </w:r>
      <w:r w:rsidR="00222CA4">
        <w:rPr>
          <w:sz w:val="22"/>
          <w:szCs w:val="22"/>
          <w:lang w:eastAsia="ko-KR"/>
        </w:rPr>
        <w:t xml:space="preserve"> other carrier based on the CBR measurement for the other group of logical channel</w:t>
      </w:r>
      <w:r w:rsidR="002A416F">
        <w:rPr>
          <w:sz w:val="22"/>
          <w:szCs w:val="22"/>
          <w:lang w:eastAsia="ko-KR"/>
        </w:rPr>
        <w:t>s</w:t>
      </w:r>
      <w:r w:rsidR="00EE7821">
        <w:rPr>
          <w:sz w:val="22"/>
          <w:szCs w:val="22"/>
          <w:lang w:eastAsia="ko-KR"/>
        </w:rPr>
        <w:t xml:space="preserve"> from the other configured carrier set</w:t>
      </w:r>
      <w:r w:rsidR="00C0737F">
        <w:rPr>
          <w:sz w:val="22"/>
          <w:szCs w:val="22"/>
          <w:lang w:eastAsia="ko-KR"/>
        </w:rPr>
        <w:t xml:space="preserve"> (e.g., </w:t>
      </w:r>
      <w:r w:rsidR="00C0737F" w:rsidRPr="00810253">
        <w:rPr>
          <w:i/>
          <w:iCs/>
          <w:sz w:val="22"/>
          <w:szCs w:val="22"/>
          <w:lang w:eastAsia="ko-KR"/>
        </w:rPr>
        <w:t>allowedCarrierFreqSet</w:t>
      </w:r>
      <w:r w:rsidR="00C0737F">
        <w:rPr>
          <w:i/>
          <w:iCs/>
          <w:sz w:val="22"/>
          <w:szCs w:val="22"/>
          <w:lang w:eastAsia="ko-KR"/>
        </w:rPr>
        <w:t>2)</w:t>
      </w:r>
      <w:r w:rsidR="00222CA4">
        <w:rPr>
          <w:sz w:val="22"/>
          <w:szCs w:val="22"/>
          <w:lang w:eastAsia="ko-KR"/>
        </w:rPr>
        <w:t>.</w:t>
      </w:r>
    </w:p>
    <w:p w14:paraId="27FF19A5" w14:textId="1AB30DFA" w:rsidR="00222CA4" w:rsidRDefault="00222CA4" w:rsidP="004633DD">
      <w:pPr>
        <w:spacing w:before="120" w:after="0"/>
        <w:textAlignment w:val="baseline"/>
        <w:rPr>
          <w:b/>
          <w:bCs/>
          <w:i/>
          <w:iCs/>
          <w:sz w:val="22"/>
          <w:szCs w:val="22"/>
          <w:lang w:eastAsia="ko-KR"/>
        </w:rPr>
      </w:pPr>
      <w:r w:rsidRPr="000824F5">
        <w:rPr>
          <w:b/>
          <w:bCs/>
          <w:i/>
          <w:iCs/>
          <w:sz w:val="22"/>
          <w:szCs w:val="22"/>
          <w:lang w:eastAsia="ko-KR"/>
        </w:rPr>
        <w:t xml:space="preserve">Proposal </w:t>
      </w:r>
      <w:r w:rsidR="00941026">
        <w:rPr>
          <w:b/>
          <w:bCs/>
          <w:i/>
          <w:iCs/>
          <w:sz w:val="22"/>
          <w:szCs w:val="22"/>
          <w:lang w:eastAsia="ko-KR"/>
        </w:rPr>
        <w:t>2</w:t>
      </w:r>
      <w:r w:rsidRPr="000824F5">
        <w:rPr>
          <w:b/>
          <w:bCs/>
          <w:i/>
          <w:iCs/>
          <w:sz w:val="22"/>
          <w:szCs w:val="22"/>
          <w:lang w:eastAsia="ko-KR"/>
        </w:rPr>
        <w:t>.</w:t>
      </w:r>
      <w:r>
        <w:rPr>
          <w:b/>
          <w:bCs/>
          <w:i/>
          <w:iCs/>
          <w:sz w:val="22"/>
          <w:szCs w:val="22"/>
          <w:lang w:eastAsia="ko-KR"/>
        </w:rPr>
        <w:t xml:space="preserve"> RAN2 further discuss </w:t>
      </w:r>
      <w:r w:rsidR="004278EC">
        <w:rPr>
          <w:b/>
          <w:bCs/>
          <w:i/>
          <w:iCs/>
          <w:sz w:val="22"/>
          <w:szCs w:val="22"/>
          <w:lang w:eastAsia="ko-KR"/>
        </w:rPr>
        <w:t xml:space="preserve">how </w:t>
      </w:r>
      <w:r>
        <w:rPr>
          <w:b/>
          <w:bCs/>
          <w:i/>
          <w:iCs/>
          <w:sz w:val="22"/>
          <w:szCs w:val="22"/>
          <w:lang w:eastAsia="ko-KR"/>
        </w:rPr>
        <w:t xml:space="preserve">carrier (re)selection </w:t>
      </w:r>
      <w:proofErr w:type="gramStart"/>
      <w:r w:rsidR="004278EC">
        <w:rPr>
          <w:b/>
          <w:bCs/>
          <w:i/>
          <w:iCs/>
          <w:sz w:val="22"/>
          <w:szCs w:val="22"/>
          <w:lang w:eastAsia="ko-KR"/>
        </w:rPr>
        <w:t>takes into account</w:t>
      </w:r>
      <w:proofErr w:type="gramEnd"/>
      <w:r w:rsidR="004278EC">
        <w:rPr>
          <w:b/>
          <w:bCs/>
          <w:i/>
          <w:iCs/>
          <w:sz w:val="22"/>
          <w:szCs w:val="22"/>
          <w:lang w:eastAsia="ko-KR"/>
        </w:rPr>
        <w:t xml:space="preserve"> </w:t>
      </w:r>
      <w:r>
        <w:rPr>
          <w:b/>
          <w:bCs/>
          <w:i/>
          <w:iCs/>
          <w:sz w:val="22"/>
          <w:szCs w:val="22"/>
          <w:lang w:eastAsia="ko-KR"/>
        </w:rPr>
        <w:t>the carrier supported by legacy UEs if option 2 is supported.</w:t>
      </w:r>
    </w:p>
    <w:p w14:paraId="034395A0" w14:textId="77777777" w:rsidR="00440C2B" w:rsidRPr="00692DEB" w:rsidRDefault="00440C2B" w:rsidP="00440C2B">
      <w:pPr>
        <w:pStyle w:val="Heading1"/>
        <w:rPr>
          <w:b/>
          <w:lang w:val="en-US"/>
        </w:rPr>
      </w:pPr>
      <w:r>
        <w:rPr>
          <w:lang w:val="en-US"/>
        </w:rPr>
        <w:t>Conclusion</w:t>
      </w:r>
    </w:p>
    <w:p w14:paraId="52CFD56B" w14:textId="405A5669" w:rsidR="004C4F7D" w:rsidRPr="004633DD" w:rsidRDefault="008E65BF" w:rsidP="004633DD">
      <w:pPr>
        <w:rPr>
          <w:color w:val="auto"/>
          <w:sz w:val="22"/>
          <w:szCs w:val="22"/>
        </w:rPr>
      </w:pPr>
      <w:r w:rsidRPr="00DB0F72">
        <w:rPr>
          <w:color w:val="000000" w:themeColor="text1"/>
          <w:sz w:val="22"/>
          <w:szCs w:val="22"/>
        </w:rPr>
        <w:t xml:space="preserve">In this contribution, we </w:t>
      </w:r>
      <w:bookmarkStart w:id="1" w:name="_Hlk92772570"/>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D34EF2">
        <w:rPr>
          <w:color w:val="auto"/>
          <w:sz w:val="22"/>
          <w:szCs w:val="22"/>
        </w:rPr>
        <w:t>design considerations for backward compatibility issue with sidelink carrier aggregation GC/BC using Tx Profile</w:t>
      </w:r>
      <w:r w:rsidR="004633DD">
        <w:rPr>
          <w:color w:val="auto"/>
          <w:sz w:val="22"/>
          <w:szCs w:val="22"/>
        </w:rPr>
        <w:t xml:space="preserve">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 xml:space="preserve">the following </w:t>
      </w:r>
      <w:r w:rsidR="003E3747">
        <w:rPr>
          <w:color w:val="000000" w:themeColor="text1"/>
          <w:sz w:val="22"/>
          <w:szCs w:val="22"/>
        </w:rPr>
        <w:t xml:space="preserve">observations and </w:t>
      </w:r>
      <w:r w:rsidR="004C4F7D" w:rsidRPr="00DB0F72">
        <w:rPr>
          <w:color w:val="000000" w:themeColor="text1"/>
          <w:sz w:val="22"/>
          <w:szCs w:val="22"/>
        </w:rPr>
        <w:t>proposals</w:t>
      </w:r>
      <w:bookmarkEnd w:id="1"/>
      <w:r w:rsidR="004C4F7D" w:rsidRPr="00DB0F72">
        <w:rPr>
          <w:color w:val="000000" w:themeColor="text1"/>
          <w:sz w:val="22"/>
          <w:szCs w:val="22"/>
        </w:rPr>
        <w:t>.</w:t>
      </w:r>
    </w:p>
    <w:p w14:paraId="1CB12534" w14:textId="77777777" w:rsidR="003E3747" w:rsidRPr="003E3747" w:rsidRDefault="003E3747" w:rsidP="00D34EF2">
      <w:pPr>
        <w:spacing w:before="120" w:after="0"/>
        <w:textAlignment w:val="baseline"/>
        <w:rPr>
          <w:sz w:val="22"/>
          <w:szCs w:val="22"/>
          <w:lang w:eastAsia="ko-KR"/>
        </w:rPr>
      </w:pPr>
      <w:r w:rsidRPr="003E3747">
        <w:rPr>
          <w:b/>
          <w:bCs/>
          <w:sz w:val="22"/>
          <w:szCs w:val="22"/>
          <w:lang w:eastAsia="ko-KR"/>
        </w:rPr>
        <w:t>Observation 1</w:t>
      </w:r>
      <w:r w:rsidRPr="003E3747">
        <w:rPr>
          <w:sz w:val="22"/>
          <w:szCs w:val="22"/>
          <w:lang w:eastAsia="ko-KR"/>
        </w:rPr>
        <w:t>. For a sidelink broadcast or groupcast associated with a destination ID, Tx UE does not consider backward compatibility if the Tx Profile associated with the destination ID contains an indication of no backward compatibility (e.g., “no need of backward compatibility”).</w:t>
      </w:r>
    </w:p>
    <w:p w14:paraId="176945CE" w14:textId="77777777" w:rsidR="003E3747" w:rsidRPr="003E3747" w:rsidRDefault="003E3747" w:rsidP="00D34EF2">
      <w:pPr>
        <w:spacing w:before="120" w:after="0"/>
        <w:textAlignment w:val="baseline"/>
        <w:rPr>
          <w:sz w:val="22"/>
          <w:szCs w:val="22"/>
          <w:lang w:eastAsia="ko-KR"/>
        </w:rPr>
      </w:pPr>
      <w:r w:rsidRPr="003E3747">
        <w:rPr>
          <w:b/>
          <w:bCs/>
          <w:sz w:val="22"/>
          <w:szCs w:val="22"/>
          <w:lang w:eastAsia="ko-KR"/>
        </w:rPr>
        <w:t>Observation 2.</w:t>
      </w:r>
      <w:r w:rsidRPr="003E3747">
        <w:rPr>
          <w:sz w:val="22"/>
          <w:szCs w:val="22"/>
          <w:lang w:eastAsia="ko-KR"/>
        </w:rPr>
        <w:t xml:space="preserve"> For a sidelink broadcast or groupcast associated with a destination ID, a Tx UE needs to support backward compatibility if the Tx Profile associated with the destination ID contains an indication of backward compatibility (e.g., “need of backward compatibility”), with the following options.</w:t>
      </w:r>
    </w:p>
    <w:p w14:paraId="5BFAF32B" w14:textId="77777777" w:rsidR="003E3747" w:rsidRPr="003E3747" w:rsidRDefault="003E3747" w:rsidP="00D34EF2">
      <w:pPr>
        <w:spacing w:before="120" w:after="0"/>
        <w:textAlignment w:val="baseline"/>
        <w:rPr>
          <w:sz w:val="22"/>
          <w:szCs w:val="22"/>
          <w:lang w:eastAsia="ko-KR"/>
        </w:rPr>
      </w:pPr>
      <w:r w:rsidRPr="003E3747">
        <w:rPr>
          <w:b/>
          <w:bCs/>
          <w:sz w:val="22"/>
          <w:szCs w:val="22"/>
          <w:lang w:eastAsia="ko-KR"/>
        </w:rPr>
        <w:t>Proposal 1</w:t>
      </w:r>
      <w:r w:rsidRPr="003E3747">
        <w:rPr>
          <w:sz w:val="22"/>
          <w:szCs w:val="22"/>
          <w:lang w:eastAsia="ko-KR"/>
        </w:rPr>
        <w:t>. To support backward compatibility, the following design options may be considered.</w:t>
      </w:r>
    </w:p>
    <w:p w14:paraId="454FA365" w14:textId="77777777" w:rsidR="003E3747" w:rsidRPr="003E3747" w:rsidRDefault="003E3747" w:rsidP="00D34EF2">
      <w:pPr>
        <w:spacing w:before="120" w:after="0"/>
        <w:ind w:left="1260" w:hanging="938"/>
        <w:textAlignment w:val="baseline"/>
        <w:rPr>
          <w:sz w:val="22"/>
          <w:szCs w:val="22"/>
          <w:lang w:eastAsia="ko-KR"/>
        </w:rPr>
      </w:pPr>
      <w:r w:rsidRPr="003E3747">
        <w:rPr>
          <w:sz w:val="22"/>
          <w:szCs w:val="22"/>
          <w:lang w:eastAsia="ko-KR"/>
        </w:rPr>
        <w:lastRenderedPageBreak/>
        <w:t>Option 1. Up to UE implementation. FFS UE behavior if the Tx UE choose to use SL CA PDCP duplication</w:t>
      </w:r>
    </w:p>
    <w:p w14:paraId="1B3C2D50" w14:textId="77777777" w:rsidR="003E3747" w:rsidRPr="003E3747" w:rsidRDefault="003E3747" w:rsidP="00D34EF2">
      <w:pPr>
        <w:spacing w:before="120" w:after="0"/>
        <w:ind w:left="1260" w:hanging="938"/>
        <w:rPr>
          <w:sz w:val="22"/>
          <w:szCs w:val="22"/>
          <w:lang w:eastAsia="ko-KR"/>
        </w:rPr>
      </w:pPr>
      <w:r w:rsidRPr="003E3747">
        <w:rPr>
          <w:sz w:val="22"/>
          <w:szCs w:val="22"/>
          <w:lang w:eastAsia="ko-KR"/>
        </w:rPr>
        <w:t>Option 2. The Tx UE determines whether SL CA PDCP duplication is applied with the carrier supported by the legacy UEs, based on the QOS profile associated with the destination ID of a sidelink broadcast or groupcast. FFS UE behavior if SL CA PDCP duplication is enabled based on QoS profile.</w:t>
      </w:r>
    </w:p>
    <w:p w14:paraId="6EA324CF" w14:textId="18C365C0" w:rsidR="003E3747" w:rsidRPr="003E3747" w:rsidRDefault="003E3747" w:rsidP="00D34EF2">
      <w:pPr>
        <w:spacing w:before="120" w:after="0"/>
        <w:ind w:left="1260" w:hanging="938"/>
        <w:rPr>
          <w:sz w:val="22"/>
          <w:szCs w:val="22"/>
          <w:lang w:eastAsia="ko-KR"/>
        </w:rPr>
      </w:pPr>
      <w:r w:rsidRPr="003E3747">
        <w:rPr>
          <w:sz w:val="22"/>
          <w:szCs w:val="22"/>
          <w:lang w:eastAsia="ko-KR"/>
        </w:rPr>
        <w:t xml:space="preserve">Option 3. The Tx UE follows non-SL-CA procedure and transmits all packets on the </w:t>
      </w:r>
      <w:r w:rsidR="00941026">
        <w:rPr>
          <w:sz w:val="22"/>
          <w:szCs w:val="22"/>
          <w:lang w:eastAsia="ko-KR"/>
        </w:rPr>
        <w:t xml:space="preserve">single </w:t>
      </w:r>
      <w:r w:rsidRPr="003E3747">
        <w:rPr>
          <w:sz w:val="22"/>
          <w:szCs w:val="22"/>
          <w:lang w:eastAsia="ko-KR"/>
        </w:rPr>
        <w:t>carrier supported by the legacy UEs.</w:t>
      </w:r>
    </w:p>
    <w:p w14:paraId="2DF67C94" w14:textId="68B79D14" w:rsidR="003E3747" w:rsidRPr="003E3747" w:rsidRDefault="003E3747" w:rsidP="00D34EF2">
      <w:pPr>
        <w:spacing w:before="120" w:after="0"/>
        <w:textAlignment w:val="baseline"/>
        <w:rPr>
          <w:sz w:val="22"/>
          <w:szCs w:val="22"/>
          <w:lang w:eastAsia="ko-KR"/>
        </w:rPr>
      </w:pPr>
      <w:r w:rsidRPr="003E3747">
        <w:rPr>
          <w:b/>
          <w:bCs/>
          <w:sz w:val="22"/>
          <w:szCs w:val="22"/>
          <w:lang w:eastAsia="ko-KR"/>
        </w:rPr>
        <w:t xml:space="preserve">Proposal </w:t>
      </w:r>
      <w:r w:rsidR="00F4306B">
        <w:rPr>
          <w:b/>
          <w:bCs/>
          <w:sz w:val="22"/>
          <w:szCs w:val="22"/>
          <w:lang w:eastAsia="ko-KR"/>
        </w:rPr>
        <w:t>2</w:t>
      </w:r>
      <w:r w:rsidRPr="003E3747">
        <w:rPr>
          <w:b/>
          <w:bCs/>
          <w:sz w:val="22"/>
          <w:szCs w:val="22"/>
          <w:lang w:eastAsia="ko-KR"/>
        </w:rPr>
        <w:t>.</w:t>
      </w:r>
      <w:r w:rsidRPr="003E3747">
        <w:rPr>
          <w:sz w:val="22"/>
          <w:szCs w:val="22"/>
          <w:lang w:eastAsia="ko-KR"/>
        </w:rPr>
        <w:t xml:space="preserve"> </w:t>
      </w:r>
      <w:r w:rsidR="00941026" w:rsidRPr="00F4306B">
        <w:rPr>
          <w:sz w:val="22"/>
          <w:szCs w:val="22"/>
          <w:lang w:eastAsia="ko-KR"/>
        </w:rPr>
        <w:t xml:space="preserve">RAN2 further discuss how carrier (re)selection </w:t>
      </w:r>
      <w:proofErr w:type="gramStart"/>
      <w:r w:rsidR="00941026" w:rsidRPr="00F4306B">
        <w:rPr>
          <w:sz w:val="22"/>
          <w:szCs w:val="22"/>
          <w:lang w:eastAsia="ko-KR"/>
        </w:rPr>
        <w:t>takes into account</w:t>
      </w:r>
      <w:proofErr w:type="gramEnd"/>
      <w:r w:rsidR="00941026" w:rsidRPr="00F4306B">
        <w:rPr>
          <w:sz w:val="22"/>
          <w:szCs w:val="22"/>
          <w:lang w:eastAsia="ko-KR"/>
        </w:rPr>
        <w:t xml:space="preserve"> the carrier supported by legacy UEs if option 2 is supported.</w:t>
      </w:r>
    </w:p>
    <w:p w14:paraId="084538FD" w14:textId="03E6A08A" w:rsidR="00C20C06" w:rsidRPr="004633DD" w:rsidRDefault="004B3D91" w:rsidP="004633DD">
      <w:pPr>
        <w:pStyle w:val="Heading1"/>
        <w:rPr>
          <w:lang w:val="en-US"/>
        </w:rPr>
      </w:pPr>
      <w:r w:rsidRPr="004633DD">
        <w:rPr>
          <w:lang w:val="en-US"/>
        </w:rPr>
        <w:t>References</w:t>
      </w:r>
    </w:p>
    <w:p w14:paraId="288578E7" w14:textId="4C5C9380" w:rsidR="009219F1" w:rsidRDefault="005F30BB" w:rsidP="009219F1">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bookmarkStart w:id="2" w:name="_Hlk115357799"/>
      <w:r>
        <w:rPr>
          <w:rFonts w:ascii="Times New Roman" w:hAnsi="Times New Roman"/>
          <w:b w:val="0"/>
          <w:bCs/>
          <w:color w:val="000000"/>
          <w:sz w:val="22"/>
          <w:szCs w:val="22"/>
          <w:lang w:val="en-US"/>
        </w:rPr>
        <w:t>[</w:t>
      </w:r>
      <w:r w:rsidR="00A94E0B">
        <w:rPr>
          <w:rFonts w:ascii="Times New Roman" w:hAnsi="Times New Roman"/>
          <w:b w:val="0"/>
          <w:bCs/>
          <w:color w:val="000000"/>
          <w:sz w:val="22"/>
          <w:szCs w:val="22"/>
          <w:lang w:val="en-US"/>
        </w:rPr>
        <w:t>1</w:t>
      </w:r>
      <w:r>
        <w:rPr>
          <w:rFonts w:ascii="Times New Roman" w:hAnsi="Times New Roman"/>
          <w:b w:val="0"/>
          <w:bCs/>
          <w:color w:val="000000"/>
          <w:sz w:val="22"/>
          <w:szCs w:val="22"/>
          <w:lang w:val="en-US"/>
        </w:rPr>
        <w:t xml:space="preserve">] </w:t>
      </w:r>
      <w:r w:rsidR="009219F1" w:rsidRPr="000C6100">
        <w:rPr>
          <w:rFonts w:ascii="Times New Roman" w:hAnsi="Times New Roman"/>
          <w:b w:val="0"/>
          <w:bCs/>
          <w:color w:val="000000"/>
          <w:sz w:val="22"/>
          <w:szCs w:val="22"/>
          <w:lang w:val="en-US"/>
        </w:rPr>
        <w:t>R2-2306545</w:t>
      </w:r>
      <w:r w:rsidR="009219F1" w:rsidRPr="00A4032D">
        <w:rPr>
          <w:rFonts w:ascii="Times New Roman" w:hAnsi="Times New Roman"/>
          <w:b w:val="0"/>
          <w:bCs/>
          <w:color w:val="000000"/>
          <w:sz w:val="22"/>
          <w:szCs w:val="22"/>
          <w:lang w:val="en-US"/>
        </w:rPr>
        <w:t xml:space="preserve"> “Report from session on LTE V2X and NR SL” Session chair (Samsung), RAN2 #12</w:t>
      </w:r>
      <w:r w:rsidR="009219F1">
        <w:rPr>
          <w:rFonts w:ascii="Times New Roman" w:hAnsi="Times New Roman"/>
          <w:b w:val="0"/>
          <w:bCs/>
          <w:color w:val="000000"/>
          <w:sz w:val="22"/>
          <w:szCs w:val="22"/>
          <w:lang w:val="en-US"/>
        </w:rPr>
        <w:t>2</w:t>
      </w:r>
      <w:r w:rsidR="009219F1" w:rsidRPr="00A4032D">
        <w:rPr>
          <w:rFonts w:ascii="Times New Roman" w:hAnsi="Times New Roman"/>
          <w:sz w:val="22"/>
          <w:szCs w:val="22"/>
        </w:rPr>
        <w:t xml:space="preserve"> </w:t>
      </w:r>
      <w:r w:rsidR="009219F1" w:rsidRPr="000C6100">
        <w:rPr>
          <w:rFonts w:ascii="Times New Roman" w:hAnsi="Times New Roman"/>
          <w:b w:val="0"/>
          <w:bCs/>
          <w:color w:val="000000"/>
          <w:sz w:val="22"/>
          <w:szCs w:val="22"/>
          <w:lang w:val="en-US"/>
        </w:rPr>
        <w:t>Incheon, South Korea, May 22 – 26 2023</w:t>
      </w:r>
      <w:r w:rsidR="009219F1" w:rsidRPr="00A4032D">
        <w:rPr>
          <w:rFonts w:ascii="Times New Roman" w:hAnsi="Times New Roman"/>
          <w:b w:val="0"/>
          <w:bCs/>
          <w:color w:val="000000"/>
          <w:sz w:val="22"/>
          <w:szCs w:val="22"/>
          <w:lang w:val="en-US"/>
        </w:rPr>
        <w:t xml:space="preserve">. </w:t>
      </w:r>
      <w:r w:rsidR="009219F1">
        <w:rPr>
          <w:rFonts w:ascii="Times New Roman" w:hAnsi="Times New Roman"/>
          <w:b w:val="0"/>
          <w:bCs/>
          <w:color w:val="000000"/>
          <w:sz w:val="22"/>
          <w:szCs w:val="22"/>
          <w:lang w:val="en-US"/>
        </w:rPr>
        <w:t xml:space="preserve"> </w:t>
      </w:r>
    </w:p>
    <w:p w14:paraId="09A92EEF" w14:textId="517D713A" w:rsidR="000E5599" w:rsidRDefault="009219F1" w:rsidP="008F47B7">
      <w:pPr>
        <w:pStyle w:val="ZT"/>
        <w:framePr w:wrap="auto" w:hAnchor="text" w:yAlign="inline"/>
        <w:spacing w:after="120" w:line="240" w:lineRule="auto"/>
        <w:ind w:left="360" w:hanging="360"/>
        <w:jc w:val="left"/>
        <w:rPr>
          <w:rFonts w:ascii="Times New Roman" w:hAnsi="Times New Roman"/>
          <w:b w:val="0"/>
          <w:bCs/>
          <w:color w:val="000000"/>
          <w:sz w:val="22"/>
          <w:szCs w:val="22"/>
          <w:lang w:val="en-US"/>
        </w:rPr>
      </w:pPr>
      <w:r>
        <w:rPr>
          <w:rFonts w:ascii="Times New Roman" w:hAnsi="Times New Roman"/>
          <w:b w:val="0"/>
          <w:bCs/>
          <w:color w:val="000000"/>
          <w:sz w:val="22"/>
          <w:szCs w:val="22"/>
          <w:lang w:val="en-US"/>
        </w:rPr>
        <w:t xml:space="preserve">[2] </w:t>
      </w:r>
      <w:r w:rsidR="00A94E0B" w:rsidRPr="00A94E0B">
        <w:rPr>
          <w:rFonts w:ascii="Times New Roman" w:hAnsi="Times New Roman"/>
          <w:b w:val="0"/>
          <w:bCs/>
          <w:color w:val="000000"/>
          <w:sz w:val="22"/>
          <w:szCs w:val="22"/>
          <w:lang w:val="en-US"/>
        </w:rPr>
        <w:t>R2-2308965</w:t>
      </w:r>
      <w:r w:rsidR="005F30BB" w:rsidRPr="00A4032D">
        <w:rPr>
          <w:rFonts w:ascii="Times New Roman" w:hAnsi="Times New Roman"/>
          <w:b w:val="0"/>
          <w:bCs/>
          <w:color w:val="000000"/>
          <w:sz w:val="22"/>
          <w:szCs w:val="22"/>
          <w:lang w:val="en-US"/>
        </w:rPr>
        <w:t xml:space="preserve"> “</w:t>
      </w:r>
      <w:r w:rsidR="00A94E0B" w:rsidRPr="00A94E0B">
        <w:rPr>
          <w:rFonts w:ascii="Times New Roman" w:hAnsi="Times New Roman"/>
          <w:b w:val="0"/>
          <w:bCs/>
          <w:color w:val="000000"/>
          <w:sz w:val="22"/>
          <w:szCs w:val="22"/>
          <w:lang w:val="en-US"/>
        </w:rPr>
        <w:t>Report from session on NR SL</w:t>
      </w:r>
      <w:r w:rsidR="005F30BB" w:rsidRPr="00A4032D">
        <w:rPr>
          <w:rFonts w:ascii="Times New Roman" w:hAnsi="Times New Roman"/>
          <w:b w:val="0"/>
          <w:bCs/>
          <w:color w:val="000000"/>
          <w:sz w:val="22"/>
          <w:szCs w:val="22"/>
          <w:lang w:val="en-US"/>
        </w:rPr>
        <w:t>” Session chair (Samsung), RAN2 #12</w:t>
      </w:r>
      <w:r w:rsidR="00A94E0B">
        <w:rPr>
          <w:rFonts w:ascii="Times New Roman" w:hAnsi="Times New Roman"/>
          <w:b w:val="0"/>
          <w:bCs/>
          <w:color w:val="000000"/>
          <w:sz w:val="22"/>
          <w:szCs w:val="22"/>
          <w:lang w:val="en-US"/>
        </w:rPr>
        <w:t>3</w:t>
      </w:r>
      <w:r w:rsidR="005F30BB" w:rsidRPr="00A4032D">
        <w:rPr>
          <w:rFonts w:ascii="Times New Roman" w:hAnsi="Times New Roman"/>
          <w:sz w:val="22"/>
          <w:szCs w:val="22"/>
        </w:rPr>
        <w:t xml:space="preserve"> </w:t>
      </w:r>
      <w:r w:rsidR="00A94E0B">
        <w:rPr>
          <w:rFonts w:ascii="Times New Roman" w:hAnsi="Times New Roman"/>
          <w:b w:val="0"/>
          <w:bCs/>
          <w:color w:val="000000"/>
          <w:sz w:val="22"/>
          <w:szCs w:val="22"/>
          <w:lang w:val="en-US"/>
        </w:rPr>
        <w:t>Toulouse</w:t>
      </w:r>
      <w:r w:rsidR="005F30BB" w:rsidRPr="000C6100">
        <w:rPr>
          <w:rFonts w:ascii="Times New Roman" w:hAnsi="Times New Roman"/>
          <w:b w:val="0"/>
          <w:bCs/>
          <w:color w:val="000000"/>
          <w:sz w:val="22"/>
          <w:szCs w:val="22"/>
          <w:lang w:val="en-US"/>
        </w:rPr>
        <w:t xml:space="preserve">, </w:t>
      </w:r>
      <w:r w:rsidR="00A94E0B">
        <w:rPr>
          <w:rFonts w:ascii="Times New Roman" w:hAnsi="Times New Roman"/>
          <w:b w:val="0"/>
          <w:bCs/>
          <w:color w:val="000000"/>
          <w:sz w:val="22"/>
          <w:szCs w:val="22"/>
          <w:lang w:val="en-US"/>
        </w:rPr>
        <w:t>France</w:t>
      </w:r>
      <w:r w:rsidR="005F30BB" w:rsidRPr="000C6100">
        <w:rPr>
          <w:rFonts w:ascii="Times New Roman" w:hAnsi="Times New Roman"/>
          <w:b w:val="0"/>
          <w:bCs/>
          <w:color w:val="000000"/>
          <w:sz w:val="22"/>
          <w:szCs w:val="22"/>
          <w:lang w:val="en-US"/>
        </w:rPr>
        <w:t xml:space="preserve">, </w:t>
      </w:r>
      <w:r w:rsidR="00A94E0B">
        <w:rPr>
          <w:rFonts w:ascii="Times New Roman" w:hAnsi="Times New Roman"/>
          <w:b w:val="0"/>
          <w:bCs/>
          <w:color w:val="000000"/>
          <w:sz w:val="22"/>
          <w:szCs w:val="22"/>
          <w:lang w:val="en-US"/>
        </w:rPr>
        <w:t>August</w:t>
      </w:r>
      <w:r w:rsidR="005F30BB" w:rsidRPr="000C6100">
        <w:rPr>
          <w:rFonts w:ascii="Times New Roman" w:hAnsi="Times New Roman"/>
          <w:b w:val="0"/>
          <w:bCs/>
          <w:color w:val="000000"/>
          <w:sz w:val="22"/>
          <w:szCs w:val="22"/>
          <w:lang w:val="en-US"/>
        </w:rPr>
        <w:t xml:space="preserve"> 2</w:t>
      </w:r>
      <w:r w:rsidR="00A94E0B">
        <w:rPr>
          <w:rFonts w:ascii="Times New Roman" w:hAnsi="Times New Roman"/>
          <w:b w:val="0"/>
          <w:bCs/>
          <w:color w:val="000000"/>
          <w:sz w:val="22"/>
          <w:szCs w:val="22"/>
          <w:lang w:val="en-US"/>
        </w:rPr>
        <w:t>1</w:t>
      </w:r>
      <w:r w:rsidR="005F30BB" w:rsidRPr="000C6100">
        <w:rPr>
          <w:rFonts w:ascii="Times New Roman" w:hAnsi="Times New Roman"/>
          <w:b w:val="0"/>
          <w:bCs/>
          <w:color w:val="000000"/>
          <w:sz w:val="22"/>
          <w:szCs w:val="22"/>
          <w:lang w:val="en-US"/>
        </w:rPr>
        <w:t xml:space="preserve"> – 2</w:t>
      </w:r>
      <w:r w:rsidR="00A94E0B">
        <w:rPr>
          <w:rFonts w:ascii="Times New Roman" w:hAnsi="Times New Roman"/>
          <w:b w:val="0"/>
          <w:bCs/>
          <w:color w:val="000000"/>
          <w:sz w:val="22"/>
          <w:szCs w:val="22"/>
          <w:lang w:val="en-US"/>
        </w:rPr>
        <w:t>5</w:t>
      </w:r>
      <w:r w:rsidR="005F30BB" w:rsidRPr="000C6100">
        <w:rPr>
          <w:rFonts w:ascii="Times New Roman" w:hAnsi="Times New Roman"/>
          <w:b w:val="0"/>
          <w:bCs/>
          <w:color w:val="000000"/>
          <w:sz w:val="22"/>
          <w:szCs w:val="22"/>
          <w:lang w:val="en-US"/>
        </w:rPr>
        <w:t xml:space="preserve"> 2023</w:t>
      </w:r>
      <w:r w:rsidR="005F30BB" w:rsidRPr="00A4032D">
        <w:rPr>
          <w:rFonts w:ascii="Times New Roman" w:hAnsi="Times New Roman"/>
          <w:b w:val="0"/>
          <w:bCs/>
          <w:color w:val="000000"/>
          <w:sz w:val="22"/>
          <w:szCs w:val="22"/>
          <w:lang w:val="en-US"/>
        </w:rPr>
        <w:t xml:space="preserve">. </w:t>
      </w:r>
      <w:r w:rsidR="00542F23">
        <w:rPr>
          <w:rFonts w:ascii="Times New Roman" w:hAnsi="Times New Roman"/>
          <w:b w:val="0"/>
          <w:bCs/>
          <w:color w:val="000000"/>
          <w:sz w:val="22"/>
          <w:szCs w:val="22"/>
          <w:lang w:val="en-US"/>
        </w:rPr>
        <w:t xml:space="preserve"> </w:t>
      </w:r>
      <w:bookmarkEnd w:id="2"/>
    </w:p>
    <w:p w14:paraId="76B65D31" w14:textId="77777777" w:rsidR="00C93F57" w:rsidRDefault="00C93F57" w:rsidP="00F26D1D">
      <w:pPr>
        <w:pStyle w:val="ZT"/>
        <w:framePr w:wrap="auto" w:hAnchor="text" w:yAlign="inline"/>
        <w:spacing w:after="120" w:line="240" w:lineRule="auto"/>
        <w:jc w:val="left"/>
        <w:rPr>
          <w:rFonts w:ascii="Times New Roman" w:hAnsi="Times New Roman"/>
          <w:b w:val="0"/>
          <w:bCs/>
          <w:color w:val="000000"/>
          <w:sz w:val="22"/>
          <w:szCs w:val="22"/>
          <w:lang w:val="en-US"/>
        </w:rPr>
      </w:pPr>
    </w:p>
    <w:sectPr w:rsidR="00C93F5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F1077" w14:textId="77777777" w:rsidR="004A1FD3" w:rsidRDefault="004A1FD3">
      <w:r>
        <w:separator/>
      </w:r>
    </w:p>
    <w:p w14:paraId="57279339" w14:textId="77777777" w:rsidR="004A1FD3" w:rsidRDefault="004A1FD3"/>
  </w:endnote>
  <w:endnote w:type="continuationSeparator" w:id="0">
    <w:p w14:paraId="7512E098" w14:textId="77777777" w:rsidR="004A1FD3" w:rsidRDefault="004A1FD3">
      <w:r>
        <w:continuationSeparator/>
      </w:r>
    </w:p>
    <w:p w14:paraId="703F0D7E" w14:textId="77777777" w:rsidR="004A1FD3" w:rsidRDefault="004A1F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panose1 w:val="00000000000000000000"/>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auto"/>
    <w:notTrueType/>
    <w:pitch w:val="variable"/>
    <w:sig w:usb0="E00002FF" w:usb1="5000205A" w:usb2="00000000" w:usb3="00000000" w:csb0="0000019F" w:csb1="00000000"/>
  </w:font>
  <w:font w:name="TimesNewRomanPSMT">
    <w:altName w:val="Times New Roman"/>
    <w:panose1 w:val="00000000000000000000"/>
    <w:charset w:val="B2"/>
    <w:family w:val="auto"/>
    <w:notTrueType/>
    <w:pitch w:val="default"/>
    <w:sig w:usb0="00002003" w:usb1="00000000" w:usb2="00000000" w:usb3="00000000" w:csb0="0000004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A8B8B" w14:textId="77777777" w:rsidR="004A1FD3" w:rsidRDefault="004A1FD3">
      <w:r>
        <w:separator/>
      </w:r>
    </w:p>
    <w:p w14:paraId="0C081CB4" w14:textId="77777777" w:rsidR="004A1FD3" w:rsidRDefault="004A1FD3"/>
  </w:footnote>
  <w:footnote w:type="continuationSeparator" w:id="0">
    <w:p w14:paraId="31D2CFAC" w14:textId="77777777" w:rsidR="004A1FD3" w:rsidRDefault="004A1FD3">
      <w:r>
        <w:continuationSeparator/>
      </w:r>
    </w:p>
    <w:p w14:paraId="7F75C143" w14:textId="77777777" w:rsidR="004A1FD3" w:rsidRDefault="004A1F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4" w15:restartNumberingAfterBreak="0">
    <w:nsid w:val="1F8142E7"/>
    <w:multiLevelType w:val="hybridMultilevel"/>
    <w:tmpl w:val="A8E84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4471F25"/>
    <w:multiLevelType w:val="hybridMultilevel"/>
    <w:tmpl w:val="829C1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0" w15:restartNumberingAfterBreak="0">
    <w:nsid w:val="5B150317"/>
    <w:multiLevelType w:val="hybridMultilevel"/>
    <w:tmpl w:val="33FA8D5A"/>
    <w:lvl w:ilvl="0" w:tplc="DFF4350A">
      <w:start w:val="6"/>
      <w:numFmt w:val="bullet"/>
      <w:lvlText w:val="-"/>
      <w:lvlJc w:val="left"/>
      <w:pPr>
        <w:ind w:left="420" w:hanging="360"/>
      </w:pPr>
      <w:rPr>
        <w:rFonts w:ascii="Arial" w:eastAsia="MS Mincho"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1"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7270820">
    <w:abstractNumId w:val="16"/>
  </w:num>
  <w:num w:numId="2" w16cid:durableId="1542982269">
    <w:abstractNumId w:val="14"/>
  </w:num>
  <w:num w:numId="3" w16cid:durableId="89743588">
    <w:abstractNumId w:val="7"/>
  </w:num>
  <w:num w:numId="4" w16cid:durableId="545223178">
    <w:abstractNumId w:val="13"/>
  </w:num>
  <w:num w:numId="5" w16cid:durableId="423693691">
    <w:abstractNumId w:val="0"/>
  </w:num>
  <w:num w:numId="6" w16cid:durableId="1419671084">
    <w:abstractNumId w:val="5"/>
  </w:num>
  <w:num w:numId="7" w16cid:durableId="244341172">
    <w:abstractNumId w:val="9"/>
  </w:num>
  <w:num w:numId="8" w16cid:durableId="581263184">
    <w:abstractNumId w:val="11"/>
  </w:num>
  <w:num w:numId="9" w16cid:durableId="807547945">
    <w:abstractNumId w:val="3"/>
  </w:num>
  <w:num w:numId="10" w16cid:durableId="864633928">
    <w:abstractNumId w:val="15"/>
  </w:num>
  <w:num w:numId="11" w16cid:durableId="586351984">
    <w:abstractNumId w:val="8"/>
  </w:num>
  <w:num w:numId="12" w16cid:durableId="543250717">
    <w:abstractNumId w:val="2"/>
  </w:num>
  <w:num w:numId="13" w16cid:durableId="1913655272">
    <w:abstractNumId w:val="6"/>
  </w:num>
  <w:num w:numId="14" w16cid:durableId="1869178335">
    <w:abstractNumId w:val="12"/>
  </w:num>
  <w:num w:numId="15" w16cid:durableId="162812439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968393058">
    <w:abstractNumId w:val="10"/>
  </w:num>
  <w:num w:numId="17" w16cid:durableId="209535994">
    <w:abstractNumId w:val="4"/>
  </w:num>
  <w:num w:numId="18" w16cid:durableId="144619863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08"/>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4F5"/>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51B"/>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599"/>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DF2"/>
    <w:rsid w:val="00141E20"/>
    <w:rsid w:val="0014293D"/>
    <w:rsid w:val="00142A38"/>
    <w:rsid w:val="0014330C"/>
    <w:rsid w:val="001434DA"/>
    <w:rsid w:val="00143717"/>
    <w:rsid w:val="00143CB1"/>
    <w:rsid w:val="00144209"/>
    <w:rsid w:val="001443E6"/>
    <w:rsid w:val="0014472B"/>
    <w:rsid w:val="00144D3C"/>
    <w:rsid w:val="00144E7B"/>
    <w:rsid w:val="001455E0"/>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4E6B"/>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6F14"/>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3C53"/>
    <w:rsid w:val="001D4705"/>
    <w:rsid w:val="001D470A"/>
    <w:rsid w:val="001D4946"/>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1A3"/>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2CA4"/>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0AD"/>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D1E"/>
    <w:rsid w:val="00242E86"/>
    <w:rsid w:val="0024308A"/>
    <w:rsid w:val="002437A2"/>
    <w:rsid w:val="002439C5"/>
    <w:rsid w:val="00243D62"/>
    <w:rsid w:val="00244270"/>
    <w:rsid w:val="002444DE"/>
    <w:rsid w:val="00244F51"/>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5E23"/>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16F"/>
    <w:rsid w:val="002A44AE"/>
    <w:rsid w:val="002A46B4"/>
    <w:rsid w:val="002A4A95"/>
    <w:rsid w:val="002A4B42"/>
    <w:rsid w:val="002A4EB2"/>
    <w:rsid w:val="002A5809"/>
    <w:rsid w:val="002A5868"/>
    <w:rsid w:val="002A5CC1"/>
    <w:rsid w:val="002A5E2E"/>
    <w:rsid w:val="002A5E9B"/>
    <w:rsid w:val="002A6417"/>
    <w:rsid w:val="002A6D51"/>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1E37"/>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9B"/>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C6"/>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CE"/>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DE1"/>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47"/>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A90"/>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6DD"/>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8EC"/>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6F4"/>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3DD"/>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6D7"/>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1FD3"/>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7A7"/>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3D5"/>
    <w:rsid w:val="004E79F4"/>
    <w:rsid w:val="004E7D49"/>
    <w:rsid w:val="004F021E"/>
    <w:rsid w:val="004F0699"/>
    <w:rsid w:val="004F0EB0"/>
    <w:rsid w:val="004F0ED9"/>
    <w:rsid w:val="004F0F3B"/>
    <w:rsid w:val="004F15D7"/>
    <w:rsid w:val="004F1E21"/>
    <w:rsid w:val="004F1F2D"/>
    <w:rsid w:val="004F24F9"/>
    <w:rsid w:val="004F2635"/>
    <w:rsid w:val="004F2B37"/>
    <w:rsid w:val="004F310D"/>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0B6F"/>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0EBA"/>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5D09"/>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888"/>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0BB"/>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37"/>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2981"/>
    <w:rsid w:val="00673544"/>
    <w:rsid w:val="00673950"/>
    <w:rsid w:val="00673D08"/>
    <w:rsid w:val="0067411E"/>
    <w:rsid w:val="006750C9"/>
    <w:rsid w:val="00675D8C"/>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493"/>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41D"/>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4A62"/>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0C64"/>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502"/>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0406"/>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B58"/>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93B"/>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896"/>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2261"/>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12A"/>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2DF0"/>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618"/>
    <w:rsid w:val="008C47F8"/>
    <w:rsid w:val="008C4ADB"/>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7B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9F1"/>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26"/>
    <w:rsid w:val="00941052"/>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0A4"/>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796"/>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B44"/>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37"/>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1E80"/>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2737"/>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17C"/>
    <w:rsid w:val="00A7347E"/>
    <w:rsid w:val="00A74F87"/>
    <w:rsid w:val="00A75A54"/>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0B"/>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B4F"/>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53B"/>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3AA"/>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73"/>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0E1"/>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37F"/>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84C"/>
    <w:rsid w:val="00C26736"/>
    <w:rsid w:val="00C26C08"/>
    <w:rsid w:val="00C26FA3"/>
    <w:rsid w:val="00C27D18"/>
    <w:rsid w:val="00C30535"/>
    <w:rsid w:val="00C3067D"/>
    <w:rsid w:val="00C30E14"/>
    <w:rsid w:val="00C31779"/>
    <w:rsid w:val="00C32274"/>
    <w:rsid w:val="00C32720"/>
    <w:rsid w:val="00C328E8"/>
    <w:rsid w:val="00C32BBA"/>
    <w:rsid w:val="00C32D96"/>
    <w:rsid w:val="00C32F4B"/>
    <w:rsid w:val="00C330A0"/>
    <w:rsid w:val="00C33638"/>
    <w:rsid w:val="00C339A6"/>
    <w:rsid w:val="00C34038"/>
    <w:rsid w:val="00C34A3B"/>
    <w:rsid w:val="00C34B5A"/>
    <w:rsid w:val="00C34DE9"/>
    <w:rsid w:val="00C34DF5"/>
    <w:rsid w:val="00C35445"/>
    <w:rsid w:val="00C37088"/>
    <w:rsid w:val="00C37A5D"/>
    <w:rsid w:val="00C40731"/>
    <w:rsid w:val="00C40A35"/>
    <w:rsid w:val="00C41169"/>
    <w:rsid w:val="00C417CA"/>
    <w:rsid w:val="00C41AB7"/>
    <w:rsid w:val="00C41D59"/>
    <w:rsid w:val="00C42064"/>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173"/>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943"/>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87F47"/>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EF2"/>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180"/>
    <w:rsid w:val="00DB1272"/>
    <w:rsid w:val="00DB1C35"/>
    <w:rsid w:val="00DB261A"/>
    <w:rsid w:val="00DB2831"/>
    <w:rsid w:val="00DB2B5C"/>
    <w:rsid w:val="00DB2D36"/>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437E"/>
    <w:rsid w:val="00DF50A8"/>
    <w:rsid w:val="00DF5280"/>
    <w:rsid w:val="00DF5F96"/>
    <w:rsid w:val="00DF61E8"/>
    <w:rsid w:val="00DF6206"/>
    <w:rsid w:val="00DF67F9"/>
    <w:rsid w:val="00DF6A93"/>
    <w:rsid w:val="00DF6B79"/>
    <w:rsid w:val="00DF6BBC"/>
    <w:rsid w:val="00DF6BCA"/>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881"/>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2A9"/>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459"/>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821"/>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444"/>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06B"/>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459"/>
    <w:rsid w:val="00FA3508"/>
    <w:rsid w:val="00FA3611"/>
    <w:rsid w:val="00FA394E"/>
    <w:rsid w:val="00FA3C6C"/>
    <w:rsid w:val="00FA3DFD"/>
    <w:rsid w:val="00FA42E7"/>
    <w:rsid w:val="00FA46C7"/>
    <w:rsid w:val="00FA4CA3"/>
    <w:rsid w:val="00FA4CFB"/>
    <w:rsid w:val="00FA4D32"/>
    <w:rsid w:val="00FA4FC9"/>
    <w:rsid w:val="00FA5630"/>
    <w:rsid w:val="00FA5684"/>
    <w:rsid w:val="00FA56B5"/>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553"/>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uiPriority w:val="99"/>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 w:type="character" w:customStyle="1" w:styleId="B3Car">
    <w:name w:val="B3 Car"/>
    <w:rsid w:val="006A24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12749167">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5414280">
      <w:bodyDiv w:val="1"/>
      <w:marLeft w:val="0"/>
      <w:marRight w:val="0"/>
      <w:marTop w:val="0"/>
      <w:marBottom w:val="0"/>
      <w:divBdr>
        <w:top w:val="none" w:sz="0" w:space="0" w:color="auto"/>
        <w:left w:val="none" w:sz="0" w:space="0" w:color="auto"/>
        <w:bottom w:val="none" w:sz="0" w:space="0" w:color="auto"/>
        <w:right w:val="none" w:sz="0" w:space="0" w:color="auto"/>
      </w:divBdr>
      <w:divsChild>
        <w:div w:id="80613000">
          <w:marLeft w:val="0"/>
          <w:marRight w:val="0"/>
          <w:marTop w:val="0"/>
          <w:marBottom w:val="0"/>
          <w:divBdr>
            <w:top w:val="none" w:sz="0" w:space="0" w:color="auto"/>
            <w:left w:val="none" w:sz="0" w:space="0" w:color="auto"/>
            <w:bottom w:val="none" w:sz="0" w:space="0" w:color="auto"/>
            <w:right w:val="none" w:sz="0" w:space="0" w:color="auto"/>
          </w:divBdr>
        </w:div>
        <w:div w:id="144900113">
          <w:marLeft w:val="0"/>
          <w:marRight w:val="0"/>
          <w:marTop w:val="0"/>
          <w:marBottom w:val="0"/>
          <w:divBdr>
            <w:top w:val="none" w:sz="0" w:space="0" w:color="auto"/>
            <w:left w:val="none" w:sz="0" w:space="0" w:color="auto"/>
            <w:bottom w:val="none" w:sz="0" w:space="0" w:color="auto"/>
            <w:right w:val="none" w:sz="0" w:space="0" w:color="auto"/>
          </w:divBdr>
        </w:div>
        <w:div w:id="129906477">
          <w:marLeft w:val="0"/>
          <w:marRight w:val="0"/>
          <w:marTop w:val="0"/>
          <w:marBottom w:val="0"/>
          <w:divBdr>
            <w:top w:val="none" w:sz="0" w:space="0" w:color="auto"/>
            <w:left w:val="none" w:sz="0" w:space="0" w:color="auto"/>
            <w:bottom w:val="none" w:sz="0" w:space="0" w:color="auto"/>
            <w:right w:val="none" w:sz="0" w:space="0" w:color="auto"/>
          </w:divBdr>
        </w:div>
        <w:div w:id="1368144062">
          <w:marLeft w:val="0"/>
          <w:marRight w:val="0"/>
          <w:marTop w:val="0"/>
          <w:marBottom w:val="0"/>
          <w:divBdr>
            <w:top w:val="none" w:sz="0" w:space="0" w:color="auto"/>
            <w:left w:val="none" w:sz="0" w:space="0" w:color="auto"/>
            <w:bottom w:val="none" w:sz="0" w:space="0" w:color="auto"/>
            <w:right w:val="none" w:sz="0" w:space="0" w:color="auto"/>
          </w:divBdr>
        </w:div>
        <w:div w:id="1659457039">
          <w:marLeft w:val="0"/>
          <w:marRight w:val="0"/>
          <w:marTop w:val="0"/>
          <w:marBottom w:val="0"/>
          <w:divBdr>
            <w:top w:val="none" w:sz="0" w:space="0" w:color="auto"/>
            <w:left w:val="none" w:sz="0" w:space="0" w:color="auto"/>
            <w:bottom w:val="none" w:sz="0" w:space="0" w:color="auto"/>
            <w:right w:val="none" w:sz="0" w:space="0" w:color="auto"/>
          </w:divBdr>
        </w:div>
        <w:div w:id="789203230">
          <w:marLeft w:val="0"/>
          <w:marRight w:val="0"/>
          <w:marTop w:val="0"/>
          <w:marBottom w:val="0"/>
          <w:divBdr>
            <w:top w:val="none" w:sz="0" w:space="0" w:color="auto"/>
            <w:left w:val="none" w:sz="0" w:space="0" w:color="auto"/>
            <w:bottom w:val="none" w:sz="0" w:space="0" w:color="auto"/>
            <w:right w:val="none" w:sz="0" w:space="0" w:color="auto"/>
          </w:divBdr>
        </w:div>
      </w:divsChild>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578376">
      <w:bodyDiv w:val="1"/>
      <w:marLeft w:val="0"/>
      <w:marRight w:val="0"/>
      <w:marTop w:val="0"/>
      <w:marBottom w:val="0"/>
      <w:divBdr>
        <w:top w:val="none" w:sz="0" w:space="0" w:color="auto"/>
        <w:left w:val="none" w:sz="0" w:space="0" w:color="auto"/>
        <w:bottom w:val="none" w:sz="0" w:space="0" w:color="auto"/>
        <w:right w:val="none" w:sz="0" w:space="0" w:color="auto"/>
      </w:divBdr>
      <w:divsChild>
        <w:div w:id="1884368663">
          <w:marLeft w:val="0"/>
          <w:marRight w:val="0"/>
          <w:marTop w:val="0"/>
          <w:marBottom w:val="0"/>
          <w:divBdr>
            <w:top w:val="none" w:sz="0" w:space="0" w:color="auto"/>
            <w:left w:val="none" w:sz="0" w:space="0" w:color="auto"/>
            <w:bottom w:val="none" w:sz="0" w:space="0" w:color="auto"/>
            <w:right w:val="none" w:sz="0" w:space="0" w:color="auto"/>
          </w:divBdr>
          <w:divsChild>
            <w:div w:id="402869763">
              <w:marLeft w:val="0"/>
              <w:marRight w:val="0"/>
              <w:marTop w:val="0"/>
              <w:marBottom w:val="0"/>
              <w:divBdr>
                <w:top w:val="none" w:sz="0" w:space="0" w:color="auto"/>
                <w:left w:val="none" w:sz="0" w:space="0" w:color="auto"/>
                <w:bottom w:val="none" w:sz="0" w:space="0" w:color="auto"/>
                <w:right w:val="none" w:sz="0" w:space="0" w:color="auto"/>
              </w:divBdr>
              <w:divsChild>
                <w:div w:id="961770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36816213">
      <w:bodyDiv w:val="1"/>
      <w:marLeft w:val="0"/>
      <w:marRight w:val="0"/>
      <w:marTop w:val="0"/>
      <w:marBottom w:val="0"/>
      <w:divBdr>
        <w:top w:val="none" w:sz="0" w:space="0" w:color="auto"/>
        <w:left w:val="none" w:sz="0" w:space="0" w:color="auto"/>
        <w:bottom w:val="none" w:sz="0" w:space="0" w:color="auto"/>
        <w:right w:val="none" w:sz="0" w:space="0" w:color="auto"/>
      </w:divBdr>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19724677">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1134</Words>
  <Characters>6465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5</cp:revision>
  <cp:lastPrinted>2017-03-22T20:13:00Z</cp:lastPrinted>
  <dcterms:created xsi:type="dcterms:W3CDTF">2023-09-27T16:08:00Z</dcterms:created>
  <dcterms:modified xsi:type="dcterms:W3CDTF">2023-09-29T06:49:00Z</dcterms:modified>
</cp:coreProperties>
</file>