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70EB86AC" w:rsidR="006408F6" w:rsidRPr="00575E71" w:rsidRDefault="004F3DFC"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w:t>
      </w:r>
      <w:r w:rsidR="004C2525">
        <w:rPr>
          <w:rFonts w:eastAsia="Times New Roman" w:cs="Arial"/>
          <w:noProof w:val="0"/>
          <w:sz w:val="24"/>
          <w:szCs w:val="28"/>
          <w:lang w:eastAsia="x-none"/>
        </w:rPr>
        <w:t>3</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82244C" w:rsidRPr="0082244C">
        <w:rPr>
          <w:rFonts w:eastAsia="Times New Roman" w:cs="Arial"/>
          <w:bCs/>
          <w:noProof w:val="0"/>
          <w:sz w:val="24"/>
          <w:szCs w:val="28"/>
          <w:lang w:val="en-US" w:eastAsia="x-none"/>
        </w:rPr>
        <w:t>R2-2307988</w:t>
      </w:r>
    </w:p>
    <w:p w14:paraId="41F9B491" w14:textId="60B21932" w:rsidR="0097167E" w:rsidRPr="00575E71" w:rsidRDefault="004C2525"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4C2525">
        <w:rPr>
          <w:rFonts w:eastAsia="Times New Roman" w:cs="Arial"/>
          <w:bCs/>
          <w:noProof w:val="0"/>
          <w:sz w:val="24"/>
          <w:szCs w:val="28"/>
          <w:lang w:val="en-US" w:eastAsia="x-none"/>
        </w:rPr>
        <w:t xml:space="preserve">Toulouse, France, Aug </w:t>
      </w:r>
      <w:r w:rsidRPr="004C2525">
        <w:rPr>
          <w:rFonts w:eastAsia="Times New Roman" w:cs="Arial" w:hint="eastAsia"/>
          <w:bCs/>
          <w:noProof w:val="0"/>
          <w:sz w:val="24"/>
          <w:szCs w:val="28"/>
          <w:lang w:val="en-US" w:eastAsia="x-none"/>
        </w:rPr>
        <w:t>2</w:t>
      </w:r>
      <w:r w:rsidRPr="004C2525">
        <w:rPr>
          <w:rFonts w:eastAsia="Times New Roman" w:cs="Arial"/>
          <w:bCs/>
          <w:noProof w:val="0"/>
          <w:sz w:val="24"/>
          <w:szCs w:val="28"/>
          <w:lang w:val="en-US" w:eastAsia="x-none"/>
        </w:rPr>
        <w:t xml:space="preserve">1 – </w:t>
      </w:r>
      <w:r w:rsidRPr="004C2525">
        <w:rPr>
          <w:rFonts w:eastAsia="Times New Roman" w:cs="Arial" w:hint="eastAsia"/>
          <w:bCs/>
          <w:noProof w:val="0"/>
          <w:sz w:val="24"/>
          <w:szCs w:val="28"/>
          <w:lang w:val="en-US" w:eastAsia="x-none"/>
        </w:rPr>
        <w:t>2</w:t>
      </w:r>
      <w:r w:rsidRPr="004C2525">
        <w:rPr>
          <w:rFonts w:eastAsia="Times New Roman" w:cs="Arial"/>
          <w:bCs/>
          <w:noProof w:val="0"/>
          <w:sz w:val="24"/>
          <w:szCs w:val="28"/>
          <w:lang w:val="en-US" w:eastAsia="x-none"/>
        </w:rPr>
        <w:t>5</w:t>
      </w:r>
      <w:r w:rsidRPr="004C2525">
        <w:rPr>
          <w:rFonts w:eastAsia="Times New Roman" w:cs="Arial" w:hint="eastAsia"/>
          <w:bCs/>
          <w:noProof w:val="0"/>
          <w:sz w:val="24"/>
          <w:szCs w:val="28"/>
          <w:lang w:val="en-US" w:eastAsia="x-none"/>
        </w:rPr>
        <w:t>,</w:t>
      </w:r>
      <w:r w:rsidRPr="004C2525">
        <w:rPr>
          <w:rFonts w:eastAsia="Times New Roman" w:cs="Arial"/>
          <w:bCs/>
          <w:noProof w:val="0"/>
          <w:sz w:val="24"/>
          <w:szCs w:val="28"/>
          <w:lang w:val="en-US" w:eastAsia="x-none"/>
        </w:rPr>
        <w:t xml:space="preserve"> </w:t>
      </w:r>
      <w:r w:rsidRPr="004C2525">
        <w:rPr>
          <w:rFonts w:eastAsia="Times New Roman" w:cs="Arial" w:hint="eastAsia"/>
          <w:bCs/>
          <w:noProof w:val="0"/>
          <w:sz w:val="24"/>
          <w:szCs w:val="28"/>
          <w:lang w:val="en-US" w:eastAsia="x-none"/>
        </w:rPr>
        <w:t>2023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D91643D"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202B08">
        <w:rPr>
          <w:rFonts w:ascii="Arial" w:hAnsi="Arial" w:cs="Arial"/>
          <w:szCs w:val="24"/>
        </w:rPr>
        <w:t>7</w:t>
      </w:r>
      <w:r w:rsidR="007B56A5" w:rsidRPr="00575E71">
        <w:rPr>
          <w:rFonts w:ascii="Arial" w:hAnsi="Arial" w:cs="Arial"/>
          <w:szCs w:val="24"/>
        </w:rPr>
        <w:t>.4.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2B3A0171"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F3DFC">
        <w:rPr>
          <w:b/>
          <w:sz w:val="24"/>
          <w:lang w:val="en-GB"/>
        </w:rPr>
        <w:t xml:space="preserve">Prioritizing </w:t>
      </w:r>
      <w:r w:rsidR="0082244C">
        <w:rPr>
          <w:b/>
          <w:sz w:val="24"/>
          <w:lang w:val="en-GB"/>
        </w:rPr>
        <w:t xml:space="preserve">of LTM </w:t>
      </w:r>
      <w:r w:rsidR="00EF6EE2">
        <w:rPr>
          <w:b/>
          <w:sz w:val="24"/>
          <w:lang w:val="en-GB"/>
        </w:rPr>
        <w:t>candidate cells</w:t>
      </w:r>
      <w:r w:rsidR="00E53F08">
        <w:rPr>
          <w:b/>
          <w:sz w:val="24"/>
          <w:lang w:val="en-GB"/>
        </w:rPr>
        <w:t xml:space="preserve"> </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068DB11F"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 xml:space="preserve">Discussion and </w:t>
      </w:r>
      <w:r w:rsidR="00CC400D">
        <w:rPr>
          <w:rFonts w:ascii="Arial" w:hAnsi="Arial" w:cs="Arial"/>
          <w:szCs w:val="24"/>
        </w:rPr>
        <w:t>agreement</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3193FBF5" w14:textId="59ED0494"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0656F4">
        <w:rPr>
          <w:rFonts w:ascii="Arial" w:hAnsi="Arial" w:cs="Arial"/>
          <w:sz w:val="20"/>
          <w:szCs w:val="20"/>
          <w:lang w:val="en-GB"/>
        </w:rPr>
        <w:t>one of the previous</w:t>
      </w:r>
      <w:r w:rsidRPr="00575E71">
        <w:rPr>
          <w:rFonts w:ascii="Arial" w:hAnsi="Arial" w:cs="Arial"/>
          <w:sz w:val="20"/>
          <w:szCs w:val="20"/>
          <w:lang w:val="en-GB"/>
        </w:rPr>
        <w:t xml:space="preserve"> </w:t>
      </w:r>
      <w:r w:rsidR="00702AD4">
        <w:rPr>
          <w:rFonts w:ascii="Arial" w:hAnsi="Arial" w:cs="Arial"/>
          <w:sz w:val="20"/>
          <w:szCs w:val="20"/>
          <w:lang w:val="en-GB"/>
        </w:rPr>
        <w:t xml:space="preserve">RAN2 </w:t>
      </w:r>
      <w:r w:rsidRPr="00575E71">
        <w:rPr>
          <w:rFonts w:ascii="Arial" w:hAnsi="Arial" w:cs="Arial"/>
          <w:sz w:val="20"/>
          <w:szCs w:val="20"/>
          <w:lang w:val="en-GB"/>
        </w:rPr>
        <w:t xml:space="preserve">meeting, </w:t>
      </w:r>
      <w:r w:rsidR="00BC3ADD">
        <w:rPr>
          <w:rFonts w:ascii="Arial" w:hAnsi="Arial" w:cs="Arial"/>
          <w:sz w:val="20"/>
          <w:szCs w:val="20"/>
          <w:lang w:val="en-GB"/>
        </w:rPr>
        <w:t>the</w:t>
      </w:r>
      <w:r w:rsidR="001A4337">
        <w:rPr>
          <w:rFonts w:ascii="Arial" w:hAnsi="Arial" w:cs="Arial"/>
          <w:sz w:val="20"/>
          <w:szCs w:val="20"/>
          <w:lang w:val="en-GB"/>
        </w:rPr>
        <w:t xml:space="preserve"> following working assumptions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2A6E38">
        <w:tc>
          <w:tcPr>
            <w:tcW w:w="10195" w:type="dxa"/>
          </w:tcPr>
          <w:p w14:paraId="555A5282" w14:textId="5259E604" w:rsidR="00560BC6" w:rsidRDefault="00C218D0" w:rsidP="00560BC6">
            <w:pPr>
              <w:pStyle w:val="Doc-text2"/>
              <w:ind w:left="0" w:firstLine="0"/>
              <w:rPr>
                <w:lang w:val="en-US"/>
              </w:rPr>
            </w:pPr>
            <w:r>
              <w:rPr>
                <w:lang w:val="en-US"/>
              </w:rPr>
              <w:t>#119-bis-e</w:t>
            </w:r>
          </w:p>
          <w:p w14:paraId="051C15C7"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C218D0">
              <w:rPr>
                <w:highlight w:val="yellow"/>
                <w:lang w:val="en-US"/>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C218D0">
              <w:rPr>
                <w:highlight w:val="yellow"/>
                <w:lang w:val="en-US"/>
              </w:rPr>
              <w:t>RAN1, and</w:t>
            </w:r>
            <w:proofErr w:type="gramEnd"/>
            <w:r w:rsidRPr="00C218D0">
              <w:rPr>
                <w:highlight w:val="yellow"/>
                <w:lang w:val="en-US"/>
              </w:rPr>
              <w:t xml:space="preserve"> expect that RAN1 is working on this</w:t>
            </w:r>
            <w:r w:rsidRPr="00560BC6">
              <w:rPr>
                <w:lang w:val="en-US"/>
              </w:rPr>
              <w:t xml:space="preserve">. </w:t>
            </w:r>
          </w:p>
          <w:p w14:paraId="217C30E3"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 xml:space="preserve">RAN2 assumes RACH resource for CFRA for L1 L2 dynamic switch may be provided in RRC configuration (or potentially by MAC CE FFS). </w:t>
            </w:r>
          </w:p>
          <w:p w14:paraId="346C33C8"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FFS if the MAC CE can indicate TCI state(s) (or other beam info) to activate for the target Cell(s), dep on RAN1 progress.</w:t>
            </w:r>
          </w:p>
          <w:p w14:paraId="4729FA90" w14:textId="1D25FCA7" w:rsidR="00560BC6" w:rsidRPr="00560BC6" w:rsidRDefault="00560BC6" w:rsidP="00560BC6">
            <w:pPr>
              <w:pStyle w:val="Doc-text2"/>
              <w:rPr>
                <w:lang w:val="en-US"/>
              </w:rPr>
            </w:pPr>
          </w:p>
        </w:tc>
      </w:tr>
    </w:tbl>
    <w:p w14:paraId="1B3A399A" w14:textId="3A956E48"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analyse </w:t>
      </w:r>
      <w:r w:rsidR="000656F4">
        <w:rPr>
          <w:rFonts w:ascii="Arial" w:hAnsi="Arial" w:cs="Arial"/>
          <w:sz w:val="20"/>
          <w:szCs w:val="20"/>
          <w:lang w:val="en-GB"/>
        </w:rPr>
        <w:t xml:space="preserve">prioritization of </w:t>
      </w:r>
      <w:r w:rsidR="00EF6EE2">
        <w:rPr>
          <w:rFonts w:ascii="Arial" w:hAnsi="Arial" w:cs="Arial"/>
          <w:sz w:val="20"/>
          <w:szCs w:val="20"/>
          <w:lang w:val="en-GB"/>
        </w:rPr>
        <w:t>candidate cells during LTM cell switch</w:t>
      </w:r>
      <w:r>
        <w:rPr>
          <w:rFonts w:ascii="Arial" w:hAnsi="Arial" w:cs="Arial"/>
          <w:sz w:val="20"/>
          <w:szCs w:val="20"/>
          <w:lang w:val="en-GB"/>
        </w:rPr>
        <w:t>.</w:t>
      </w:r>
    </w:p>
    <w:p w14:paraId="1FB7191B" w14:textId="57C373D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60F4272A" w14:textId="1FDD98FE" w:rsidR="00BC3ADD" w:rsidRDefault="00BC3ADD" w:rsidP="00C218D0">
      <w:pPr>
        <w:spacing w:before="120" w:after="120"/>
        <w:jc w:val="both"/>
        <w:rPr>
          <w:rFonts w:ascii="Arial" w:hAnsi="Arial" w:cs="Arial"/>
          <w:sz w:val="20"/>
          <w:szCs w:val="20"/>
        </w:rPr>
      </w:pPr>
      <w:r>
        <w:rPr>
          <w:rFonts w:ascii="Arial" w:hAnsi="Arial" w:cs="Arial"/>
          <w:sz w:val="20"/>
          <w:szCs w:val="20"/>
        </w:rPr>
        <w:t xml:space="preserve">The timing advance (TA) </w:t>
      </w:r>
      <w:r w:rsidR="00FF39E3">
        <w:rPr>
          <w:rFonts w:ascii="Arial" w:hAnsi="Arial" w:cs="Arial"/>
          <w:sz w:val="20"/>
          <w:szCs w:val="20"/>
        </w:rPr>
        <w:t xml:space="preserve">of a UE </w:t>
      </w:r>
      <w:r>
        <w:rPr>
          <w:rFonts w:ascii="Arial" w:hAnsi="Arial" w:cs="Arial"/>
          <w:sz w:val="20"/>
          <w:szCs w:val="20"/>
        </w:rPr>
        <w:t xml:space="preserve">could be different in different cells of the network. Hence whenever UE undergoes mobility and performs serving cell change, the UE </w:t>
      </w:r>
      <w:r w:rsidR="00CC400D">
        <w:rPr>
          <w:rFonts w:ascii="Arial" w:hAnsi="Arial" w:cs="Arial"/>
          <w:sz w:val="20"/>
          <w:szCs w:val="20"/>
        </w:rPr>
        <w:t>must</w:t>
      </w:r>
      <w:r>
        <w:rPr>
          <w:rFonts w:ascii="Arial" w:hAnsi="Arial" w:cs="Arial"/>
          <w:sz w:val="20"/>
          <w:szCs w:val="20"/>
        </w:rPr>
        <w:t xml:space="preserve"> acquire the TA of the target cell</w:t>
      </w:r>
      <w:r w:rsidR="004E7DB8">
        <w:rPr>
          <w:rFonts w:ascii="Arial" w:hAnsi="Arial" w:cs="Arial"/>
          <w:sz w:val="20"/>
          <w:szCs w:val="20"/>
        </w:rPr>
        <w:t xml:space="preserve"> before it can start data transmission</w:t>
      </w:r>
      <w:r>
        <w:rPr>
          <w:rFonts w:ascii="Arial" w:hAnsi="Arial" w:cs="Arial"/>
          <w:sz w:val="20"/>
          <w:szCs w:val="20"/>
        </w:rPr>
        <w:t xml:space="preserve">. </w:t>
      </w:r>
      <w:r w:rsidRPr="00BC3ADD">
        <w:rPr>
          <w:rFonts w:ascii="Arial" w:hAnsi="Arial" w:cs="Arial"/>
          <w:sz w:val="20"/>
          <w:szCs w:val="20"/>
        </w:rPr>
        <w:t xml:space="preserve">In the legacy baseline NR L3 mobility, the UE obtains the </w:t>
      </w:r>
      <w:r>
        <w:rPr>
          <w:rFonts w:ascii="Arial" w:hAnsi="Arial" w:cs="Arial"/>
          <w:sz w:val="20"/>
          <w:szCs w:val="20"/>
        </w:rPr>
        <w:t>timing advance (</w:t>
      </w:r>
      <w:r w:rsidRPr="00BC3ADD">
        <w:rPr>
          <w:rFonts w:ascii="Arial" w:hAnsi="Arial" w:cs="Arial"/>
          <w:sz w:val="20"/>
          <w:szCs w:val="20"/>
        </w:rPr>
        <w:t>TA</w:t>
      </w:r>
      <w:r>
        <w:rPr>
          <w:rFonts w:ascii="Arial" w:hAnsi="Arial" w:cs="Arial"/>
          <w:sz w:val="20"/>
          <w:szCs w:val="20"/>
        </w:rPr>
        <w:t>)</w:t>
      </w:r>
      <w:r w:rsidRPr="00BC3ADD">
        <w:rPr>
          <w:rFonts w:ascii="Arial" w:hAnsi="Arial" w:cs="Arial"/>
          <w:sz w:val="20"/>
          <w:szCs w:val="20"/>
        </w:rPr>
        <w:t xml:space="preserve"> </w:t>
      </w:r>
      <w:r>
        <w:rPr>
          <w:rFonts w:ascii="Arial" w:hAnsi="Arial" w:cs="Arial"/>
          <w:sz w:val="20"/>
          <w:szCs w:val="20"/>
        </w:rPr>
        <w:t xml:space="preserve">of </w:t>
      </w:r>
      <w:r w:rsidRPr="00BC3ADD">
        <w:rPr>
          <w:rFonts w:ascii="Arial" w:hAnsi="Arial" w:cs="Arial"/>
          <w:sz w:val="20"/>
          <w:szCs w:val="20"/>
        </w:rPr>
        <w:t>the target cell and completes the UL synchronization via the RACH procedure</w:t>
      </w:r>
      <w:r w:rsidR="00C218D0" w:rsidRPr="00BC3ADD">
        <w:rPr>
          <w:rFonts w:ascii="Arial" w:hAnsi="Arial" w:cs="Arial"/>
          <w:sz w:val="20"/>
          <w:szCs w:val="20"/>
        </w:rPr>
        <w:t>.</w:t>
      </w:r>
      <w:r>
        <w:rPr>
          <w:rFonts w:ascii="Arial" w:hAnsi="Arial" w:cs="Arial"/>
          <w:sz w:val="20"/>
          <w:szCs w:val="20"/>
        </w:rPr>
        <w:t xml:space="preserve"> This delay is included in the overall Handover latency</w:t>
      </w:r>
      <w:r w:rsidR="00C218D0" w:rsidRPr="00BC3ADD">
        <w:rPr>
          <w:rFonts w:ascii="Arial" w:hAnsi="Arial" w:cs="Arial"/>
          <w:sz w:val="20"/>
          <w:szCs w:val="20"/>
        </w:rPr>
        <w:t xml:space="preserve"> </w:t>
      </w:r>
      <w:r>
        <w:rPr>
          <w:rFonts w:ascii="Arial" w:hAnsi="Arial" w:cs="Arial"/>
          <w:sz w:val="20"/>
          <w:szCs w:val="20"/>
        </w:rPr>
        <w:t>and user-service interruption.</w:t>
      </w:r>
    </w:p>
    <w:p w14:paraId="121DDBEF" w14:textId="69DA313C" w:rsidR="00240313" w:rsidRPr="00BC3ADD" w:rsidRDefault="00BC3ADD" w:rsidP="00C218D0">
      <w:pPr>
        <w:spacing w:before="120" w:after="120"/>
        <w:jc w:val="both"/>
        <w:rPr>
          <w:rFonts w:ascii="Arial" w:hAnsi="Arial" w:cs="Arial"/>
          <w:sz w:val="20"/>
          <w:szCs w:val="20"/>
        </w:rPr>
      </w:pPr>
      <w:r>
        <w:rPr>
          <w:rFonts w:ascii="Arial" w:hAnsi="Arial" w:cs="Arial"/>
          <w:sz w:val="20"/>
          <w:szCs w:val="20"/>
        </w:rPr>
        <w:t xml:space="preserve">Hence, RAN2 has agreed to </w:t>
      </w:r>
      <w:r w:rsidR="00EF6EE2">
        <w:rPr>
          <w:rFonts w:ascii="Arial" w:hAnsi="Arial" w:cs="Arial"/>
          <w:sz w:val="20"/>
          <w:szCs w:val="20"/>
        </w:rPr>
        <w:t>a RACH-less LTM cell switch to</w:t>
      </w:r>
      <w:r>
        <w:rPr>
          <w:rFonts w:ascii="Arial" w:hAnsi="Arial" w:cs="Arial"/>
          <w:sz w:val="20"/>
          <w:szCs w:val="20"/>
        </w:rPr>
        <w:t xml:space="preserve"> reduce user-service interruption during L1/L2 triggered mobility (LTM). </w:t>
      </w:r>
      <w:r w:rsidR="00AB2DB2" w:rsidRPr="00BC3ADD">
        <w:rPr>
          <w:rFonts w:ascii="Arial" w:hAnsi="Arial" w:cs="Arial"/>
          <w:sz w:val="20"/>
          <w:szCs w:val="20"/>
        </w:rPr>
        <w:t xml:space="preserve"> </w:t>
      </w:r>
      <w:r>
        <w:rPr>
          <w:rFonts w:ascii="Arial" w:hAnsi="Arial" w:cs="Arial"/>
          <w:sz w:val="20"/>
          <w:szCs w:val="20"/>
        </w:rPr>
        <w:t xml:space="preserve">In </w:t>
      </w:r>
      <w:r w:rsidR="00EF6EE2">
        <w:rPr>
          <w:rFonts w:ascii="Arial" w:hAnsi="Arial" w:cs="Arial"/>
          <w:sz w:val="20"/>
          <w:szCs w:val="20"/>
        </w:rPr>
        <w:t xml:space="preserve">one of </w:t>
      </w:r>
      <w:r>
        <w:rPr>
          <w:rFonts w:ascii="Arial" w:hAnsi="Arial" w:cs="Arial"/>
          <w:sz w:val="20"/>
          <w:szCs w:val="20"/>
        </w:rPr>
        <w:t>the previous RAN2 meeting</w:t>
      </w:r>
      <w:r w:rsidR="00EF6EE2">
        <w:rPr>
          <w:rFonts w:ascii="Arial" w:hAnsi="Arial" w:cs="Arial"/>
          <w:sz w:val="20"/>
          <w:szCs w:val="20"/>
        </w:rPr>
        <w:t>s</w:t>
      </w:r>
      <w:r>
        <w:rPr>
          <w:rFonts w:ascii="Arial" w:hAnsi="Arial" w:cs="Arial"/>
          <w:sz w:val="20"/>
          <w:szCs w:val="20"/>
        </w:rPr>
        <w:t xml:space="preserve">, a working assumption was made, which is highlighted in sec 1. This supports </w:t>
      </w:r>
      <w:r w:rsidR="00EF6EE2">
        <w:rPr>
          <w:rFonts w:ascii="Arial" w:hAnsi="Arial" w:cs="Arial"/>
          <w:sz w:val="20"/>
          <w:szCs w:val="20"/>
        </w:rPr>
        <w:t xml:space="preserve">both RACH-based and </w:t>
      </w:r>
      <w:r>
        <w:rPr>
          <w:rFonts w:ascii="Arial" w:hAnsi="Arial" w:cs="Arial"/>
          <w:sz w:val="20"/>
          <w:szCs w:val="20"/>
        </w:rPr>
        <w:t xml:space="preserve">RACH-less </w:t>
      </w:r>
      <w:r w:rsidR="00EF6EE2">
        <w:rPr>
          <w:rFonts w:ascii="Arial" w:hAnsi="Arial" w:cs="Arial"/>
          <w:sz w:val="20"/>
          <w:szCs w:val="20"/>
        </w:rPr>
        <w:t>cell switch</w:t>
      </w:r>
      <w:r>
        <w:rPr>
          <w:rFonts w:ascii="Arial" w:hAnsi="Arial" w:cs="Arial"/>
          <w:sz w:val="20"/>
          <w:szCs w:val="20"/>
        </w:rPr>
        <w:t xml:space="preserve"> </w:t>
      </w:r>
      <w:r w:rsidR="00EF6EE2">
        <w:rPr>
          <w:rFonts w:ascii="Arial" w:hAnsi="Arial" w:cs="Arial"/>
          <w:sz w:val="20"/>
          <w:szCs w:val="20"/>
        </w:rPr>
        <w:t>during</w:t>
      </w:r>
      <w:r>
        <w:rPr>
          <w:rFonts w:ascii="Arial" w:hAnsi="Arial" w:cs="Arial"/>
          <w:sz w:val="20"/>
          <w:szCs w:val="20"/>
        </w:rPr>
        <w:t xml:space="preserve"> LTM. </w:t>
      </w:r>
    </w:p>
    <w:p w14:paraId="603388B8" w14:textId="77D11BC1" w:rsidR="003C4F54" w:rsidRDefault="003C4F54" w:rsidP="003C4F54">
      <w:pPr>
        <w:pStyle w:val="Heading2"/>
        <w:rPr>
          <w:rFonts w:cs="Arial"/>
        </w:rPr>
      </w:pPr>
      <w:r>
        <w:rPr>
          <w:rFonts w:cs="Arial"/>
        </w:rPr>
        <w:t xml:space="preserve">Prioritization of </w:t>
      </w:r>
      <w:r w:rsidR="00EF6EE2">
        <w:rPr>
          <w:rFonts w:cs="Arial"/>
        </w:rPr>
        <w:t>candidate cells</w:t>
      </w:r>
    </w:p>
    <w:p w14:paraId="6BFC4C68" w14:textId="77777777" w:rsidR="003B7B53" w:rsidRDefault="003B7B53" w:rsidP="003B7B53">
      <w:pPr>
        <w:rPr>
          <w:rFonts w:ascii="Arial" w:hAnsi="Arial" w:cs="Arial"/>
          <w:sz w:val="20"/>
          <w:szCs w:val="20"/>
        </w:rPr>
      </w:pPr>
      <w:r>
        <w:rPr>
          <w:rFonts w:ascii="Arial" w:hAnsi="Arial" w:cs="Arial"/>
          <w:sz w:val="20"/>
          <w:szCs w:val="20"/>
        </w:rPr>
        <w:t xml:space="preserve">As per agreements in previous RAN2 meetings, a UE can be configured with multiple LTM </w:t>
      </w:r>
      <w:r>
        <w:rPr>
          <w:rFonts w:ascii="Arial" w:hAnsi="Arial" w:cs="Arial"/>
        </w:rPr>
        <w:t>candidate/</w:t>
      </w:r>
      <w:r>
        <w:rPr>
          <w:rFonts w:ascii="Arial" w:hAnsi="Arial" w:cs="Arial"/>
          <w:sz w:val="20"/>
          <w:szCs w:val="20"/>
        </w:rPr>
        <w:t xml:space="preserve">target cells beforehand. These </w:t>
      </w:r>
      <w:r>
        <w:rPr>
          <w:rFonts w:ascii="Arial" w:hAnsi="Arial" w:cs="Arial"/>
        </w:rPr>
        <w:t>candidate/</w:t>
      </w:r>
      <w:r>
        <w:rPr>
          <w:rFonts w:ascii="Arial" w:hAnsi="Arial" w:cs="Arial"/>
          <w:sz w:val="20"/>
          <w:szCs w:val="20"/>
        </w:rPr>
        <w:t xml:space="preserve">target cells could belong to the same or different </w:t>
      </w:r>
      <w:proofErr w:type="spellStart"/>
      <w:r>
        <w:rPr>
          <w:rFonts w:ascii="Arial" w:hAnsi="Arial" w:cs="Arial"/>
          <w:sz w:val="20"/>
          <w:szCs w:val="20"/>
        </w:rPr>
        <w:t>gNB</w:t>
      </w:r>
      <w:proofErr w:type="spellEnd"/>
      <w:r>
        <w:rPr>
          <w:rFonts w:ascii="Arial" w:hAnsi="Arial" w:cs="Arial"/>
          <w:sz w:val="20"/>
          <w:szCs w:val="20"/>
        </w:rPr>
        <w:t xml:space="preserve">-DUs within the same </w:t>
      </w:r>
      <w:proofErr w:type="spellStart"/>
      <w:r>
        <w:rPr>
          <w:rFonts w:ascii="Arial" w:hAnsi="Arial" w:cs="Arial"/>
          <w:sz w:val="20"/>
          <w:szCs w:val="20"/>
        </w:rPr>
        <w:t>gNB</w:t>
      </w:r>
      <w:proofErr w:type="spellEnd"/>
      <w:r>
        <w:rPr>
          <w:rFonts w:ascii="Arial" w:hAnsi="Arial" w:cs="Arial"/>
          <w:sz w:val="20"/>
          <w:szCs w:val="20"/>
        </w:rPr>
        <w:t xml:space="preserve">. Each of these </w:t>
      </w:r>
      <w:r>
        <w:rPr>
          <w:rFonts w:ascii="Arial" w:hAnsi="Arial" w:cs="Arial"/>
        </w:rPr>
        <w:t>candidate/</w:t>
      </w:r>
      <w:r>
        <w:rPr>
          <w:rFonts w:ascii="Arial" w:hAnsi="Arial" w:cs="Arial"/>
          <w:sz w:val="20"/>
          <w:szCs w:val="20"/>
        </w:rPr>
        <w:t xml:space="preserve">target cells may have prepared different configurations depending on the capability of </w:t>
      </w:r>
      <w:proofErr w:type="spellStart"/>
      <w:r>
        <w:rPr>
          <w:rFonts w:ascii="Arial" w:hAnsi="Arial" w:cs="Arial"/>
          <w:sz w:val="20"/>
          <w:szCs w:val="20"/>
        </w:rPr>
        <w:t>gNB</w:t>
      </w:r>
      <w:proofErr w:type="spellEnd"/>
      <w:r>
        <w:rPr>
          <w:rFonts w:ascii="Arial" w:hAnsi="Arial" w:cs="Arial"/>
          <w:sz w:val="20"/>
          <w:szCs w:val="20"/>
        </w:rPr>
        <w:t xml:space="preserve">-DU, resource availability at the time of </w:t>
      </w:r>
      <w:r>
        <w:rPr>
          <w:rFonts w:ascii="Arial" w:hAnsi="Arial" w:cs="Arial"/>
        </w:rPr>
        <w:t>candidate/</w:t>
      </w:r>
      <w:r>
        <w:rPr>
          <w:rFonts w:ascii="Arial" w:hAnsi="Arial" w:cs="Arial"/>
          <w:sz w:val="20"/>
          <w:szCs w:val="20"/>
        </w:rPr>
        <w:t xml:space="preserve">target cell preparation, explicit request from </w:t>
      </w:r>
      <w:proofErr w:type="spellStart"/>
      <w:r>
        <w:rPr>
          <w:rFonts w:ascii="Arial" w:hAnsi="Arial" w:cs="Arial"/>
          <w:sz w:val="20"/>
          <w:szCs w:val="20"/>
        </w:rPr>
        <w:t>gNB</w:t>
      </w:r>
      <w:proofErr w:type="spellEnd"/>
      <w:r>
        <w:rPr>
          <w:rFonts w:ascii="Arial" w:hAnsi="Arial" w:cs="Arial"/>
          <w:sz w:val="20"/>
          <w:szCs w:val="20"/>
        </w:rPr>
        <w:t xml:space="preserve">-CU etc. </w:t>
      </w:r>
    </w:p>
    <w:p w14:paraId="2F3F3333" w14:textId="77777777" w:rsidR="0098710E" w:rsidRDefault="0098710E" w:rsidP="003B7B53">
      <w:pPr>
        <w:rPr>
          <w:rFonts w:ascii="Arial" w:hAnsi="Arial" w:cs="Arial"/>
          <w:sz w:val="20"/>
          <w:szCs w:val="20"/>
        </w:rPr>
      </w:pPr>
    </w:p>
    <w:p w14:paraId="490C2F83" w14:textId="68A579D1" w:rsidR="003B7B53" w:rsidRDefault="003B7B53" w:rsidP="003B7B53">
      <w:pPr>
        <w:rPr>
          <w:rFonts w:ascii="Arial" w:hAnsi="Arial" w:cs="Arial"/>
          <w:sz w:val="20"/>
          <w:szCs w:val="20"/>
        </w:rPr>
      </w:pPr>
      <w:r>
        <w:rPr>
          <w:rFonts w:ascii="Arial" w:hAnsi="Arial" w:cs="Arial"/>
          <w:sz w:val="20"/>
          <w:szCs w:val="20"/>
        </w:rPr>
        <w:t>However, w</w:t>
      </w:r>
      <w:r w:rsidRPr="003C4F54">
        <w:rPr>
          <w:rFonts w:ascii="Arial" w:hAnsi="Arial" w:cs="Arial"/>
          <w:sz w:val="20"/>
          <w:szCs w:val="20"/>
        </w:rPr>
        <w:t>henever</w:t>
      </w:r>
      <w:r>
        <w:rPr>
          <w:rFonts w:ascii="Arial" w:hAnsi="Arial" w:cs="Arial"/>
          <w:sz w:val="20"/>
          <w:szCs w:val="20"/>
        </w:rPr>
        <w:t xml:space="preserve"> there are multiple </w:t>
      </w:r>
      <w:r>
        <w:rPr>
          <w:rFonts w:ascii="Arial" w:hAnsi="Arial" w:cs="Arial"/>
        </w:rPr>
        <w:t>candidate/</w:t>
      </w:r>
      <w:r>
        <w:rPr>
          <w:rFonts w:ascii="Arial" w:hAnsi="Arial" w:cs="Arial"/>
          <w:sz w:val="20"/>
          <w:szCs w:val="20"/>
        </w:rPr>
        <w:t xml:space="preserve">target cells configured for a UE, there may be scenarios where more than one </w:t>
      </w:r>
      <w:r>
        <w:rPr>
          <w:rFonts w:ascii="Arial" w:hAnsi="Arial" w:cs="Arial"/>
        </w:rPr>
        <w:t>candidate/</w:t>
      </w:r>
      <w:r>
        <w:rPr>
          <w:rFonts w:ascii="Arial" w:hAnsi="Arial" w:cs="Arial"/>
          <w:sz w:val="20"/>
          <w:szCs w:val="20"/>
        </w:rPr>
        <w:t xml:space="preserve">target cell is eligible for a LTM </w:t>
      </w:r>
      <w:r>
        <w:rPr>
          <w:rFonts w:ascii="Arial" w:hAnsi="Arial" w:cs="Arial"/>
        </w:rPr>
        <w:t>cell switch</w:t>
      </w:r>
      <w:r>
        <w:rPr>
          <w:rFonts w:ascii="Arial" w:hAnsi="Arial" w:cs="Arial"/>
          <w:sz w:val="20"/>
          <w:szCs w:val="20"/>
        </w:rPr>
        <w:t xml:space="preserve">. For </w:t>
      </w:r>
      <w:proofErr w:type="spellStart"/>
      <w:r>
        <w:rPr>
          <w:rFonts w:ascii="Arial" w:hAnsi="Arial" w:cs="Arial"/>
          <w:sz w:val="20"/>
          <w:szCs w:val="20"/>
        </w:rPr>
        <w:t>eg</w:t>
      </w:r>
      <w:proofErr w:type="spellEnd"/>
      <w:r>
        <w:rPr>
          <w:rFonts w:ascii="Arial" w:hAnsi="Arial" w:cs="Arial"/>
          <w:sz w:val="20"/>
          <w:szCs w:val="20"/>
        </w:rPr>
        <w:t xml:space="preserve">: when at least two cells satisfy the HO criteria. In such scenarios, it is important to prioritize candidate cells where service impacts to the UE are minimized. For example, RACH-less LTM cell switch is preferred over RACH-based LTM HO, a candidate cell without any slide re-mapping is preferred over one where slices are re-mapped, a candidate cell without impact to UE’s carrier aggregation is preferred over one where the configuration is changed. </w:t>
      </w:r>
    </w:p>
    <w:p w14:paraId="477BBBDE" w14:textId="77777777" w:rsidR="0098710E" w:rsidRDefault="0098710E" w:rsidP="003B7B53">
      <w:pPr>
        <w:rPr>
          <w:rFonts w:ascii="Arial" w:hAnsi="Arial" w:cs="Arial"/>
          <w:sz w:val="20"/>
          <w:szCs w:val="20"/>
        </w:rPr>
      </w:pPr>
    </w:p>
    <w:p w14:paraId="7387867C" w14:textId="269BF110" w:rsidR="003B7B53" w:rsidRDefault="003B7B53" w:rsidP="003B7B53">
      <w:pPr>
        <w:rPr>
          <w:rFonts w:ascii="Arial" w:hAnsi="Arial" w:cs="Arial"/>
          <w:sz w:val="20"/>
          <w:szCs w:val="20"/>
        </w:rPr>
      </w:pPr>
      <w:r>
        <w:rPr>
          <w:rFonts w:ascii="Arial" w:hAnsi="Arial" w:cs="Arial"/>
          <w:sz w:val="20"/>
          <w:szCs w:val="20"/>
        </w:rPr>
        <w:t xml:space="preserve">This implies that the serving </w:t>
      </w:r>
      <w:proofErr w:type="spellStart"/>
      <w:r>
        <w:rPr>
          <w:rFonts w:ascii="Arial" w:hAnsi="Arial" w:cs="Arial"/>
          <w:sz w:val="20"/>
          <w:szCs w:val="20"/>
        </w:rPr>
        <w:t>gNB</w:t>
      </w:r>
      <w:proofErr w:type="spellEnd"/>
      <w:r>
        <w:rPr>
          <w:rFonts w:ascii="Arial" w:hAnsi="Arial" w:cs="Arial"/>
          <w:sz w:val="20"/>
          <w:szCs w:val="20"/>
        </w:rPr>
        <w:t>-DU could select a candidate cell with a preferred configuration (</w:t>
      </w:r>
      <w:proofErr w:type="spellStart"/>
      <w:r>
        <w:rPr>
          <w:rFonts w:ascii="Arial" w:hAnsi="Arial" w:cs="Arial"/>
          <w:sz w:val="20"/>
          <w:szCs w:val="20"/>
        </w:rPr>
        <w:t>eg</w:t>
      </w:r>
      <w:proofErr w:type="spellEnd"/>
      <w:r>
        <w:rPr>
          <w:rFonts w:ascii="Arial" w:hAnsi="Arial" w:cs="Arial"/>
          <w:sz w:val="20"/>
          <w:szCs w:val="20"/>
        </w:rPr>
        <w:t xml:space="preserve">: RACH-less HO), even if it is not the best target cell, </w:t>
      </w:r>
      <w:proofErr w:type="gramStart"/>
      <w:r>
        <w:rPr>
          <w:rFonts w:ascii="Arial" w:hAnsi="Arial" w:cs="Arial"/>
          <w:sz w:val="20"/>
          <w:szCs w:val="20"/>
        </w:rPr>
        <w:t>as long as</w:t>
      </w:r>
      <w:proofErr w:type="gramEnd"/>
      <w:r>
        <w:rPr>
          <w:rFonts w:ascii="Arial" w:hAnsi="Arial" w:cs="Arial"/>
          <w:sz w:val="20"/>
          <w:szCs w:val="20"/>
        </w:rPr>
        <w:t xml:space="preserve"> it satisfies the LTM HO criteria. For this, the </w:t>
      </w:r>
      <w:proofErr w:type="spellStart"/>
      <w:r>
        <w:rPr>
          <w:rFonts w:ascii="Arial" w:hAnsi="Arial" w:cs="Arial"/>
          <w:sz w:val="20"/>
          <w:szCs w:val="20"/>
        </w:rPr>
        <w:t>gNB</w:t>
      </w:r>
      <w:proofErr w:type="spellEnd"/>
      <w:r>
        <w:rPr>
          <w:rFonts w:ascii="Arial" w:hAnsi="Arial" w:cs="Arial"/>
          <w:sz w:val="20"/>
          <w:szCs w:val="20"/>
        </w:rPr>
        <w:t xml:space="preserve">-CU could indicate to the serving </w:t>
      </w:r>
      <w:proofErr w:type="spellStart"/>
      <w:r>
        <w:rPr>
          <w:rFonts w:ascii="Arial" w:hAnsi="Arial" w:cs="Arial"/>
          <w:sz w:val="20"/>
          <w:szCs w:val="20"/>
        </w:rPr>
        <w:t>gNB</w:t>
      </w:r>
      <w:proofErr w:type="spellEnd"/>
      <w:r>
        <w:rPr>
          <w:rFonts w:ascii="Arial" w:hAnsi="Arial" w:cs="Arial"/>
          <w:sz w:val="20"/>
          <w:szCs w:val="20"/>
        </w:rPr>
        <w:t xml:space="preserve">-DU, the kind of LTM </w:t>
      </w:r>
      <w:r>
        <w:rPr>
          <w:rFonts w:ascii="Arial" w:hAnsi="Arial" w:cs="Arial"/>
        </w:rPr>
        <w:t>candidate/</w:t>
      </w:r>
      <w:r>
        <w:rPr>
          <w:rFonts w:ascii="Arial" w:hAnsi="Arial" w:cs="Arial"/>
          <w:sz w:val="20"/>
          <w:szCs w:val="20"/>
        </w:rPr>
        <w:t xml:space="preserve">target cell configuration prepared by the target </w:t>
      </w:r>
      <w:proofErr w:type="spellStart"/>
      <w:r>
        <w:rPr>
          <w:rFonts w:ascii="Arial" w:hAnsi="Arial" w:cs="Arial"/>
          <w:sz w:val="20"/>
          <w:szCs w:val="20"/>
        </w:rPr>
        <w:t>gNB</w:t>
      </w:r>
      <w:proofErr w:type="spellEnd"/>
      <w:r>
        <w:rPr>
          <w:rFonts w:ascii="Arial" w:hAnsi="Arial" w:cs="Arial"/>
          <w:sz w:val="20"/>
          <w:szCs w:val="20"/>
        </w:rPr>
        <w:t>-DU.</w:t>
      </w:r>
    </w:p>
    <w:p w14:paraId="16A689E6" w14:textId="313F3158" w:rsidR="00D20231" w:rsidRDefault="003B7B53" w:rsidP="003B7B53">
      <w:pPr>
        <w:rPr>
          <w:rFonts w:ascii="Arial" w:hAnsi="Arial" w:cs="Arial"/>
          <w:sz w:val="20"/>
          <w:szCs w:val="20"/>
        </w:rPr>
      </w:pPr>
      <w:r>
        <w:rPr>
          <w:rFonts w:ascii="Arial" w:hAnsi="Arial" w:cs="Arial"/>
          <w:sz w:val="20"/>
          <w:szCs w:val="20"/>
        </w:rPr>
        <w:t xml:space="preserve">In fact, when the concept is extended to other </w:t>
      </w:r>
      <w:r>
        <w:rPr>
          <w:rFonts w:ascii="Arial" w:hAnsi="Arial" w:cs="Arial"/>
        </w:rPr>
        <w:t>candidate/</w:t>
      </w:r>
      <w:r>
        <w:rPr>
          <w:rFonts w:ascii="Arial" w:hAnsi="Arial" w:cs="Arial"/>
          <w:sz w:val="20"/>
          <w:szCs w:val="20"/>
        </w:rPr>
        <w:t xml:space="preserve">target cell configurable RRM aspects like slice re-mapping, DRB configuration, carrier configuration for carrier aggregation etc. </w:t>
      </w:r>
      <w:proofErr w:type="spellStart"/>
      <w:r>
        <w:rPr>
          <w:rFonts w:ascii="Arial" w:hAnsi="Arial" w:cs="Arial"/>
          <w:sz w:val="20"/>
          <w:szCs w:val="20"/>
        </w:rPr>
        <w:t>i.e</w:t>
      </w:r>
      <w:proofErr w:type="spellEnd"/>
      <w:r>
        <w:rPr>
          <w:rFonts w:ascii="Arial" w:hAnsi="Arial" w:cs="Arial"/>
          <w:sz w:val="20"/>
          <w:szCs w:val="20"/>
        </w:rPr>
        <w:t xml:space="preserve"> depending on the changes to cell configuration at the target DU compared to the serving DU, the </w:t>
      </w:r>
      <w:proofErr w:type="spellStart"/>
      <w:r>
        <w:rPr>
          <w:rFonts w:ascii="Arial" w:hAnsi="Arial" w:cs="Arial"/>
          <w:sz w:val="20"/>
          <w:szCs w:val="20"/>
        </w:rPr>
        <w:t>gNB</w:t>
      </w:r>
      <w:proofErr w:type="spellEnd"/>
      <w:r>
        <w:rPr>
          <w:rFonts w:ascii="Arial" w:hAnsi="Arial" w:cs="Arial"/>
          <w:sz w:val="20"/>
          <w:szCs w:val="20"/>
        </w:rPr>
        <w:t xml:space="preserve">-CU could allocate different priorities for each </w:t>
      </w:r>
      <w:r>
        <w:rPr>
          <w:rFonts w:ascii="Arial" w:hAnsi="Arial" w:cs="Arial"/>
        </w:rPr>
        <w:t>candidate/</w:t>
      </w:r>
      <w:r>
        <w:rPr>
          <w:rFonts w:ascii="Arial" w:hAnsi="Arial" w:cs="Arial"/>
          <w:sz w:val="20"/>
          <w:szCs w:val="20"/>
        </w:rPr>
        <w:t xml:space="preserve">target cell. This LTM cell switch priority could be delivered to the serving </w:t>
      </w:r>
      <w:proofErr w:type="spellStart"/>
      <w:r>
        <w:rPr>
          <w:rFonts w:ascii="Arial" w:hAnsi="Arial" w:cs="Arial"/>
          <w:sz w:val="20"/>
          <w:szCs w:val="20"/>
        </w:rPr>
        <w:t>gNB</w:t>
      </w:r>
      <w:proofErr w:type="spellEnd"/>
      <w:r>
        <w:rPr>
          <w:rFonts w:ascii="Arial" w:hAnsi="Arial" w:cs="Arial"/>
          <w:sz w:val="20"/>
          <w:szCs w:val="20"/>
        </w:rPr>
        <w:t>-DU and configured to be used whenever there are two or more target cells satisfying LTM HO criteria</w:t>
      </w:r>
      <w:r w:rsidR="003456E1">
        <w:rPr>
          <w:rFonts w:ascii="Arial" w:hAnsi="Arial" w:cs="Arial"/>
          <w:sz w:val="20"/>
          <w:szCs w:val="20"/>
        </w:rPr>
        <w:t>.</w:t>
      </w:r>
    </w:p>
    <w:p w14:paraId="22638086" w14:textId="5E46697F" w:rsidR="003456E1" w:rsidRDefault="003456E1" w:rsidP="00DF296C">
      <w:pPr>
        <w:rPr>
          <w:rFonts w:ascii="Arial" w:hAnsi="Arial" w:cs="Arial"/>
          <w:sz w:val="20"/>
          <w:szCs w:val="20"/>
        </w:rPr>
      </w:pPr>
    </w:p>
    <w:p w14:paraId="0C86CDA1" w14:textId="566D9271" w:rsidR="003456E1" w:rsidRDefault="003456E1" w:rsidP="003456E1">
      <w:pPr>
        <w:rPr>
          <w:rFonts w:ascii="Arial" w:hAnsi="Arial" w:cs="Arial"/>
          <w:b/>
          <w:bCs/>
          <w:sz w:val="20"/>
          <w:szCs w:val="20"/>
        </w:rPr>
      </w:pPr>
      <w:r w:rsidRPr="00BB788B">
        <w:rPr>
          <w:rFonts w:ascii="Arial" w:hAnsi="Arial" w:cs="Arial"/>
          <w:b/>
          <w:bCs/>
          <w:sz w:val="20"/>
          <w:szCs w:val="20"/>
        </w:rPr>
        <w:t xml:space="preserve">Proposal </w:t>
      </w:r>
      <w:r w:rsidR="004F3DFC">
        <w:rPr>
          <w:rFonts w:ascii="Arial" w:hAnsi="Arial" w:cs="Arial"/>
          <w:b/>
          <w:bCs/>
          <w:sz w:val="20"/>
          <w:szCs w:val="20"/>
        </w:rPr>
        <w:t>1</w:t>
      </w:r>
      <w:r w:rsidRPr="00BB788B">
        <w:rPr>
          <w:rFonts w:ascii="Arial" w:hAnsi="Arial" w:cs="Arial"/>
          <w:b/>
          <w:bCs/>
          <w:sz w:val="20"/>
          <w:szCs w:val="20"/>
        </w:rPr>
        <w:t xml:space="preserve">: </w:t>
      </w:r>
      <w:proofErr w:type="spellStart"/>
      <w:r>
        <w:rPr>
          <w:rFonts w:ascii="Arial" w:hAnsi="Arial" w:cs="Arial"/>
          <w:b/>
          <w:bCs/>
          <w:sz w:val="20"/>
          <w:szCs w:val="20"/>
        </w:rPr>
        <w:t>gNB</w:t>
      </w:r>
      <w:proofErr w:type="spellEnd"/>
      <w:r>
        <w:rPr>
          <w:rFonts w:ascii="Arial" w:hAnsi="Arial" w:cs="Arial"/>
          <w:b/>
          <w:bCs/>
          <w:sz w:val="20"/>
          <w:szCs w:val="20"/>
        </w:rPr>
        <w:t xml:space="preserve">-CU assigns LTM </w:t>
      </w:r>
      <w:r w:rsidR="002E6D55" w:rsidRPr="002E6D55">
        <w:rPr>
          <w:rFonts w:ascii="Arial" w:hAnsi="Arial" w:cs="Arial"/>
          <w:b/>
          <w:bCs/>
          <w:sz w:val="20"/>
          <w:szCs w:val="20"/>
        </w:rPr>
        <w:t xml:space="preserve">cell switch </w:t>
      </w:r>
      <w:r>
        <w:rPr>
          <w:rFonts w:ascii="Arial" w:hAnsi="Arial" w:cs="Arial"/>
          <w:b/>
          <w:bCs/>
          <w:sz w:val="20"/>
          <w:szCs w:val="20"/>
        </w:rPr>
        <w:t xml:space="preserve">priority to each </w:t>
      </w:r>
      <w:r w:rsidR="00753012">
        <w:rPr>
          <w:rFonts w:ascii="Arial" w:hAnsi="Arial" w:cs="Arial"/>
          <w:b/>
          <w:bCs/>
          <w:sz w:val="20"/>
          <w:szCs w:val="20"/>
        </w:rPr>
        <w:t xml:space="preserve">prepared </w:t>
      </w:r>
      <w:r w:rsidR="003B7B53">
        <w:rPr>
          <w:rFonts w:ascii="Arial" w:hAnsi="Arial" w:cs="Arial"/>
          <w:b/>
          <w:bCs/>
          <w:sz w:val="20"/>
          <w:szCs w:val="20"/>
        </w:rPr>
        <w:t>candidate/</w:t>
      </w:r>
      <w:r>
        <w:rPr>
          <w:rFonts w:ascii="Arial" w:hAnsi="Arial" w:cs="Arial"/>
          <w:b/>
          <w:bCs/>
          <w:sz w:val="20"/>
          <w:szCs w:val="20"/>
        </w:rPr>
        <w:t xml:space="preserve">target cell and communicates it to serving </w:t>
      </w:r>
      <w:proofErr w:type="spellStart"/>
      <w:r>
        <w:rPr>
          <w:rFonts w:ascii="Arial" w:hAnsi="Arial" w:cs="Arial"/>
          <w:b/>
          <w:bCs/>
          <w:sz w:val="20"/>
          <w:szCs w:val="20"/>
        </w:rPr>
        <w:t>gNB</w:t>
      </w:r>
      <w:proofErr w:type="spellEnd"/>
      <w:r>
        <w:rPr>
          <w:rFonts w:ascii="Arial" w:hAnsi="Arial" w:cs="Arial"/>
          <w:b/>
          <w:bCs/>
          <w:sz w:val="20"/>
          <w:szCs w:val="20"/>
        </w:rPr>
        <w:t xml:space="preserve">-DU to be used when there are multiple target cells satisfying LTM </w:t>
      </w:r>
      <w:r w:rsidR="002E6D55" w:rsidRPr="002E6D55">
        <w:rPr>
          <w:rFonts w:ascii="Arial" w:hAnsi="Arial" w:cs="Arial"/>
          <w:b/>
          <w:bCs/>
          <w:sz w:val="20"/>
          <w:szCs w:val="20"/>
        </w:rPr>
        <w:t xml:space="preserve">cell switch </w:t>
      </w:r>
      <w:r>
        <w:rPr>
          <w:rFonts w:ascii="Arial" w:hAnsi="Arial" w:cs="Arial"/>
          <w:b/>
          <w:bCs/>
          <w:sz w:val="20"/>
          <w:szCs w:val="20"/>
        </w:rPr>
        <w:t>criteria.</w:t>
      </w:r>
      <w:r w:rsidR="002E6D55">
        <w:rPr>
          <w:rFonts w:ascii="Arial" w:hAnsi="Arial" w:cs="Arial"/>
          <w:b/>
          <w:bCs/>
          <w:sz w:val="20"/>
          <w:szCs w:val="20"/>
        </w:rPr>
        <w:t xml:space="preserve"> </w:t>
      </w:r>
    </w:p>
    <w:p w14:paraId="4E4A1EA7" w14:textId="77777777" w:rsidR="003456E1" w:rsidRPr="003C4F54" w:rsidRDefault="003456E1" w:rsidP="00DF296C">
      <w:pPr>
        <w:rPr>
          <w:rFonts w:ascii="Arial" w:hAnsi="Arial" w:cs="Arial"/>
          <w:sz w:val="20"/>
          <w:szCs w:val="20"/>
        </w:rPr>
      </w:pPr>
    </w:p>
    <w:p w14:paraId="5CB8238B" w14:textId="77777777" w:rsidR="003C4F54" w:rsidRDefault="003C4F54" w:rsidP="00DF296C">
      <w:pPr>
        <w:rPr>
          <w:rFonts w:ascii="Arial" w:hAnsi="Arial" w:cs="Arial"/>
          <w:b/>
          <w:bCs/>
          <w:sz w:val="20"/>
          <w:szCs w:val="20"/>
        </w:rPr>
      </w:pPr>
    </w:p>
    <w:p w14:paraId="1DCDFBBB" w14:textId="713A93EC" w:rsidR="00DF296C" w:rsidRPr="00DF296C" w:rsidRDefault="00DF296C" w:rsidP="00DF296C">
      <w:pPr>
        <w:pStyle w:val="Heading1"/>
        <w:keepNext w:val="0"/>
        <w:keepLines w:val="0"/>
        <w:overflowPunct w:val="0"/>
        <w:autoSpaceDE w:val="0"/>
        <w:autoSpaceDN w:val="0"/>
        <w:adjustRightInd w:val="0"/>
        <w:spacing w:before="0" w:after="120"/>
        <w:rPr>
          <w:rFonts w:eastAsia="PMingLiU" w:cs="Arial"/>
        </w:rPr>
      </w:pPr>
      <w:r w:rsidRPr="00DF296C">
        <w:rPr>
          <w:rFonts w:eastAsia="PMingLiU" w:cs="Arial"/>
        </w:rPr>
        <w:t xml:space="preserve"> Conclusion</w:t>
      </w:r>
    </w:p>
    <w:p w14:paraId="29152BB0" w14:textId="77777777" w:rsidR="00DF296C" w:rsidRPr="00575E71" w:rsidRDefault="00DF296C" w:rsidP="00DF296C">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0DA27620" w14:textId="77777777" w:rsidR="00E53F08" w:rsidRDefault="00E53F08" w:rsidP="00E53F08">
      <w:pPr>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1</w:t>
      </w:r>
      <w:r w:rsidRPr="00BB788B">
        <w:rPr>
          <w:rFonts w:ascii="Arial" w:hAnsi="Arial" w:cs="Arial"/>
          <w:b/>
          <w:bCs/>
          <w:sz w:val="20"/>
          <w:szCs w:val="20"/>
        </w:rPr>
        <w:t xml:space="preserve">: </w:t>
      </w:r>
      <w:proofErr w:type="spellStart"/>
      <w:r>
        <w:rPr>
          <w:rFonts w:ascii="Arial" w:hAnsi="Arial" w:cs="Arial"/>
          <w:b/>
          <w:bCs/>
          <w:sz w:val="20"/>
          <w:szCs w:val="20"/>
        </w:rPr>
        <w:t>gNB</w:t>
      </w:r>
      <w:proofErr w:type="spellEnd"/>
      <w:r>
        <w:rPr>
          <w:rFonts w:ascii="Arial" w:hAnsi="Arial" w:cs="Arial"/>
          <w:b/>
          <w:bCs/>
          <w:sz w:val="20"/>
          <w:szCs w:val="20"/>
        </w:rPr>
        <w:t xml:space="preserve">-CU assigns LTM </w:t>
      </w:r>
      <w:r w:rsidRPr="002E6D55">
        <w:rPr>
          <w:rFonts w:ascii="Arial" w:hAnsi="Arial" w:cs="Arial"/>
          <w:b/>
          <w:bCs/>
          <w:sz w:val="20"/>
          <w:szCs w:val="20"/>
        </w:rPr>
        <w:t xml:space="preserve">cell switch </w:t>
      </w:r>
      <w:r>
        <w:rPr>
          <w:rFonts w:ascii="Arial" w:hAnsi="Arial" w:cs="Arial"/>
          <w:b/>
          <w:bCs/>
          <w:sz w:val="20"/>
          <w:szCs w:val="20"/>
        </w:rPr>
        <w:t xml:space="preserve">priority to each prepared candidate/target cell and communicates it to serving </w:t>
      </w:r>
      <w:proofErr w:type="spellStart"/>
      <w:r>
        <w:rPr>
          <w:rFonts w:ascii="Arial" w:hAnsi="Arial" w:cs="Arial"/>
          <w:b/>
          <w:bCs/>
          <w:sz w:val="20"/>
          <w:szCs w:val="20"/>
        </w:rPr>
        <w:t>gNB</w:t>
      </w:r>
      <w:proofErr w:type="spellEnd"/>
      <w:r>
        <w:rPr>
          <w:rFonts w:ascii="Arial" w:hAnsi="Arial" w:cs="Arial"/>
          <w:b/>
          <w:bCs/>
          <w:sz w:val="20"/>
          <w:szCs w:val="20"/>
        </w:rPr>
        <w:t xml:space="preserve">-DU to be used when there are multiple target cells satisfying LTM </w:t>
      </w:r>
      <w:r w:rsidRPr="002E6D55">
        <w:rPr>
          <w:rFonts w:ascii="Arial" w:hAnsi="Arial" w:cs="Arial"/>
          <w:b/>
          <w:bCs/>
          <w:sz w:val="20"/>
          <w:szCs w:val="20"/>
        </w:rPr>
        <w:t xml:space="preserve">cell switch </w:t>
      </w:r>
      <w:r>
        <w:rPr>
          <w:rFonts w:ascii="Arial" w:hAnsi="Arial" w:cs="Arial"/>
          <w:b/>
          <w:bCs/>
          <w:sz w:val="20"/>
          <w:szCs w:val="20"/>
        </w:rPr>
        <w:t xml:space="preserve">criteria. </w:t>
      </w:r>
    </w:p>
    <w:p w14:paraId="2D8A77FA" w14:textId="085A5CB0" w:rsidR="002E6D55" w:rsidRDefault="002E6D55" w:rsidP="002E6D55">
      <w:pPr>
        <w:rPr>
          <w:rFonts w:ascii="Arial" w:hAnsi="Arial" w:cs="Arial"/>
          <w:b/>
          <w:bCs/>
          <w:sz w:val="20"/>
          <w:szCs w:val="20"/>
        </w:rPr>
      </w:pPr>
    </w:p>
    <w:p w14:paraId="0DC55048" w14:textId="4BEF964B" w:rsidR="00DF296C" w:rsidRPr="00575E71" w:rsidRDefault="00DF296C" w:rsidP="00DF296C">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Pr="00575E71">
        <w:rPr>
          <w:rFonts w:eastAsia="PMingLiU" w:cs="Arial"/>
        </w:rPr>
        <w:t>eference</w:t>
      </w:r>
    </w:p>
    <w:p w14:paraId="0E35054B" w14:textId="0DBC48C9" w:rsidR="00A07E02" w:rsidRPr="00DF296C" w:rsidRDefault="00DF296C" w:rsidP="00DF296C">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bookmarkEnd w:id="0"/>
      <w:bookmarkEnd w:id="1"/>
    </w:p>
    <w:sectPr w:rsidR="00A07E02" w:rsidRPr="00DF296C"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61109" w14:textId="77777777" w:rsidR="00180874" w:rsidRDefault="00180874">
      <w:pPr>
        <w:pStyle w:val="TAL"/>
      </w:pPr>
      <w:r>
        <w:separator/>
      </w:r>
    </w:p>
  </w:endnote>
  <w:endnote w:type="continuationSeparator" w:id="0">
    <w:p w14:paraId="2528FFB9" w14:textId="77777777" w:rsidR="00180874" w:rsidRDefault="0018087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89B5F" w14:textId="77777777" w:rsidR="00180874" w:rsidRDefault="00180874">
      <w:pPr>
        <w:pStyle w:val="TAL"/>
      </w:pPr>
      <w:r>
        <w:separator/>
      </w:r>
    </w:p>
  </w:footnote>
  <w:footnote w:type="continuationSeparator" w:id="0">
    <w:p w14:paraId="77E1111F" w14:textId="77777777" w:rsidR="00180874" w:rsidRDefault="00180874">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0242830">
    <w:abstractNumId w:val="3"/>
  </w:num>
  <w:num w:numId="2" w16cid:durableId="1712925209">
    <w:abstractNumId w:val="7"/>
  </w:num>
  <w:num w:numId="3" w16cid:durableId="1459103136">
    <w:abstractNumId w:val="6"/>
  </w:num>
  <w:num w:numId="4" w16cid:durableId="1141001138">
    <w:abstractNumId w:val="4"/>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223220381">
    <w:abstractNumId w:val="6"/>
  </w:num>
  <w:num w:numId="10" w16cid:durableId="1623145392">
    <w:abstractNumId w:val="5"/>
  </w:num>
  <w:num w:numId="11" w16cid:durableId="124557758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7A4"/>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14"/>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6F4"/>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0B"/>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4B8"/>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09"/>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874"/>
    <w:rsid w:val="00180C1A"/>
    <w:rsid w:val="00181D43"/>
    <w:rsid w:val="00181E7B"/>
    <w:rsid w:val="0018218F"/>
    <w:rsid w:val="00182276"/>
    <w:rsid w:val="00182491"/>
    <w:rsid w:val="001825A1"/>
    <w:rsid w:val="001825B0"/>
    <w:rsid w:val="0018272A"/>
    <w:rsid w:val="001828DC"/>
    <w:rsid w:val="001829CB"/>
    <w:rsid w:val="00183191"/>
    <w:rsid w:val="00183482"/>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551D"/>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229"/>
    <w:rsid w:val="002024F8"/>
    <w:rsid w:val="002027BB"/>
    <w:rsid w:val="00202B08"/>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6E38"/>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D55"/>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C26"/>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EB1"/>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4EF"/>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6E1"/>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B53"/>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4"/>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56B"/>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7E1"/>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09A"/>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32A"/>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6CCD"/>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525"/>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6BD8"/>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E7DB8"/>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3DFC"/>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3DA0"/>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9F"/>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84C"/>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1C9"/>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95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201"/>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A62"/>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C4"/>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AB6"/>
    <w:rsid w:val="00751BB6"/>
    <w:rsid w:val="007520D9"/>
    <w:rsid w:val="00752309"/>
    <w:rsid w:val="0075231F"/>
    <w:rsid w:val="007525D0"/>
    <w:rsid w:val="00752654"/>
    <w:rsid w:val="00752E9B"/>
    <w:rsid w:val="00752F44"/>
    <w:rsid w:val="00753012"/>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5FC"/>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44C"/>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10E"/>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C4"/>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C5B"/>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632"/>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68A"/>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ADD"/>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4CD1"/>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0D"/>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231"/>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882"/>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96C"/>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3F08"/>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BE7"/>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6EE2"/>
    <w:rsid w:val="00EF7087"/>
    <w:rsid w:val="00EF7EBD"/>
    <w:rsid w:val="00F002C5"/>
    <w:rsid w:val="00F010A0"/>
    <w:rsid w:val="00F010C8"/>
    <w:rsid w:val="00F012D2"/>
    <w:rsid w:val="00F013A4"/>
    <w:rsid w:val="00F01582"/>
    <w:rsid w:val="00F01D29"/>
    <w:rsid w:val="00F022EF"/>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AED"/>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9FB"/>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9E3"/>
    <w:rsid w:val="00FF3E50"/>
    <w:rsid w:val="00FF4090"/>
    <w:rsid w:val="00FF439A"/>
    <w:rsid w:val="00FF44A6"/>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84</TotalTime>
  <Pages>2</Pages>
  <Words>701</Words>
  <Characters>3626</Characters>
  <Application>Microsoft Office Word</Application>
  <DocSecurity>0</DocSecurity>
  <Lines>65</Lines>
  <Paragraphs>36</Paragraphs>
  <ScaleCrop>false</ScaleCrop>
  <HeadingPairs>
    <vt:vector size="2" baseType="variant">
      <vt:variant>
        <vt:lpstr>Title</vt:lpstr>
      </vt:variant>
      <vt:variant>
        <vt:i4>1</vt:i4>
      </vt:variant>
    </vt:vector>
  </HeadingPairs>
  <TitlesOfParts>
    <vt:vector size="1" baseType="lpstr">
      <vt:lpstr>RACH-less HO for LTM</vt:lpstr>
    </vt:vector>
  </TitlesOfParts>
  <Manager/>
  <Company>Rakuten Symphony Inc</Company>
  <LinksUpToDate>false</LinksUpToDate>
  <CharactersWithSpaces>4291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Prioritizing candidate cells for LTM</dc:title>
  <dc:subject/>
  <dc:creator>Subramanya Chandrashekar</dc:creator>
  <cp:keywords/>
  <dc:description/>
  <cp:lastModifiedBy>C, Subramanya | RSI</cp:lastModifiedBy>
  <cp:revision>21</cp:revision>
  <cp:lastPrinted>2007-12-21T04:58:00Z</cp:lastPrinted>
  <dcterms:created xsi:type="dcterms:W3CDTF">2023-02-12T12:59:00Z</dcterms:created>
  <dcterms:modified xsi:type="dcterms:W3CDTF">2023-08-10T08:52:00Z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