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664CEDE" w:rsidR="006408F6" w:rsidRPr="00575E71" w:rsidRDefault="00D70498"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66347B">
        <w:rPr>
          <w:rFonts w:eastAsia="Times New Roman" w:cs="Arial"/>
          <w:noProof w:val="0"/>
          <w:sz w:val="24"/>
          <w:szCs w:val="28"/>
          <w:lang w:eastAsia="x-none"/>
        </w:rPr>
        <w:t>3</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641015" w:rsidRPr="00641015">
        <w:rPr>
          <w:rFonts w:eastAsia="Times New Roman" w:cs="Arial"/>
          <w:bCs/>
          <w:noProof w:val="0"/>
          <w:sz w:val="24"/>
          <w:szCs w:val="28"/>
          <w:lang w:val="en-US" w:eastAsia="x-none"/>
        </w:rPr>
        <w:t>R2-2307986</w:t>
      </w:r>
    </w:p>
    <w:p w14:paraId="41F9B491" w14:textId="0168D429" w:rsidR="0097167E" w:rsidRPr="00575E71" w:rsidRDefault="0066347B"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66347B">
        <w:rPr>
          <w:rFonts w:eastAsia="Times New Roman" w:cs="Arial"/>
          <w:bCs/>
          <w:noProof w:val="0"/>
          <w:sz w:val="24"/>
          <w:szCs w:val="28"/>
          <w:lang w:val="en-US" w:eastAsia="x-none"/>
        </w:rPr>
        <w:t xml:space="preserve">Toulouse, France, Aug </w:t>
      </w:r>
      <w:r w:rsidRPr="0066347B">
        <w:rPr>
          <w:rFonts w:eastAsia="Times New Roman" w:cs="Arial" w:hint="eastAsia"/>
          <w:bCs/>
          <w:noProof w:val="0"/>
          <w:sz w:val="24"/>
          <w:szCs w:val="28"/>
          <w:lang w:val="en-US" w:eastAsia="x-none"/>
        </w:rPr>
        <w:t>2</w:t>
      </w:r>
      <w:r w:rsidRPr="0066347B">
        <w:rPr>
          <w:rFonts w:eastAsia="Times New Roman" w:cs="Arial"/>
          <w:bCs/>
          <w:noProof w:val="0"/>
          <w:sz w:val="24"/>
          <w:szCs w:val="28"/>
          <w:lang w:val="en-US" w:eastAsia="x-none"/>
        </w:rPr>
        <w:t xml:space="preserve">1 – </w:t>
      </w:r>
      <w:r w:rsidRPr="0066347B">
        <w:rPr>
          <w:rFonts w:eastAsia="Times New Roman" w:cs="Arial" w:hint="eastAsia"/>
          <w:bCs/>
          <w:noProof w:val="0"/>
          <w:sz w:val="24"/>
          <w:szCs w:val="28"/>
          <w:lang w:val="en-US" w:eastAsia="x-none"/>
        </w:rPr>
        <w:t>2</w:t>
      </w:r>
      <w:r w:rsidRPr="0066347B">
        <w:rPr>
          <w:rFonts w:eastAsia="Times New Roman" w:cs="Arial"/>
          <w:bCs/>
          <w:noProof w:val="0"/>
          <w:sz w:val="24"/>
          <w:szCs w:val="28"/>
          <w:lang w:val="en-US" w:eastAsia="x-none"/>
        </w:rPr>
        <w:t>5</w:t>
      </w:r>
      <w:r w:rsidRPr="0066347B">
        <w:rPr>
          <w:rFonts w:eastAsia="Times New Roman" w:cs="Arial" w:hint="eastAsia"/>
          <w:bCs/>
          <w:noProof w:val="0"/>
          <w:sz w:val="24"/>
          <w:szCs w:val="28"/>
          <w:lang w:val="en-US" w:eastAsia="x-none"/>
        </w:rPr>
        <w:t>,</w:t>
      </w:r>
      <w:r w:rsidRPr="0066347B">
        <w:rPr>
          <w:rFonts w:eastAsia="Times New Roman" w:cs="Arial"/>
          <w:bCs/>
          <w:noProof w:val="0"/>
          <w:sz w:val="24"/>
          <w:szCs w:val="28"/>
          <w:lang w:val="en-US" w:eastAsia="x-none"/>
        </w:rPr>
        <w:t xml:space="preserve"> </w:t>
      </w:r>
      <w:r w:rsidRPr="0066347B">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7EFC31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F0639">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18D9202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45066">
        <w:rPr>
          <w:b/>
          <w:sz w:val="24"/>
          <w:lang w:val="en-GB"/>
        </w:rPr>
        <w:t>TA Acquisition before LTM Serving cell change</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DA8EF1E"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DB70E5">
        <w:rPr>
          <w:rFonts w:ascii="Arial" w:hAnsi="Arial" w:cs="Arial"/>
          <w:sz w:val="20"/>
          <w:szCs w:val="20"/>
          <w:lang w:val="en-GB"/>
        </w:rPr>
        <w:t xml:space="preserve">RAN2#121-bis-e and </w:t>
      </w:r>
      <w:r w:rsidR="00702AD4">
        <w:rPr>
          <w:rFonts w:ascii="Arial" w:hAnsi="Arial" w:cs="Arial"/>
          <w:sz w:val="20"/>
          <w:szCs w:val="20"/>
          <w:lang w:val="en-GB"/>
        </w:rPr>
        <w:t>RAN2</w:t>
      </w:r>
      <w:r w:rsidR="00DB70E5">
        <w:rPr>
          <w:rFonts w:ascii="Arial" w:hAnsi="Arial" w:cs="Arial"/>
          <w:sz w:val="20"/>
          <w:szCs w:val="20"/>
          <w:lang w:val="en-GB"/>
        </w:rPr>
        <w:t>#119-bis-e</w:t>
      </w:r>
      <w:r w:rsidR="00702AD4">
        <w:rPr>
          <w:rFonts w:ascii="Arial" w:hAnsi="Arial" w:cs="Arial"/>
          <w:sz w:val="20"/>
          <w:szCs w:val="20"/>
          <w:lang w:val="en-GB"/>
        </w:rPr>
        <w:t xml:space="preserve"> </w:t>
      </w:r>
      <w:r w:rsidRPr="00575E71">
        <w:rPr>
          <w:rFonts w:ascii="Arial" w:hAnsi="Arial" w:cs="Arial"/>
          <w:sz w:val="20"/>
          <w:szCs w:val="20"/>
          <w:lang w:val="en-GB"/>
        </w:rPr>
        <w:t xml:space="preserve">meeting, </w:t>
      </w:r>
      <w:r w:rsidR="00DB70E5">
        <w:rPr>
          <w:rFonts w:ascii="Arial" w:hAnsi="Arial" w:cs="Arial"/>
          <w:sz w:val="20"/>
          <w:szCs w:val="20"/>
          <w:lang w:val="en-GB"/>
        </w:rPr>
        <w:t xml:space="preserve">the </w:t>
      </w:r>
      <w:r w:rsidR="001A4337">
        <w:rPr>
          <w:rFonts w:ascii="Arial" w:hAnsi="Arial" w:cs="Arial"/>
          <w:sz w:val="20"/>
          <w:szCs w:val="20"/>
          <w:lang w:val="en-GB"/>
        </w:rPr>
        <w:t>following agreements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22573C65" w14:textId="359548C7" w:rsidR="00DB70E5" w:rsidRDefault="00DB70E5" w:rsidP="00DB70E5">
            <w:pPr>
              <w:pStyle w:val="Agreement"/>
              <w:numPr>
                <w:ilvl w:val="0"/>
                <w:numId w:val="0"/>
              </w:numPr>
              <w:tabs>
                <w:tab w:val="num" w:pos="810"/>
                <w:tab w:val="num" w:pos="1619"/>
              </w:tabs>
              <w:rPr>
                <w:lang w:val="en-US"/>
              </w:rPr>
            </w:pPr>
            <w:r>
              <w:rPr>
                <w:lang w:val="en-US"/>
              </w:rPr>
              <w:t xml:space="preserve">       #121-bis-e</w:t>
            </w:r>
          </w:p>
          <w:p w14:paraId="26220ED1" w14:textId="4A9DC9E5" w:rsidR="00DB70E5" w:rsidRPr="00DB70E5" w:rsidRDefault="00DB70E5" w:rsidP="00DB70E5">
            <w:pPr>
              <w:pStyle w:val="Agreement"/>
              <w:numPr>
                <w:ilvl w:val="0"/>
                <w:numId w:val="6"/>
              </w:numPr>
              <w:tabs>
                <w:tab w:val="num" w:pos="810"/>
                <w:tab w:val="num" w:pos="1619"/>
              </w:tabs>
              <w:ind w:left="810" w:hanging="450"/>
              <w:rPr>
                <w:lang w:val="en-US"/>
              </w:rPr>
            </w:pPr>
            <w:r w:rsidRPr="00DB70E5">
              <w:rPr>
                <w:lang w:val="en-US"/>
              </w:rPr>
              <w:t xml:space="preserve">From RAN2 perspective, to enable shared preamble resource among multiple UEs, it is beneficial that the information that identifies the allocated CFRA resource (i.e., SS/PBCH index, RACH occasion, and </w:t>
            </w:r>
            <w:proofErr w:type="gramStart"/>
            <w:r w:rsidRPr="00DB70E5">
              <w:rPr>
                <w:lang w:val="en-US"/>
              </w:rPr>
              <w:t>Random Access</w:t>
            </w:r>
            <w:proofErr w:type="gramEnd"/>
            <w:r w:rsidRPr="00DB70E5">
              <w:rPr>
                <w:lang w:val="en-US"/>
              </w:rPr>
              <w:t xml:space="preserve"> Preamble index) can be indicated in the PDCCH order (as legacy intra-cell PDCCH order). </w:t>
            </w:r>
          </w:p>
          <w:p w14:paraId="039F1D34" w14:textId="77777777" w:rsidR="00DB70E5" w:rsidRPr="00DB70E5" w:rsidRDefault="00DB70E5" w:rsidP="00DB70E5">
            <w:pPr>
              <w:pStyle w:val="Agreement"/>
              <w:numPr>
                <w:ilvl w:val="0"/>
                <w:numId w:val="6"/>
              </w:numPr>
              <w:tabs>
                <w:tab w:val="num" w:pos="810"/>
                <w:tab w:val="num" w:pos="1619"/>
              </w:tabs>
              <w:ind w:left="810" w:hanging="450"/>
              <w:rPr>
                <w:lang w:val="en-US"/>
              </w:rPr>
            </w:pPr>
            <w:r w:rsidRPr="00DB70E5">
              <w:rPr>
                <w:highlight w:val="yellow"/>
                <w:lang w:val="en-US"/>
              </w:rPr>
              <w:t>RRC RACH configuration for early TA acquisition (e.g., including whether RAR needs to be received) is specific per target cell and is signalled separately (separate IEs) from the candidate cell configuration (the part that need to be applied at cell switch)</w:t>
            </w:r>
            <w:r w:rsidRPr="00DB70E5">
              <w:rPr>
                <w:lang w:val="en-US"/>
              </w:rPr>
              <w:t>.</w:t>
            </w:r>
          </w:p>
          <w:p w14:paraId="555A5282" w14:textId="4CF6BDD1" w:rsidR="00560BC6" w:rsidRPr="00DB70E5" w:rsidRDefault="00C218D0" w:rsidP="00DB70E5">
            <w:pPr>
              <w:pStyle w:val="Doc-text2"/>
              <w:tabs>
                <w:tab w:val="clear" w:pos="1622"/>
                <w:tab w:val="num" w:pos="1619"/>
              </w:tabs>
              <w:ind w:left="360" w:firstLine="0"/>
              <w:rPr>
                <w:b/>
                <w:lang w:val="en-US"/>
              </w:rPr>
            </w:pPr>
            <w:r w:rsidRPr="00DB70E5">
              <w:rPr>
                <w:b/>
                <w:lang w:val="en-US"/>
              </w:rPr>
              <w:t>#119-bis-e</w:t>
            </w:r>
          </w:p>
          <w:p w14:paraId="051C15C7" w14:textId="77777777" w:rsidR="00560BC6" w:rsidRPr="00560BC6" w:rsidRDefault="00560BC6" w:rsidP="00DB70E5">
            <w:pPr>
              <w:pStyle w:val="Agreement"/>
              <w:numPr>
                <w:ilvl w:val="0"/>
                <w:numId w:val="6"/>
              </w:numPr>
              <w:tabs>
                <w:tab w:val="num" w:pos="810"/>
                <w:tab w:val="num" w:pos="1619"/>
              </w:tabs>
              <w:ind w:left="810" w:hanging="450"/>
              <w:rPr>
                <w:lang w:val="en-US"/>
              </w:rPr>
            </w:pPr>
            <w:r w:rsidRPr="008347D1">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8347D1">
              <w:rPr>
                <w:highlight w:val="yellow"/>
                <w:lang w:val="en-US"/>
              </w:rPr>
              <w:t>RAN1, and</w:t>
            </w:r>
            <w:proofErr w:type="gramEnd"/>
            <w:r w:rsidRPr="008347D1">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DB70E5" w:rsidRDefault="00560BC6" w:rsidP="00DB70E5">
            <w:pPr>
              <w:pStyle w:val="Doc-text2"/>
              <w:numPr>
                <w:ilvl w:val="0"/>
                <w:numId w:val="6"/>
              </w:numPr>
              <w:tabs>
                <w:tab w:val="clear" w:pos="1622"/>
                <w:tab w:val="num" w:pos="810"/>
                <w:tab w:val="num" w:pos="1619"/>
              </w:tabs>
              <w:ind w:left="810" w:hanging="450"/>
              <w:rPr>
                <w:b/>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7F51DA9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w:t>
      </w:r>
      <w:r w:rsidR="009D2F24">
        <w:rPr>
          <w:rFonts w:ascii="Arial" w:hAnsi="Arial" w:cs="Arial"/>
          <w:sz w:val="20"/>
          <w:szCs w:val="20"/>
          <w:lang w:val="en-GB"/>
        </w:rPr>
        <w:t>TA acquisition of the candidate/target cell</w:t>
      </w:r>
      <w:r w:rsidR="003A615E">
        <w:rPr>
          <w:rFonts w:ascii="Arial" w:hAnsi="Arial" w:cs="Arial"/>
          <w:sz w:val="20"/>
          <w:szCs w:val="20"/>
          <w:lang w:val="en-GB"/>
        </w:rPr>
        <w:t xml:space="preserve">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w:t>
      </w:r>
      <w:r w:rsidR="001E7D4D">
        <w:rPr>
          <w:rFonts w:ascii="Arial" w:hAnsi="Arial" w:cs="Arial"/>
          <w:sz w:val="20"/>
          <w:szCs w:val="20"/>
          <w:lang w:val="en-GB"/>
        </w:rPr>
        <w:t xml:space="preserve"> and UE</w:t>
      </w:r>
      <w:r w:rsidR="00C218D0">
        <w:rPr>
          <w:rFonts w:ascii="Arial" w:hAnsi="Arial" w:cs="Arial"/>
          <w:sz w:val="20"/>
          <w:szCs w:val="20"/>
          <w:lang w:val="en-GB"/>
        </w:rPr>
        <w:t xml:space="preserve">.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lastRenderedPageBreak/>
        <w:t>UL synchronization before LTM execution</w:t>
      </w:r>
    </w:p>
    <w:p w14:paraId="581FF9DD" w14:textId="378EC5E3" w:rsidR="00150989" w:rsidRDefault="00DB70E5" w:rsidP="001D3DC4">
      <w:pPr>
        <w:spacing w:before="120" w:after="120"/>
        <w:jc w:val="center"/>
        <w:rPr>
          <w:rFonts w:ascii="Arial" w:hAnsi="Arial" w:cs="Arial"/>
          <w:sz w:val="20"/>
          <w:szCs w:val="20"/>
        </w:rPr>
      </w:pPr>
      <w:r w:rsidRPr="00DB70E5">
        <w:rPr>
          <w:rFonts w:ascii="Arial" w:hAnsi="Arial" w:cs="Arial"/>
          <w:noProof/>
          <w:sz w:val="20"/>
          <w:szCs w:val="20"/>
        </w:rPr>
        <w:drawing>
          <wp:inline distT="0" distB="0" distL="0" distR="0" wp14:anchorId="7426897B" wp14:editId="05752308">
            <wp:extent cx="5080000" cy="5054600"/>
            <wp:effectExtent l="0" t="0" r="0" b="0"/>
            <wp:docPr id="2007302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02467" name=""/>
                    <pic:cNvPicPr/>
                  </pic:nvPicPr>
                  <pic:blipFill>
                    <a:blip r:embed="rId11"/>
                    <a:stretch>
                      <a:fillRect/>
                    </a:stretch>
                  </pic:blipFill>
                  <pic:spPr>
                    <a:xfrm>
                      <a:off x="0" y="0"/>
                      <a:ext cx="5080000" cy="5054600"/>
                    </a:xfrm>
                    <a:prstGeom prst="rect">
                      <a:avLst/>
                    </a:prstGeom>
                  </pic:spPr>
                </pic:pic>
              </a:graphicData>
            </a:graphic>
          </wp:inline>
        </w:drawing>
      </w:r>
    </w:p>
    <w:p w14:paraId="6A370E9C" w14:textId="79044BC4" w:rsidR="00150989" w:rsidRDefault="00150989" w:rsidP="00150989">
      <w:pPr>
        <w:spacing w:before="120" w:after="120"/>
        <w:jc w:val="center"/>
        <w:rPr>
          <w:rFonts w:ascii="Arial" w:hAnsi="Arial" w:cs="Arial"/>
          <w:sz w:val="20"/>
          <w:szCs w:val="20"/>
        </w:rPr>
      </w:pPr>
      <w:r>
        <w:rPr>
          <w:rFonts w:ascii="Arial" w:hAnsi="Arial" w:cs="Arial"/>
          <w:sz w:val="20"/>
          <w:szCs w:val="20"/>
        </w:rPr>
        <w:t xml:space="preserve">Figure 1: A UE performing </w:t>
      </w:r>
      <w:r w:rsidR="004B01C0">
        <w:rPr>
          <w:rFonts w:ascii="Arial" w:hAnsi="Arial" w:cs="Arial"/>
          <w:sz w:val="20"/>
          <w:szCs w:val="20"/>
        </w:rPr>
        <w:t>RACH (</w:t>
      </w:r>
      <w:r>
        <w:rPr>
          <w:rFonts w:ascii="Arial" w:hAnsi="Arial" w:cs="Arial"/>
          <w:sz w:val="20"/>
          <w:szCs w:val="20"/>
        </w:rPr>
        <w:t>UL sync</w:t>
      </w:r>
      <w:r w:rsidR="004B01C0">
        <w:rPr>
          <w:rFonts w:ascii="Arial" w:hAnsi="Arial" w:cs="Arial"/>
          <w:sz w:val="20"/>
          <w:szCs w:val="20"/>
        </w:rPr>
        <w:t>)</w:t>
      </w:r>
      <w:r>
        <w:rPr>
          <w:rFonts w:ascii="Arial" w:hAnsi="Arial" w:cs="Arial"/>
          <w:sz w:val="20"/>
          <w:szCs w:val="20"/>
        </w:rPr>
        <w:t xml:space="preserve"> procedure with a candidate/target </w:t>
      </w:r>
      <w:proofErr w:type="spellStart"/>
      <w:r>
        <w:rPr>
          <w:rFonts w:ascii="Arial" w:hAnsi="Arial" w:cs="Arial"/>
          <w:sz w:val="20"/>
          <w:szCs w:val="20"/>
        </w:rPr>
        <w:t>gNB</w:t>
      </w:r>
      <w:proofErr w:type="spellEnd"/>
      <w:r>
        <w:rPr>
          <w:rFonts w:ascii="Arial" w:hAnsi="Arial" w:cs="Arial"/>
          <w:sz w:val="20"/>
          <w:szCs w:val="20"/>
        </w:rPr>
        <w:t>-DU</w:t>
      </w:r>
      <w:r w:rsidR="004B01C0">
        <w:rPr>
          <w:rFonts w:ascii="Arial" w:hAnsi="Arial" w:cs="Arial"/>
          <w:sz w:val="20"/>
          <w:szCs w:val="20"/>
        </w:rPr>
        <w:t xml:space="preserve"> to acquire TA</w:t>
      </w:r>
      <w:r>
        <w:rPr>
          <w:rFonts w:ascii="Arial" w:hAnsi="Arial" w:cs="Arial"/>
          <w:sz w:val="20"/>
          <w:szCs w:val="20"/>
        </w:rPr>
        <w:t xml:space="preserve">, while connected to serving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proofErr w:type="gramEnd"/>
    </w:p>
    <w:p w14:paraId="679B1610" w14:textId="77777777" w:rsidR="004B01C0" w:rsidRDefault="004B01C0" w:rsidP="00532567">
      <w:pPr>
        <w:spacing w:before="120" w:after="120"/>
        <w:jc w:val="both"/>
        <w:rPr>
          <w:rFonts w:ascii="Arial" w:hAnsi="Arial" w:cs="Arial"/>
          <w:sz w:val="20"/>
          <w:szCs w:val="20"/>
        </w:rPr>
      </w:pPr>
    </w:p>
    <w:p w14:paraId="410C87DF" w14:textId="43AA479E" w:rsidR="0066347B" w:rsidRDefault="0066347B" w:rsidP="00532567">
      <w:pPr>
        <w:spacing w:before="120" w:after="120"/>
        <w:jc w:val="both"/>
        <w:rPr>
          <w:rFonts w:ascii="Arial" w:hAnsi="Arial" w:cs="Arial"/>
          <w:sz w:val="20"/>
          <w:szCs w:val="20"/>
        </w:rPr>
      </w:pPr>
      <w:r>
        <w:rPr>
          <w:rFonts w:ascii="Arial" w:hAnsi="Arial" w:cs="Arial"/>
          <w:sz w:val="20"/>
          <w:szCs w:val="20"/>
        </w:rPr>
        <w:t>NOTE: The message names are exemplary and signify functionality only.</w:t>
      </w:r>
    </w:p>
    <w:p w14:paraId="6F02A505" w14:textId="514DB077"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w:t>
      </w:r>
      <w:r w:rsidR="001E7D4D">
        <w:rPr>
          <w:rFonts w:ascii="Arial" w:hAnsi="Arial" w:cs="Arial"/>
          <w:sz w:val="20"/>
          <w:szCs w:val="20"/>
        </w:rPr>
        <w:t xml:space="preserve">UE in </w:t>
      </w:r>
      <w:r>
        <w:rPr>
          <w:rFonts w:ascii="Arial" w:hAnsi="Arial" w:cs="Arial"/>
          <w:sz w:val="20"/>
          <w:szCs w:val="20"/>
        </w:rPr>
        <w:t xml:space="preserve">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w:t>
      </w:r>
      <w:r w:rsidR="0066347B">
        <w:rPr>
          <w:rFonts w:ascii="Arial" w:hAnsi="Arial" w:cs="Arial"/>
          <w:sz w:val="20"/>
          <w:szCs w:val="20"/>
        </w:rPr>
        <w:t>cell switch</w:t>
      </w:r>
      <w:r>
        <w:rPr>
          <w:rFonts w:ascii="Arial" w:hAnsi="Arial" w:cs="Arial"/>
          <w:sz w:val="20"/>
          <w:szCs w:val="20"/>
        </w:rPr>
        <w:t xml:space="preserve"> decision has been made. </w:t>
      </w:r>
      <w:r w:rsidR="007119B8">
        <w:rPr>
          <w:rFonts w:ascii="Arial" w:hAnsi="Arial" w:cs="Arial"/>
          <w:sz w:val="20"/>
          <w:szCs w:val="20"/>
        </w:rPr>
        <w:t xml:space="preserve">A UE can have multiple LTM target cells at any point of time and all of them may not be eligible for </w:t>
      </w:r>
      <w:r w:rsidR="0066347B">
        <w:rPr>
          <w:rFonts w:ascii="Arial" w:hAnsi="Arial" w:cs="Arial"/>
          <w:sz w:val="20"/>
          <w:szCs w:val="20"/>
        </w:rPr>
        <w:t xml:space="preserve">cell switch </w:t>
      </w:r>
      <w:r w:rsidR="007119B8">
        <w:rPr>
          <w:rFonts w:ascii="Arial" w:hAnsi="Arial" w:cs="Arial"/>
          <w:sz w:val="20"/>
          <w:szCs w:val="20"/>
        </w:rPr>
        <w:t xml:space="preserve">simultaneously. So, it is sensible for the network to indicate </w:t>
      </w:r>
      <w:r w:rsidR="001E7D4D">
        <w:rPr>
          <w:rFonts w:ascii="Arial" w:hAnsi="Arial" w:cs="Arial"/>
          <w:sz w:val="20"/>
          <w:szCs w:val="20"/>
        </w:rPr>
        <w:t xml:space="preserve">to the UE, </w:t>
      </w:r>
      <w:r w:rsidR="007119B8">
        <w:rPr>
          <w:rFonts w:ascii="Arial" w:hAnsi="Arial" w:cs="Arial"/>
          <w:sz w:val="20"/>
          <w:szCs w:val="20"/>
        </w:rPr>
        <w:t>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w:t>
      </w:r>
      <w:r w:rsidR="00814079">
        <w:rPr>
          <w:rFonts w:ascii="Arial" w:hAnsi="Arial" w:cs="Arial"/>
          <w:sz w:val="20"/>
          <w:szCs w:val="20"/>
        </w:rPr>
        <w:t xml:space="preserve">, regardless of the </w:t>
      </w:r>
      <w:r w:rsidR="0066347B">
        <w:rPr>
          <w:rFonts w:ascii="Arial" w:hAnsi="Arial" w:cs="Arial"/>
          <w:sz w:val="20"/>
          <w:szCs w:val="20"/>
        </w:rPr>
        <w:t xml:space="preserve">cell switch </w:t>
      </w:r>
      <w:r w:rsidR="00814079">
        <w:rPr>
          <w:rFonts w:ascii="Arial" w:hAnsi="Arial" w:cs="Arial"/>
          <w:sz w:val="20"/>
          <w:szCs w:val="20"/>
        </w:rPr>
        <w:t>decision</w:t>
      </w:r>
      <w:r w:rsidR="007119B8">
        <w:rPr>
          <w:rFonts w:ascii="Arial" w:hAnsi="Arial" w:cs="Arial"/>
          <w:sz w:val="20"/>
          <w:szCs w:val="20"/>
        </w:rPr>
        <w:t xml:space="preserve">. </w:t>
      </w:r>
    </w:p>
    <w:p w14:paraId="3F468E84" w14:textId="455829D2" w:rsidR="008347D1" w:rsidRDefault="008347D1" w:rsidP="00532567">
      <w:pPr>
        <w:spacing w:before="120" w:after="120"/>
        <w:jc w:val="both"/>
        <w:rPr>
          <w:rFonts w:ascii="Arial" w:hAnsi="Arial" w:cs="Arial"/>
          <w:sz w:val="20"/>
          <w:szCs w:val="20"/>
        </w:rPr>
      </w:pPr>
      <w:r>
        <w:rPr>
          <w:rFonts w:ascii="Arial" w:hAnsi="Arial" w:cs="Arial"/>
          <w:sz w:val="20"/>
          <w:szCs w:val="20"/>
        </w:rPr>
        <w:t xml:space="preserve">The agreements highlighted above indicate that the RACH configuration for TA acquisition before LTM HO is provided over RRC. But it is also clear that the TA acquisition is performed by the UE based on a PDCCH order by the </w:t>
      </w:r>
      <w:proofErr w:type="spellStart"/>
      <w:r>
        <w:rPr>
          <w:rFonts w:ascii="Arial" w:hAnsi="Arial" w:cs="Arial"/>
          <w:sz w:val="20"/>
          <w:szCs w:val="20"/>
        </w:rPr>
        <w:t>gNB</w:t>
      </w:r>
      <w:proofErr w:type="spellEnd"/>
      <w:r>
        <w:rPr>
          <w:rFonts w:ascii="Arial" w:hAnsi="Arial" w:cs="Arial"/>
          <w:sz w:val="20"/>
          <w:szCs w:val="20"/>
        </w:rPr>
        <w:t xml:space="preserve">-DU. Since TA acquisition may have to be performed by the UE more than once, for </w:t>
      </w:r>
      <w:proofErr w:type="spellStart"/>
      <w:r>
        <w:rPr>
          <w:rFonts w:ascii="Arial" w:hAnsi="Arial" w:cs="Arial"/>
          <w:sz w:val="20"/>
          <w:szCs w:val="20"/>
        </w:rPr>
        <w:t>eg</w:t>
      </w:r>
      <w:proofErr w:type="spellEnd"/>
      <w:r>
        <w:rPr>
          <w:rFonts w:ascii="Arial" w:hAnsi="Arial" w:cs="Arial"/>
          <w:sz w:val="20"/>
          <w:szCs w:val="20"/>
        </w:rPr>
        <w:t xml:space="preserve">: if the TA timer expires, two aspects need </w:t>
      </w:r>
      <w:r w:rsidR="0066347B">
        <w:rPr>
          <w:rFonts w:ascii="Arial" w:hAnsi="Arial" w:cs="Arial"/>
          <w:sz w:val="20"/>
          <w:szCs w:val="20"/>
        </w:rPr>
        <w:t>clarification.</w:t>
      </w:r>
    </w:p>
    <w:p w14:paraId="57C216AC" w14:textId="372F082F" w:rsidR="008347D1" w:rsidRDefault="008347D1" w:rsidP="008347D1">
      <w:pPr>
        <w:pStyle w:val="ListParagraph"/>
        <w:numPr>
          <w:ilvl w:val="0"/>
          <w:numId w:val="11"/>
        </w:numPr>
        <w:spacing w:before="120" w:after="120"/>
        <w:jc w:val="both"/>
        <w:rPr>
          <w:rFonts w:ascii="Arial" w:hAnsi="Arial" w:cs="Arial"/>
        </w:rPr>
      </w:pPr>
      <w:r>
        <w:rPr>
          <w:rFonts w:ascii="Arial" w:hAnsi="Arial" w:cs="Arial"/>
        </w:rPr>
        <w:t>Whether the same RACH configuration provided to the UE while at the time of performing TA acquisition first time, can be used subsequently.</w:t>
      </w:r>
    </w:p>
    <w:p w14:paraId="6AB237B2" w14:textId="04C2C60A" w:rsidR="008347D1" w:rsidRPr="008347D1" w:rsidRDefault="008347D1" w:rsidP="008347D1">
      <w:pPr>
        <w:pStyle w:val="ListParagraph"/>
        <w:numPr>
          <w:ilvl w:val="0"/>
          <w:numId w:val="11"/>
        </w:numPr>
        <w:spacing w:before="120" w:after="120"/>
        <w:jc w:val="both"/>
        <w:rPr>
          <w:rFonts w:ascii="Arial" w:hAnsi="Arial" w:cs="Arial"/>
        </w:rPr>
      </w:pPr>
      <w:r>
        <w:rPr>
          <w:rFonts w:ascii="Arial" w:hAnsi="Arial" w:cs="Arial"/>
        </w:rPr>
        <w:t xml:space="preserve">The inclusion of the candidate/target cell ID or a corresponding index in the PDCCH order, with which the UE </w:t>
      </w:r>
      <w:proofErr w:type="gramStart"/>
      <w:r>
        <w:rPr>
          <w:rFonts w:ascii="Arial" w:hAnsi="Arial" w:cs="Arial"/>
        </w:rPr>
        <w:t>has to</w:t>
      </w:r>
      <w:proofErr w:type="gramEnd"/>
      <w:r>
        <w:rPr>
          <w:rFonts w:ascii="Arial" w:hAnsi="Arial" w:cs="Arial"/>
        </w:rPr>
        <w:t xml:space="preserve"> perform TA acquisition.</w:t>
      </w:r>
    </w:p>
    <w:p w14:paraId="40BC1B12" w14:textId="0B223D85" w:rsidR="00910854" w:rsidRPr="00485333"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Pr="00485333">
        <w:rPr>
          <w:rFonts w:ascii="Arial" w:hAnsi="Arial" w:cs="Arial"/>
          <w:i/>
          <w:iCs/>
          <w:sz w:val="20"/>
          <w:szCs w:val="20"/>
        </w:rPr>
        <w:t xml:space="preserve">, the handover </w:t>
      </w:r>
      <w:r w:rsidR="000E6026">
        <w:rPr>
          <w:rFonts w:ascii="Arial" w:hAnsi="Arial" w:cs="Arial"/>
          <w:i/>
          <w:iCs/>
          <w:sz w:val="20"/>
          <w:szCs w:val="20"/>
        </w:rPr>
        <w:t>latency</w:t>
      </w:r>
      <w:r w:rsidRPr="00485333">
        <w:rPr>
          <w:rFonts w:ascii="Arial" w:hAnsi="Arial" w:cs="Arial"/>
          <w:i/>
          <w:iCs/>
          <w:sz w:val="20"/>
          <w:szCs w:val="20"/>
        </w:rPr>
        <w:t xml:space="preserve"> can be reduced</w:t>
      </w:r>
      <w:r w:rsidR="000E6026">
        <w:rPr>
          <w:rFonts w:ascii="Arial" w:hAnsi="Arial" w:cs="Arial"/>
          <w:i/>
          <w:iCs/>
          <w:sz w:val="20"/>
          <w:szCs w:val="20"/>
        </w:rPr>
        <w:t>,</w:t>
      </w:r>
      <w:r w:rsidRPr="00485333">
        <w:rPr>
          <w:rFonts w:ascii="Arial" w:hAnsi="Arial" w:cs="Arial"/>
          <w:i/>
          <w:iCs/>
          <w:sz w:val="20"/>
          <w:szCs w:val="20"/>
        </w:rPr>
        <w:t xml:space="preserve"> if </w:t>
      </w:r>
      <w:r w:rsidR="007119B8">
        <w:rPr>
          <w:rFonts w:ascii="Arial" w:hAnsi="Arial" w:cs="Arial"/>
          <w:i/>
          <w:iCs/>
          <w:sz w:val="20"/>
          <w:szCs w:val="20"/>
        </w:rPr>
        <w:t>network (</w:t>
      </w:r>
      <w:proofErr w:type="spellStart"/>
      <w:r w:rsidR="007119B8">
        <w:rPr>
          <w:rFonts w:ascii="Arial" w:hAnsi="Arial" w:cs="Arial"/>
          <w:i/>
          <w:iCs/>
          <w:sz w:val="20"/>
          <w:szCs w:val="20"/>
        </w:rPr>
        <w:t>gNB</w:t>
      </w:r>
      <w:proofErr w:type="spellEnd"/>
      <w:r w:rsidR="007119B8">
        <w:rPr>
          <w:rFonts w:ascii="Arial" w:hAnsi="Arial" w:cs="Arial"/>
          <w:i/>
          <w:iCs/>
          <w:sz w:val="20"/>
          <w:szCs w:val="20"/>
        </w:rPr>
        <w:t xml:space="preserve">-DU) </w:t>
      </w:r>
      <w:r w:rsidR="000E6026">
        <w:rPr>
          <w:rFonts w:ascii="Arial" w:hAnsi="Arial" w:cs="Arial"/>
          <w:i/>
          <w:iCs/>
          <w:sz w:val="20"/>
          <w:szCs w:val="20"/>
        </w:rPr>
        <w:t xml:space="preserve">decides that the UE </w:t>
      </w:r>
      <w:r w:rsidR="001C2F4E">
        <w:rPr>
          <w:rFonts w:ascii="Arial" w:hAnsi="Arial" w:cs="Arial"/>
          <w:i/>
          <w:iCs/>
          <w:sz w:val="20"/>
          <w:szCs w:val="20"/>
        </w:rPr>
        <w:t>may</w:t>
      </w:r>
      <w:r w:rsidR="001E7D4D">
        <w:rPr>
          <w:rFonts w:ascii="Arial" w:hAnsi="Arial" w:cs="Arial"/>
          <w:i/>
          <w:iCs/>
          <w:sz w:val="20"/>
          <w:szCs w:val="20"/>
        </w:rPr>
        <w:t xml:space="preserve"> </w:t>
      </w:r>
      <w:r w:rsidR="000E6026">
        <w:rPr>
          <w:rFonts w:ascii="Arial" w:hAnsi="Arial" w:cs="Arial"/>
          <w:i/>
          <w:iCs/>
          <w:sz w:val="20"/>
          <w:szCs w:val="20"/>
        </w:rPr>
        <w:t xml:space="preserve">perform </w:t>
      </w:r>
      <w:r w:rsidR="004B01C0">
        <w:rPr>
          <w:rFonts w:ascii="Arial" w:hAnsi="Arial" w:cs="Arial"/>
          <w:i/>
          <w:iCs/>
          <w:sz w:val="20"/>
          <w:szCs w:val="20"/>
        </w:rPr>
        <w:t>RACH (</w:t>
      </w:r>
      <w:r w:rsidR="000E6026">
        <w:rPr>
          <w:rFonts w:ascii="Arial" w:hAnsi="Arial" w:cs="Arial"/>
          <w:i/>
          <w:iCs/>
          <w:sz w:val="20"/>
          <w:szCs w:val="20"/>
        </w:rPr>
        <w:t>UL sync</w:t>
      </w:r>
      <w:r w:rsidR="004B01C0">
        <w:rPr>
          <w:rFonts w:ascii="Arial" w:hAnsi="Arial" w:cs="Arial"/>
          <w:i/>
          <w:iCs/>
          <w:sz w:val="20"/>
          <w:szCs w:val="20"/>
        </w:rPr>
        <w:t>)</w:t>
      </w:r>
      <w:r w:rsidR="000E6026">
        <w:rPr>
          <w:rFonts w:ascii="Arial" w:hAnsi="Arial" w:cs="Arial"/>
          <w:i/>
          <w:iCs/>
          <w:sz w:val="20"/>
          <w:szCs w:val="20"/>
        </w:rPr>
        <w:t xml:space="preserve"> to a target cell in advance </w:t>
      </w:r>
      <w:r w:rsidR="00814079">
        <w:rPr>
          <w:rFonts w:ascii="Arial" w:hAnsi="Arial" w:cs="Arial"/>
          <w:i/>
          <w:iCs/>
          <w:sz w:val="20"/>
          <w:szCs w:val="20"/>
        </w:rPr>
        <w:t xml:space="preserve">of the LTM SCC </w:t>
      </w:r>
      <w:r w:rsidR="000E6026">
        <w:rPr>
          <w:rFonts w:ascii="Arial" w:hAnsi="Arial" w:cs="Arial"/>
          <w:i/>
          <w:iCs/>
          <w:sz w:val="20"/>
          <w:szCs w:val="20"/>
        </w:rPr>
        <w:t xml:space="preserve">and </w:t>
      </w:r>
      <w:r w:rsidR="007119B8">
        <w:rPr>
          <w:rFonts w:ascii="Arial" w:hAnsi="Arial" w:cs="Arial"/>
          <w:i/>
          <w:iCs/>
          <w:sz w:val="20"/>
          <w:szCs w:val="20"/>
        </w:rPr>
        <w:t xml:space="preserve">indicates using a </w:t>
      </w:r>
      <w:r w:rsidR="008347D1">
        <w:rPr>
          <w:rFonts w:ascii="Arial" w:hAnsi="Arial" w:cs="Arial"/>
          <w:i/>
          <w:iCs/>
          <w:sz w:val="20"/>
          <w:szCs w:val="20"/>
        </w:rPr>
        <w:t xml:space="preserve">PDCCH </w:t>
      </w:r>
      <w:r w:rsidR="0066347B">
        <w:rPr>
          <w:rFonts w:ascii="Arial" w:hAnsi="Arial" w:cs="Arial"/>
          <w:i/>
          <w:iCs/>
          <w:sz w:val="20"/>
          <w:szCs w:val="20"/>
        </w:rPr>
        <w:t>o</w:t>
      </w:r>
      <w:r w:rsidR="008347D1">
        <w:rPr>
          <w:rFonts w:ascii="Arial" w:hAnsi="Arial" w:cs="Arial"/>
          <w:i/>
          <w:iCs/>
          <w:sz w:val="20"/>
          <w:szCs w:val="20"/>
        </w:rPr>
        <w:t>rder</w:t>
      </w:r>
      <w:r w:rsidR="007119B8">
        <w:rPr>
          <w:rFonts w:ascii="Arial" w:hAnsi="Arial" w:cs="Arial"/>
          <w:i/>
          <w:iCs/>
          <w:sz w:val="20"/>
          <w:szCs w:val="20"/>
        </w:rPr>
        <w:t>, the target cell</w:t>
      </w:r>
      <w:r w:rsidR="000E6026">
        <w:rPr>
          <w:rFonts w:ascii="Arial" w:hAnsi="Arial" w:cs="Arial"/>
          <w:i/>
          <w:iCs/>
          <w:sz w:val="20"/>
          <w:szCs w:val="20"/>
        </w:rPr>
        <w:t>(s)</w:t>
      </w:r>
      <w:r w:rsidR="007119B8">
        <w:rPr>
          <w:rFonts w:ascii="Arial" w:hAnsi="Arial" w:cs="Arial"/>
          <w:i/>
          <w:iCs/>
          <w:sz w:val="20"/>
          <w:szCs w:val="20"/>
        </w:rPr>
        <w:t xml:space="preserve"> to which the </w:t>
      </w:r>
      <w:r w:rsidR="004B01C0">
        <w:rPr>
          <w:rFonts w:ascii="Arial" w:hAnsi="Arial" w:cs="Arial"/>
          <w:i/>
          <w:iCs/>
          <w:sz w:val="20"/>
          <w:szCs w:val="20"/>
        </w:rPr>
        <w:t xml:space="preserve">RACH </w:t>
      </w:r>
      <w:r w:rsidR="000E6026">
        <w:rPr>
          <w:rFonts w:ascii="Arial" w:hAnsi="Arial" w:cs="Arial"/>
          <w:i/>
          <w:iCs/>
          <w:sz w:val="20"/>
          <w:szCs w:val="20"/>
        </w:rPr>
        <w:t>is to be performed</w:t>
      </w:r>
      <w:r w:rsidRPr="00485333">
        <w:rPr>
          <w:rFonts w:ascii="Arial" w:hAnsi="Arial" w:cs="Arial"/>
          <w:i/>
          <w:iCs/>
          <w:sz w:val="20"/>
          <w:szCs w:val="20"/>
        </w:rPr>
        <w:t xml:space="preserve">. </w:t>
      </w:r>
    </w:p>
    <w:p w14:paraId="7276A0D9" w14:textId="03B87ACF" w:rsidR="006E519B" w:rsidRPr="00BB788B" w:rsidRDefault="006E519B" w:rsidP="00532567">
      <w:pPr>
        <w:spacing w:before="120" w:after="120"/>
        <w:jc w:val="both"/>
        <w:rPr>
          <w:rFonts w:ascii="Arial" w:hAnsi="Arial" w:cs="Arial"/>
          <w:b/>
          <w:bCs/>
          <w:sz w:val="20"/>
          <w:szCs w:val="20"/>
        </w:rPr>
      </w:pPr>
      <w:bookmarkStart w:id="6" w:name="OLE_LINK57"/>
      <w:bookmarkEnd w:id="5"/>
      <w:r w:rsidRPr="00BB788B">
        <w:rPr>
          <w:rFonts w:ascii="Arial" w:hAnsi="Arial" w:cs="Arial"/>
          <w:b/>
          <w:bCs/>
          <w:sz w:val="20"/>
          <w:szCs w:val="20"/>
        </w:rPr>
        <w:lastRenderedPageBreak/>
        <w:t xml:space="preserve">Proposal 1: </w:t>
      </w:r>
      <w:r w:rsidR="008347D1">
        <w:rPr>
          <w:rFonts w:ascii="Arial" w:hAnsi="Arial" w:cs="Arial"/>
          <w:b/>
          <w:bCs/>
          <w:sz w:val="20"/>
          <w:szCs w:val="20"/>
        </w:rPr>
        <w:t>RAN2 discusses and clarifies whether the RACH configuration provided during first TA acquisition can be re-used in a subsequent attempt and how to indicate the candidate/target cell ID to perform TA acquisition</w:t>
      </w:r>
      <w:r w:rsidRPr="00BB788B">
        <w:rPr>
          <w:rFonts w:ascii="Arial" w:hAnsi="Arial" w:cs="Arial"/>
          <w:b/>
          <w:bCs/>
          <w:sz w:val="20"/>
          <w:szCs w:val="20"/>
        </w:rPr>
        <w:t xml:space="preserve">. </w:t>
      </w:r>
    </w:p>
    <w:p w14:paraId="44053715" w14:textId="3507994E" w:rsidR="003812C7" w:rsidRPr="00BB788B" w:rsidRDefault="007119B8" w:rsidP="00532567">
      <w:pPr>
        <w:spacing w:before="120" w:after="120"/>
        <w:jc w:val="both"/>
        <w:rPr>
          <w:rFonts w:ascii="Arial" w:hAnsi="Arial" w:cs="Arial"/>
          <w:b/>
          <w:bCs/>
          <w:sz w:val="20"/>
          <w:szCs w:val="20"/>
          <w:u w:val="single"/>
          <w:lang w:eastAsia="en-US"/>
        </w:rPr>
      </w:pPr>
      <w:bookmarkStart w:id="7" w:name="OLE_LINK73"/>
      <w:bookmarkEnd w:id="6"/>
      <w:r>
        <w:rPr>
          <w:rFonts w:ascii="Arial" w:hAnsi="Arial" w:cs="Arial"/>
          <w:b/>
          <w:bCs/>
          <w:sz w:val="20"/>
          <w:szCs w:val="20"/>
          <w:u w:val="single"/>
          <w:lang w:eastAsia="en-US"/>
        </w:rPr>
        <w:t>Impacts to the UE</w:t>
      </w:r>
    </w:p>
    <w:bookmarkEnd w:id="7"/>
    <w:p w14:paraId="392FF408" w14:textId="173440BD" w:rsidR="00921A89" w:rsidRDefault="003812C7" w:rsidP="007119B8">
      <w:pPr>
        <w:spacing w:before="120" w:after="120"/>
        <w:jc w:val="both"/>
        <w:rPr>
          <w:rFonts w:ascii="Arial" w:hAnsi="Arial" w:cs="Arial"/>
          <w:sz w:val="20"/>
          <w:szCs w:val="20"/>
          <w:lang w:val="en-GB"/>
        </w:rPr>
      </w:pPr>
      <w:r w:rsidRPr="00BB788B">
        <w:rPr>
          <w:rFonts w:ascii="Arial" w:hAnsi="Arial" w:cs="Arial"/>
          <w:sz w:val="20"/>
          <w:szCs w:val="20"/>
        </w:rPr>
        <w:t xml:space="preserve">For both intra-CU intra-DU and intra-CU inter-DU </w:t>
      </w:r>
      <w:r w:rsidR="007119B8">
        <w:rPr>
          <w:rFonts w:ascii="Arial" w:hAnsi="Arial" w:cs="Arial"/>
          <w:sz w:val="20"/>
          <w:szCs w:val="20"/>
        </w:rPr>
        <w:t>scenarios, performing UL sync consumes latency for the UE</w:t>
      </w:r>
      <w:r w:rsidR="000E6026">
        <w:rPr>
          <w:rFonts w:ascii="Arial" w:hAnsi="Arial" w:cs="Arial"/>
          <w:sz w:val="20"/>
          <w:szCs w:val="20"/>
        </w:rPr>
        <w:t xml:space="preserve"> during handover</w:t>
      </w:r>
      <w:r w:rsidR="008234A0">
        <w:rPr>
          <w:rFonts w:ascii="Arial" w:hAnsi="Arial" w:cs="Arial"/>
          <w:sz w:val="20"/>
          <w:szCs w:val="20"/>
          <w:lang w:val="en-GB"/>
        </w:rPr>
        <w:t>.</w:t>
      </w:r>
      <w:r w:rsidR="007119B8">
        <w:rPr>
          <w:rFonts w:ascii="Arial" w:hAnsi="Arial" w:cs="Arial"/>
          <w:sz w:val="20"/>
          <w:szCs w:val="20"/>
          <w:lang w:val="en-GB"/>
        </w:rPr>
        <w:t xml:space="preserve"> Since the proposal here is for the UE to perform UL sync </w:t>
      </w:r>
      <w:r w:rsidR="00814079">
        <w:rPr>
          <w:rFonts w:ascii="Arial" w:hAnsi="Arial" w:cs="Arial"/>
          <w:sz w:val="20"/>
          <w:szCs w:val="20"/>
          <w:lang w:val="en-GB"/>
        </w:rPr>
        <w:t>while still being connected to serving cell</w:t>
      </w:r>
      <w:r w:rsidR="007119B8">
        <w:rPr>
          <w:rFonts w:ascii="Arial" w:hAnsi="Arial" w:cs="Arial"/>
          <w:sz w:val="20"/>
          <w:szCs w:val="20"/>
          <w:lang w:val="en-GB"/>
        </w:rPr>
        <w:t xml:space="preserve">, it may impact downlink scheduling of the UE in the serving cell. The UE may not be able to receive DL data while performing UL sync with the target cell.  </w:t>
      </w:r>
    </w:p>
    <w:p w14:paraId="06FCEF7D" w14:textId="72A027C6"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bookmarkStart w:id="8" w:name="OLE_LINK107"/>
      <w:r w:rsidR="007119B8">
        <w:rPr>
          <w:rFonts w:ascii="Arial" w:hAnsi="Arial" w:cs="Arial"/>
          <w:i/>
          <w:iCs/>
          <w:sz w:val="20"/>
          <w:szCs w:val="20"/>
          <w:lang w:eastAsia="en-US"/>
        </w:rPr>
        <w:t xml:space="preserve">DL data transmission at the serving cell is impacted if the UE performs UL sync with a target cell, </w:t>
      </w:r>
      <w:r w:rsidR="00814079"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bookmarkEnd w:id="8"/>
    </w:p>
    <w:p w14:paraId="743BE925" w14:textId="23B0C162" w:rsidR="0066347B" w:rsidRDefault="0066347B" w:rsidP="0066347B">
      <w:pPr>
        <w:pStyle w:val="Heading2"/>
        <w:rPr>
          <w:rFonts w:cs="Arial"/>
        </w:rPr>
      </w:pPr>
      <w:r>
        <w:rPr>
          <w:rFonts w:cs="Arial"/>
        </w:rPr>
        <w:t>Re-use of Timing Advances post LTM cell switch</w:t>
      </w:r>
    </w:p>
    <w:p w14:paraId="76BA9DFE" w14:textId="318A8101" w:rsidR="00E829A3" w:rsidRDefault="00E829A3" w:rsidP="0066347B">
      <w:pPr>
        <w:rPr>
          <w:lang w:val="en-GB" w:eastAsia="en-US"/>
        </w:rPr>
      </w:pPr>
      <w:r>
        <w:rPr>
          <w:lang w:val="en-GB" w:eastAsia="en-US"/>
        </w:rPr>
        <w:t xml:space="preserve">A serving </w:t>
      </w:r>
      <w:proofErr w:type="spellStart"/>
      <w:r>
        <w:rPr>
          <w:lang w:val="en-GB" w:eastAsia="en-US"/>
        </w:rPr>
        <w:t>gNB</w:t>
      </w:r>
      <w:proofErr w:type="spellEnd"/>
      <w:r>
        <w:rPr>
          <w:lang w:val="en-GB" w:eastAsia="en-US"/>
        </w:rPr>
        <w:t xml:space="preserve">-DU may ask a UE to acquire timing advances of more than one LTM candidate cell before performing LTM cell switch. In any case, the cell switch can happen to only one target cell. If the TA thus acquired at the old serving cell </w:t>
      </w:r>
      <w:proofErr w:type="gramStart"/>
      <w:r>
        <w:rPr>
          <w:lang w:val="en-GB" w:eastAsia="en-US"/>
        </w:rPr>
        <w:t>has to</w:t>
      </w:r>
      <w:proofErr w:type="gramEnd"/>
      <w:r>
        <w:rPr>
          <w:lang w:val="en-GB" w:eastAsia="en-US"/>
        </w:rPr>
        <w:t xml:space="preserve"> be re-acquired at the new serving cell, despite the TAT still active, it causes unnecessary overhead on both UE and the network. Hence, there </w:t>
      </w:r>
      <w:proofErr w:type="gramStart"/>
      <w:r w:rsidR="00C809C8">
        <w:rPr>
          <w:lang w:val="en-GB" w:eastAsia="en-US"/>
        </w:rPr>
        <w:t>has to</w:t>
      </w:r>
      <w:proofErr w:type="gramEnd"/>
      <w:r>
        <w:rPr>
          <w:lang w:val="en-GB" w:eastAsia="en-US"/>
        </w:rPr>
        <w:t xml:space="preserve"> be a way to carry forward and continue the use of the acquired timing advances of different candidate cells </w:t>
      </w:r>
      <w:r w:rsidR="00C809C8">
        <w:rPr>
          <w:lang w:val="en-GB" w:eastAsia="en-US"/>
        </w:rPr>
        <w:t xml:space="preserve">at the new serving </w:t>
      </w:r>
      <w:proofErr w:type="spellStart"/>
      <w:r w:rsidR="00C809C8">
        <w:rPr>
          <w:lang w:val="en-GB" w:eastAsia="en-US"/>
        </w:rPr>
        <w:t>gNB</w:t>
      </w:r>
      <w:proofErr w:type="spellEnd"/>
      <w:r w:rsidR="00C809C8">
        <w:rPr>
          <w:lang w:val="en-GB" w:eastAsia="en-US"/>
        </w:rPr>
        <w:t>-DU,</w:t>
      </w:r>
      <w:r>
        <w:rPr>
          <w:lang w:val="en-GB" w:eastAsia="en-US"/>
        </w:rPr>
        <w:t xml:space="preserve"> unless the TAT has expired. </w:t>
      </w:r>
      <w:r w:rsidR="00F976FD">
        <w:rPr>
          <w:lang w:val="en-GB" w:eastAsia="en-US"/>
        </w:rPr>
        <w:t xml:space="preserve">For example, the acquired timing advances and their corresponding candidate cell Ids can be either sent by the UE to the new serving gNB-DU post LTM cell switch or from old serving </w:t>
      </w:r>
      <w:proofErr w:type="spellStart"/>
      <w:r w:rsidR="00F976FD">
        <w:rPr>
          <w:lang w:val="en-GB" w:eastAsia="en-US"/>
        </w:rPr>
        <w:t>gNB</w:t>
      </w:r>
      <w:proofErr w:type="spellEnd"/>
      <w:r w:rsidR="00F976FD">
        <w:rPr>
          <w:lang w:val="en-GB" w:eastAsia="en-US"/>
        </w:rPr>
        <w:t xml:space="preserve">-DU to the new serving </w:t>
      </w:r>
      <w:proofErr w:type="spellStart"/>
      <w:r w:rsidR="00F976FD">
        <w:rPr>
          <w:lang w:val="en-GB" w:eastAsia="en-US"/>
        </w:rPr>
        <w:t>gNB</w:t>
      </w:r>
      <w:proofErr w:type="spellEnd"/>
      <w:r w:rsidR="00F976FD">
        <w:rPr>
          <w:lang w:val="en-GB" w:eastAsia="en-US"/>
        </w:rPr>
        <w:t xml:space="preserve">-DU via the </w:t>
      </w:r>
      <w:proofErr w:type="spellStart"/>
      <w:r w:rsidR="00F976FD">
        <w:rPr>
          <w:lang w:val="en-GB" w:eastAsia="en-US"/>
        </w:rPr>
        <w:t>gNB</w:t>
      </w:r>
      <w:proofErr w:type="spellEnd"/>
      <w:r w:rsidR="00F976FD">
        <w:rPr>
          <w:lang w:val="en-GB" w:eastAsia="en-US"/>
        </w:rPr>
        <w:t>-CU.</w:t>
      </w:r>
    </w:p>
    <w:p w14:paraId="32B0CC89" w14:textId="77777777" w:rsidR="00E829A3" w:rsidRDefault="00E829A3" w:rsidP="0066347B">
      <w:pPr>
        <w:rPr>
          <w:lang w:val="en-GB" w:eastAsia="en-US"/>
        </w:rPr>
      </w:pPr>
    </w:p>
    <w:p w14:paraId="0921639F" w14:textId="4E511297" w:rsidR="0066347B" w:rsidRPr="0066347B" w:rsidRDefault="00C809C8" w:rsidP="0066347B">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 xml:space="preserve">acquired timing advances of different candidate cells at the new serving </w:t>
      </w:r>
      <w:proofErr w:type="spellStart"/>
      <w:r w:rsidRPr="00C809C8">
        <w:rPr>
          <w:rFonts w:ascii="Arial" w:hAnsi="Arial" w:cs="Arial"/>
          <w:b/>
          <w:bCs/>
          <w:sz w:val="20"/>
          <w:szCs w:val="20"/>
          <w:lang w:val="en-GB"/>
        </w:rPr>
        <w:t>gNB</w:t>
      </w:r>
      <w:proofErr w:type="spellEnd"/>
      <w:r w:rsidRPr="00C809C8">
        <w:rPr>
          <w:rFonts w:ascii="Arial" w:hAnsi="Arial" w:cs="Arial"/>
          <w:b/>
          <w:bCs/>
          <w:sz w:val="20"/>
          <w:szCs w:val="20"/>
          <w:lang w:val="en-GB"/>
        </w:rPr>
        <w:t>-DU</w:t>
      </w:r>
      <w:r>
        <w:rPr>
          <w:rFonts w:ascii="Arial" w:hAnsi="Arial" w:cs="Arial"/>
          <w:b/>
          <w:bCs/>
          <w:sz w:val="20"/>
          <w:szCs w:val="20"/>
          <w:lang w:val="en-GB"/>
        </w:rPr>
        <w:t>, post LTM cell switch</w:t>
      </w:r>
      <w:r w:rsidRPr="00BB788B">
        <w:rPr>
          <w:rFonts w:ascii="Arial" w:hAnsi="Arial" w:cs="Arial"/>
          <w:b/>
          <w:bCs/>
          <w:sz w:val="20"/>
          <w:szCs w:val="20"/>
        </w:rPr>
        <w:t>.</w:t>
      </w:r>
    </w:p>
    <w:p w14:paraId="66A4AA37" w14:textId="01546CEC" w:rsidR="00660D4B" w:rsidRDefault="007119B8" w:rsidP="00314251">
      <w:pPr>
        <w:pStyle w:val="Heading2"/>
        <w:rPr>
          <w:rFonts w:cs="Arial"/>
        </w:rPr>
      </w:pPr>
      <w:r>
        <w:rPr>
          <w:rFonts w:cs="Arial"/>
        </w:rPr>
        <w:t>Security for LTM execution</w:t>
      </w:r>
    </w:p>
    <w:p w14:paraId="5FDB651E" w14:textId="10749DC7" w:rsidR="007119B8" w:rsidRDefault="007119B8" w:rsidP="007119B8">
      <w:pPr>
        <w:spacing w:before="120" w:after="120"/>
        <w:jc w:val="both"/>
        <w:rPr>
          <w:rFonts w:ascii="Arial" w:hAnsi="Arial" w:cs="Arial"/>
          <w:sz w:val="20"/>
          <w:szCs w:val="20"/>
        </w:rPr>
      </w:pPr>
      <w:bookmarkStart w:id="9" w:name="OLE_LINK68"/>
      <w:r>
        <w:rPr>
          <w:rFonts w:ascii="Arial" w:hAnsi="Arial" w:cs="Arial"/>
          <w:sz w:val="20"/>
          <w:szCs w:val="20"/>
        </w:rPr>
        <w:t xml:space="preserve">Several companies have expressed security concerns since the execution of LTM is agreed to be performed using a </w:t>
      </w:r>
      <w:r w:rsidR="000E6026">
        <w:rPr>
          <w:rFonts w:ascii="Arial" w:hAnsi="Arial" w:cs="Arial"/>
          <w:sz w:val="20"/>
          <w:szCs w:val="20"/>
        </w:rPr>
        <w:t xml:space="preserve">DL </w:t>
      </w:r>
      <w:r>
        <w:rPr>
          <w:rFonts w:ascii="Arial" w:hAnsi="Arial" w:cs="Arial"/>
          <w:sz w:val="20"/>
          <w:szCs w:val="20"/>
        </w:rPr>
        <w:t>MAC CE which is not encrypted and hence unsecured</w:t>
      </w:r>
      <w:r w:rsidRPr="00BB788B">
        <w:rPr>
          <w:rFonts w:ascii="Arial" w:hAnsi="Arial" w:cs="Arial"/>
          <w:sz w:val="20"/>
          <w:szCs w:val="20"/>
        </w:rPr>
        <w:t>.</w:t>
      </w:r>
      <w:bookmarkEnd w:id="9"/>
      <w:r>
        <w:rPr>
          <w:rFonts w:ascii="Arial" w:hAnsi="Arial" w:cs="Arial"/>
          <w:sz w:val="20"/>
          <w:szCs w:val="20"/>
        </w:rPr>
        <w:t xml:space="preserve"> </w:t>
      </w:r>
    </w:p>
    <w:p w14:paraId="38600DFC" w14:textId="4BD8C256" w:rsidR="007119B8" w:rsidRPr="00BB788B" w:rsidRDefault="000E6026" w:rsidP="007119B8">
      <w:pPr>
        <w:spacing w:before="120" w:after="120"/>
        <w:jc w:val="both"/>
        <w:rPr>
          <w:rFonts w:ascii="Arial" w:hAnsi="Arial" w:cs="Arial"/>
          <w:sz w:val="20"/>
          <w:szCs w:val="20"/>
        </w:rPr>
      </w:pPr>
      <w:r>
        <w:rPr>
          <w:rFonts w:ascii="Arial" w:hAnsi="Arial" w:cs="Arial"/>
          <w:sz w:val="20"/>
          <w:szCs w:val="20"/>
        </w:rPr>
        <w:t>A UE can have</w:t>
      </w:r>
      <w:r w:rsidR="007119B8">
        <w:rPr>
          <w:rFonts w:ascii="Arial" w:hAnsi="Arial" w:cs="Arial"/>
          <w:sz w:val="20"/>
          <w:szCs w:val="20"/>
        </w:rPr>
        <w:t xml:space="preserve"> multiple LTM </w:t>
      </w:r>
      <w:r w:rsidR="000622C0">
        <w:rPr>
          <w:rFonts w:ascii="Arial" w:hAnsi="Arial" w:cs="Arial"/>
          <w:sz w:val="20"/>
          <w:szCs w:val="20"/>
        </w:rPr>
        <w:t>candidate/</w:t>
      </w:r>
      <w:r w:rsidR="007119B8">
        <w:rPr>
          <w:rFonts w:ascii="Arial" w:hAnsi="Arial" w:cs="Arial"/>
          <w:sz w:val="20"/>
          <w:szCs w:val="20"/>
        </w:rPr>
        <w:t xml:space="preserve">target cells configured </w:t>
      </w:r>
      <w:r>
        <w:rPr>
          <w:rFonts w:ascii="Arial" w:hAnsi="Arial" w:cs="Arial"/>
          <w:sz w:val="20"/>
          <w:szCs w:val="20"/>
        </w:rPr>
        <w:t>at any point</w:t>
      </w:r>
      <w:r w:rsidR="007119B8">
        <w:rPr>
          <w:rFonts w:ascii="Arial" w:hAnsi="Arial" w:cs="Arial"/>
          <w:sz w:val="20"/>
          <w:szCs w:val="20"/>
        </w:rPr>
        <w:t xml:space="preserve"> and since the target cell configuration is indicated to the UE using RRC, we think each </w:t>
      </w:r>
      <w:r w:rsidR="000622C0">
        <w:rPr>
          <w:rFonts w:ascii="Arial" w:hAnsi="Arial" w:cs="Arial"/>
          <w:sz w:val="20"/>
          <w:szCs w:val="20"/>
        </w:rPr>
        <w:t>candidate/</w:t>
      </w:r>
      <w:r w:rsidR="007119B8">
        <w:rPr>
          <w:rFonts w:ascii="Arial" w:hAnsi="Arial" w:cs="Arial"/>
          <w:sz w:val="20"/>
          <w:szCs w:val="20"/>
        </w:rPr>
        <w:t xml:space="preserve">target cell can be assigned an index by the </w:t>
      </w:r>
      <w:proofErr w:type="spellStart"/>
      <w:r w:rsidR="007119B8">
        <w:rPr>
          <w:rFonts w:ascii="Arial" w:hAnsi="Arial" w:cs="Arial"/>
          <w:sz w:val="20"/>
          <w:szCs w:val="20"/>
        </w:rPr>
        <w:t>gNB</w:t>
      </w:r>
      <w:proofErr w:type="spellEnd"/>
      <w:r w:rsidR="007119B8">
        <w:rPr>
          <w:rFonts w:ascii="Arial" w:hAnsi="Arial" w:cs="Arial"/>
          <w:sz w:val="20"/>
          <w:szCs w:val="20"/>
        </w:rPr>
        <w:t xml:space="preserve">-CU, which can be further </w:t>
      </w:r>
      <w:proofErr w:type="spellStart"/>
      <w:r w:rsidR="007119B8">
        <w:rPr>
          <w:rFonts w:ascii="Arial" w:hAnsi="Arial" w:cs="Arial"/>
          <w:sz w:val="20"/>
          <w:szCs w:val="20"/>
        </w:rPr>
        <w:t>signalled</w:t>
      </w:r>
      <w:proofErr w:type="spellEnd"/>
      <w:r w:rsidR="007119B8">
        <w:rPr>
          <w:rFonts w:ascii="Arial" w:hAnsi="Arial" w:cs="Arial"/>
          <w:sz w:val="20"/>
          <w:szCs w:val="20"/>
        </w:rPr>
        <w:t xml:space="preserve"> to both UE and the </w:t>
      </w:r>
      <w:proofErr w:type="spellStart"/>
      <w:r w:rsidR="007119B8">
        <w:rPr>
          <w:rFonts w:ascii="Arial" w:hAnsi="Arial" w:cs="Arial"/>
          <w:sz w:val="20"/>
          <w:szCs w:val="20"/>
        </w:rPr>
        <w:t>gNB</w:t>
      </w:r>
      <w:proofErr w:type="spellEnd"/>
      <w:r w:rsidR="007119B8">
        <w:rPr>
          <w:rFonts w:ascii="Arial" w:hAnsi="Arial" w:cs="Arial"/>
          <w:sz w:val="20"/>
          <w:szCs w:val="20"/>
        </w:rPr>
        <w:t xml:space="preserve">-DU. By including </w:t>
      </w:r>
      <w:proofErr w:type="gramStart"/>
      <w:r w:rsidR="007119B8">
        <w:rPr>
          <w:rFonts w:ascii="Arial" w:hAnsi="Arial" w:cs="Arial"/>
          <w:sz w:val="20"/>
          <w:szCs w:val="20"/>
        </w:rPr>
        <w:t>only</w:t>
      </w:r>
      <w:proofErr w:type="gramEnd"/>
      <w:r w:rsidR="007119B8">
        <w:rPr>
          <w:rFonts w:ascii="Arial" w:hAnsi="Arial" w:cs="Arial"/>
          <w:sz w:val="20"/>
          <w:szCs w:val="20"/>
        </w:rPr>
        <w:t xml:space="preserve"> the index of the </w:t>
      </w:r>
      <w:r w:rsidR="000622C0">
        <w:rPr>
          <w:rFonts w:ascii="Arial" w:hAnsi="Arial" w:cs="Arial"/>
          <w:sz w:val="20"/>
          <w:szCs w:val="20"/>
        </w:rPr>
        <w:t>candidate/</w:t>
      </w:r>
      <w:r w:rsidR="007119B8">
        <w:rPr>
          <w:rFonts w:ascii="Arial" w:hAnsi="Arial" w:cs="Arial"/>
          <w:sz w:val="20"/>
          <w:szCs w:val="20"/>
        </w:rPr>
        <w:t xml:space="preserve">target cell in the DL MAC CE command, the LTM </w:t>
      </w:r>
      <w:r w:rsidR="000622C0">
        <w:rPr>
          <w:rFonts w:ascii="Arial" w:hAnsi="Arial" w:cs="Arial"/>
          <w:sz w:val="20"/>
          <w:szCs w:val="20"/>
        </w:rPr>
        <w:t>cell switch</w:t>
      </w:r>
      <w:r w:rsidR="007119B8">
        <w:rPr>
          <w:rFonts w:ascii="Arial" w:hAnsi="Arial" w:cs="Arial"/>
          <w:sz w:val="20"/>
          <w:szCs w:val="20"/>
        </w:rPr>
        <w:t xml:space="preserve"> command can be secured. </w:t>
      </w:r>
    </w:p>
    <w:p w14:paraId="67067AB7" w14:textId="03F846C3"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B47C4D">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 xml:space="preserve">Indexing the LTM </w:t>
      </w:r>
      <w:r w:rsidR="000622C0">
        <w:rPr>
          <w:rFonts w:ascii="Arial" w:hAnsi="Arial" w:cs="Arial"/>
          <w:i/>
          <w:iCs/>
          <w:sz w:val="20"/>
          <w:szCs w:val="20"/>
          <w:lang w:eastAsia="en-US"/>
        </w:rPr>
        <w:t>candidate/</w:t>
      </w:r>
      <w:r>
        <w:rPr>
          <w:rFonts w:ascii="Arial" w:hAnsi="Arial" w:cs="Arial"/>
          <w:i/>
          <w:iCs/>
          <w:sz w:val="20"/>
          <w:szCs w:val="20"/>
          <w:lang w:eastAsia="en-US"/>
        </w:rPr>
        <w:t xml:space="preserve">target cells for each individual UE and using the </w:t>
      </w:r>
      <w:r w:rsidR="000622C0" w:rsidRPr="000622C0">
        <w:rPr>
          <w:rFonts w:ascii="Arial" w:hAnsi="Arial" w:cs="Arial"/>
          <w:i/>
          <w:iCs/>
          <w:sz w:val="20"/>
          <w:szCs w:val="20"/>
        </w:rPr>
        <w:t>candidate</w:t>
      </w:r>
      <w:r w:rsidR="000622C0">
        <w:rPr>
          <w:rFonts w:ascii="Arial" w:hAnsi="Arial" w:cs="Arial"/>
          <w:sz w:val="20"/>
          <w:szCs w:val="20"/>
        </w:rPr>
        <w:t>/</w:t>
      </w:r>
      <w:r>
        <w:rPr>
          <w:rFonts w:ascii="Arial" w:hAnsi="Arial" w:cs="Arial"/>
          <w:i/>
          <w:iCs/>
          <w:sz w:val="20"/>
          <w:szCs w:val="20"/>
          <w:lang w:eastAsia="en-US"/>
        </w:rPr>
        <w:t xml:space="preserve">target cell Index rather than the cell identity during LTM </w:t>
      </w:r>
      <w:r w:rsidR="000622C0">
        <w:rPr>
          <w:rFonts w:ascii="Arial" w:hAnsi="Arial" w:cs="Arial"/>
          <w:i/>
          <w:iCs/>
          <w:sz w:val="20"/>
          <w:szCs w:val="20"/>
          <w:lang w:eastAsia="en-US"/>
        </w:rPr>
        <w:t xml:space="preserve">cell switch </w:t>
      </w:r>
      <w:r>
        <w:rPr>
          <w:rFonts w:ascii="Arial" w:hAnsi="Arial" w:cs="Arial"/>
          <w:i/>
          <w:iCs/>
          <w:sz w:val="20"/>
          <w:szCs w:val="20"/>
          <w:lang w:eastAsia="en-US"/>
        </w:rPr>
        <w:t>execution addresses security concerns</w:t>
      </w:r>
      <w:r w:rsidRPr="00485333">
        <w:rPr>
          <w:rFonts w:ascii="Arial" w:hAnsi="Arial" w:cs="Arial"/>
          <w:i/>
          <w:iCs/>
          <w:sz w:val="20"/>
          <w:szCs w:val="20"/>
          <w:lang w:eastAsia="en-US"/>
        </w:rPr>
        <w:t>.</w:t>
      </w:r>
    </w:p>
    <w:p w14:paraId="34BAAE88" w14:textId="1F7B6D39" w:rsidR="00443C86" w:rsidRPr="00443C86" w:rsidRDefault="007119B8" w:rsidP="00532567">
      <w:pPr>
        <w:spacing w:before="120" w:after="120"/>
        <w:jc w:val="both"/>
        <w:rPr>
          <w:rFonts w:ascii="Arial" w:hAnsi="Arial" w:cs="Arial"/>
          <w:sz w:val="20"/>
          <w:szCs w:val="20"/>
        </w:rPr>
      </w:pPr>
      <w:r>
        <w:rPr>
          <w:rFonts w:ascii="Arial" w:hAnsi="Arial" w:cs="Arial"/>
          <w:sz w:val="20"/>
          <w:szCs w:val="20"/>
        </w:rPr>
        <w:t xml:space="preserve">The index to a LTM target cell could be allocated as and when a new LTM target cell is configured for the UE. Removal of a target cell will imply freeing up the index as well. Index allocation can be done till the max number of LTM target cells and subsequently re-used.  </w:t>
      </w:r>
    </w:p>
    <w:p w14:paraId="14A5A648" w14:textId="0B34FEA8" w:rsidR="006C7A06" w:rsidRPr="00B47C4D" w:rsidRDefault="00FE1DB8" w:rsidP="00B47C4D">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C809C8">
        <w:rPr>
          <w:rFonts w:ascii="Arial" w:hAnsi="Arial" w:cs="Arial"/>
          <w:b/>
          <w:bCs/>
          <w:sz w:val="20"/>
          <w:szCs w:val="20"/>
        </w:rPr>
        <w:t>3</w:t>
      </w:r>
      <w:r w:rsidRPr="00BB788B">
        <w:rPr>
          <w:rFonts w:ascii="Arial" w:hAnsi="Arial" w:cs="Arial"/>
          <w:b/>
          <w:bCs/>
          <w:sz w:val="20"/>
          <w:szCs w:val="20"/>
        </w:rPr>
        <w:t xml:space="preserve">: </w:t>
      </w:r>
      <w:proofErr w:type="gramStart"/>
      <w:r w:rsidR="000622C0">
        <w:rPr>
          <w:rFonts w:ascii="Arial" w:hAnsi="Arial" w:cs="Arial"/>
          <w:b/>
          <w:bCs/>
          <w:sz w:val="20"/>
          <w:szCs w:val="20"/>
        </w:rPr>
        <w:t>In order to</w:t>
      </w:r>
      <w:proofErr w:type="gramEnd"/>
      <w:r w:rsidR="000622C0">
        <w:rPr>
          <w:rFonts w:ascii="Arial" w:hAnsi="Arial" w:cs="Arial"/>
          <w:b/>
          <w:bCs/>
          <w:sz w:val="20"/>
          <w:szCs w:val="20"/>
        </w:rPr>
        <w:t xml:space="preserve"> address security concerns</w:t>
      </w:r>
      <w:r w:rsidR="000622C0" w:rsidRPr="000622C0">
        <w:rPr>
          <w:rFonts w:ascii="Arial" w:hAnsi="Arial" w:cs="Arial"/>
          <w:b/>
          <w:bCs/>
          <w:sz w:val="20"/>
          <w:szCs w:val="20"/>
        </w:rPr>
        <w:t xml:space="preserve">, candidate/target cells are indexed and </w:t>
      </w:r>
      <w:r w:rsidR="000622C0">
        <w:rPr>
          <w:rFonts w:ascii="Arial" w:hAnsi="Arial" w:cs="Arial"/>
          <w:b/>
          <w:bCs/>
          <w:sz w:val="20"/>
          <w:szCs w:val="20"/>
        </w:rPr>
        <w:t>i</w:t>
      </w:r>
      <w:r w:rsidR="007119B8">
        <w:rPr>
          <w:rFonts w:ascii="Arial" w:hAnsi="Arial" w:cs="Arial"/>
          <w:b/>
          <w:bCs/>
          <w:sz w:val="20"/>
          <w:szCs w:val="20"/>
        </w:rPr>
        <w:t xml:space="preserve">ndex allocation to LTM </w:t>
      </w:r>
      <w:r w:rsidR="000622C0">
        <w:rPr>
          <w:rFonts w:ascii="Arial" w:hAnsi="Arial" w:cs="Arial"/>
          <w:b/>
          <w:bCs/>
          <w:sz w:val="20"/>
          <w:szCs w:val="20"/>
        </w:rPr>
        <w:t>candidate/</w:t>
      </w:r>
      <w:r w:rsidR="007119B8">
        <w:rPr>
          <w:rFonts w:ascii="Arial" w:hAnsi="Arial" w:cs="Arial"/>
          <w:b/>
          <w:bCs/>
          <w:sz w:val="20"/>
          <w:szCs w:val="20"/>
        </w:rPr>
        <w:t>target cells can be on a first-cum-first-serve basis till the max number of target cells and subsequently re-used</w:t>
      </w:r>
      <w:r w:rsidR="00BB788B" w:rsidRPr="00BB788B">
        <w:rPr>
          <w:rFonts w:ascii="Arial" w:hAnsi="Arial" w:cs="Arial"/>
          <w:b/>
          <w:bCs/>
          <w:sz w:val="20"/>
          <w:szCs w:val="20"/>
        </w:rPr>
        <w:t xml:space="preserve">. </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320BA3A" w14:textId="77777777" w:rsidR="004B01C0" w:rsidRPr="00485333" w:rsidRDefault="004B01C0" w:rsidP="004B01C0">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w:t>
      </w:r>
      <w:proofErr w:type="spellStart"/>
      <w:r>
        <w:rPr>
          <w:rFonts w:ascii="Arial" w:hAnsi="Arial" w:cs="Arial"/>
          <w:i/>
          <w:iCs/>
          <w:sz w:val="20"/>
          <w:szCs w:val="20"/>
        </w:rPr>
        <w:t>gNB</w:t>
      </w:r>
      <w:proofErr w:type="spellEnd"/>
      <w:r>
        <w:rPr>
          <w:rFonts w:ascii="Arial" w:hAnsi="Arial" w:cs="Arial"/>
          <w:i/>
          <w:iCs/>
          <w:sz w:val="20"/>
          <w:szCs w:val="20"/>
        </w:rPr>
        <w:t>-DU) decides that the UE may perform RACH (UL sync) to a target cell in advance of the LTM SCC and indicates using a PDCCH order, the target cell(s) to which the RACH is to be performed</w:t>
      </w:r>
      <w:r w:rsidRPr="00485333">
        <w:rPr>
          <w:rFonts w:ascii="Arial" w:hAnsi="Arial" w:cs="Arial"/>
          <w:i/>
          <w:iCs/>
          <w:sz w:val="20"/>
          <w:szCs w:val="20"/>
        </w:rPr>
        <w:t xml:space="preserve">. </w:t>
      </w:r>
    </w:p>
    <w:p w14:paraId="57EA8F2B" w14:textId="77777777" w:rsidR="004B01C0" w:rsidRPr="00485333" w:rsidRDefault="004B01C0" w:rsidP="004B01C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 xml:space="preserve">DL data transmission at the serving cell is impacted if the UE performs UL sync with a target cell, </w:t>
      </w:r>
      <w:r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p>
    <w:p w14:paraId="7DDB3F7C" w14:textId="24BEAD2B"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B47C4D">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1957BD4" w14:textId="77777777" w:rsidR="004B01C0" w:rsidRPr="00BB788B" w:rsidRDefault="004B01C0" w:rsidP="004B01C0">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RAN2 discusses and clarifies whether the RACH configuration provided during first TA acquisition can be re-used in a subsequent attempt and how to indicate the candidate/target cell ID to perform TA acquisition</w:t>
      </w:r>
      <w:r w:rsidRPr="00BB788B">
        <w:rPr>
          <w:rFonts w:ascii="Arial" w:hAnsi="Arial" w:cs="Arial"/>
          <w:b/>
          <w:bCs/>
          <w:sz w:val="20"/>
          <w:szCs w:val="20"/>
        </w:rPr>
        <w:t xml:space="preserve">. </w:t>
      </w:r>
    </w:p>
    <w:p w14:paraId="35EB3968" w14:textId="77777777" w:rsidR="004B01C0" w:rsidRPr="0066347B" w:rsidRDefault="004B01C0" w:rsidP="004B01C0">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 xml:space="preserve">acquired timing advances of different candidate cells at the new serving </w:t>
      </w:r>
      <w:proofErr w:type="spellStart"/>
      <w:r w:rsidRPr="00C809C8">
        <w:rPr>
          <w:rFonts w:ascii="Arial" w:hAnsi="Arial" w:cs="Arial"/>
          <w:b/>
          <w:bCs/>
          <w:sz w:val="20"/>
          <w:szCs w:val="20"/>
          <w:lang w:val="en-GB"/>
        </w:rPr>
        <w:t>gNB</w:t>
      </w:r>
      <w:proofErr w:type="spellEnd"/>
      <w:r w:rsidRPr="00C809C8">
        <w:rPr>
          <w:rFonts w:ascii="Arial" w:hAnsi="Arial" w:cs="Arial"/>
          <w:b/>
          <w:bCs/>
          <w:sz w:val="20"/>
          <w:szCs w:val="20"/>
          <w:lang w:val="en-GB"/>
        </w:rPr>
        <w:t>-DU</w:t>
      </w:r>
      <w:r>
        <w:rPr>
          <w:rFonts w:ascii="Arial" w:hAnsi="Arial" w:cs="Arial"/>
          <w:b/>
          <w:bCs/>
          <w:sz w:val="20"/>
          <w:szCs w:val="20"/>
          <w:lang w:val="en-GB"/>
        </w:rPr>
        <w:t>, post LTM cell switch</w:t>
      </w:r>
      <w:r w:rsidRPr="00BB788B">
        <w:rPr>
          <w:rFonts w:ascii="Arial" w:hAnsi="Arial" w:cs="Arial"/>
          <w:b/>
          <w:bCs/>
          <w:sz w:val="20"/>
          <w:szCs w:val="20"/>
        </w:rPr>
        <w:t>.</w:t>
      </w:r>
    </w:p>
    <w:p w14:paraId="49AC2B5D" w14:textId="53A8CB4D" w:rsidR="00530BD0" w:rsidRPr="00BB788B" w:rsidRDefault="004B01C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In order to address security concerns</w:t>
      </w:r>
      <w:r w:rsidRPr="000622C0">
        <w:rPr>
          <w:rFonts w:ascii="Arial" w:hAnsi="Arial" w:cs="Arial"/>
          <w:b/>
          <w:bCs/>
          <w:sz w:val="20"/>
          <w:szCs w:val="20"/>
        </w:rPr>
        <w:t xml:space="preserve">, candidate/target cells are indexed and </w:t>
      </w:r>
      <w:r>
        <w:rPr>
          <w:rFonts w:ascii="Arial" w:hAnsi="Arial" w:cs="Arial"/>
          <w:b/>
          <w:bCs/>
          <w:sz w:val="20"/>
          <w:szCs w:val="20"/>
        </w:rPr>
        <w:t>index allocation to LTM candidate/target cells can be on a first-cum-first-serve basis till the max number of target cells and subsequently re-used</w:t>
      </w:r>
      <w:r w:rsidRPr="00BB788B">
        <w:rPr>
          <w:rFonts w:ascii="Arial" w:hAnsi="Arial" w:cs="Arial"/>
          <w:b/>
          <w:bCs/>
          <w:sz w:val="20"/>
          <w:szCs w:val="20"/>
        </w:rPr>
        <w:t xml:space="preserve">. </w:t>
      </w:r>
      <w:r w:rsidR="00530BD0" w:rsidRPr="00BB788B">
        <w:rPr>
          <w:rFonts w:ascii="Arial" w:hAnsi="Arial" w:cs="Arial"/>
          <w:b/>
          <w:bCs/>
          <w:sz w:val="20"/>
          <w:szCs w:val="20"/>
        </w:rPr>
        <w:t xml:space="preserve"> </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E8EA" w14:textId="77777777" w:rsidR="003844D2" w:rsidRDefault="003844D2">
      <w:pPr>
        <w:pStyle w:val="TAL"/>
      </w:pPr>
      <w:r>
        <w:separator/>
      </w:r>
    </w:p>
  </w:endnote>
  <w:endnote w:type="continuationSeparator" w:id="0">
    <w:p w14:paraId="470C9FA8" w14:textId="77777777" w:rsidR="003844D2" w:rsidRDefault="003844D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C1FB" w14:textId="77777777" w:rsidR="003844D2" w:rsidRDefault="003844D2">
      <w:pPr>
        <w:pStyle w:val="TAL"/>
      </w:pPr>
      <w:r>
        <w:separator/>
      </w:r>
    </w:p>
  </w:footnote>
  <w:footnote w:type="continuationSeparator" w:id="0">
    <w:p w14:paraId="06F12D2B" w14:textId="77777777" w:rsidR="003844D2" w:rsidRDefault="003844D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0440"/>
        </w:tabs>
        <w:ind w:left="-10440" w:hanging="360"/>
      </w:pPr>
      <w:rPr>
        <w:rFonts w:ascii="Courier New" w:hAnsi="Courier New" w:cs="Courier New" w:hint="default"/>
      </w:rPr>
    </w:lvl>
    <w:lvl w:ilvl="2" w:tplc="04090005">
      <w:start w:val="1"/>
      <w:numFmt w:val="bullet"/>
      <w:lvlText w:val=""/>
      <w:lvlJc w:val="left"/>
      <w:pPr>
        <w:tabs>
          <w:tab w:val="num" w:pos="-9720"/>
        </w:tabs>
        <w:ind w:left="-9720" w:hanging="360"/>
      </w:pPr>
      <w:rPr>
        <w:rFonts w:ascii="Wingdings" w:hAnsi="Wingdings" w:hint="default"/>
      </w:rPr>
    </w:lvl>
    <w:lvl w:ilvl="3" w:tplc="04090001">
      <w:start w:val="1"/>
      <w:numFmt w:val="bullet"/>
      <w:lvlText w:val=""/>
      <w:lvlJc w:val="left"/>
      <w:pPr>
        <w:tabs>
          <w:tab w:val="num" w:pos="-9000"/>
        </w:tabs>
        <w:ind w:left="-9000" w:hanging="360"/>
      </w:pPr>
      <w:rPr>
        <w:rFonts w:ascii="Symbol" w:hAnsi="Symbol" w:hint="default"/>
      </w:rPr>
    </w:lvl>
    <w:lvl w:ilvl="4" w:tplc="04090003">
      <w:start w:val="1"/>
      <w:numFmt w:val="bullet"/>
      <w:lvlText w:val="o"/>
      <w:lvlJc w:val="left"/>
      <w:pPr>
        <w:tabs>
          <w:tab w:val="num" w:pos="-8280"/>
        </w:tabs>
        <w:ind w:left="-8280" w:hanging="360"/>
      </w:pPr>
      <w:rPr>
        <w:rFonts w:ascii="Courier New" w:hAnsi="Courier New" w:cs="Courier New" w:hint="default"/>
      </w:rPr>
    </w:lvl>
    <w:lvl w:ilvl="5" w:tplc="04090005">
      <w:start w:val="1"/>
      <w:numFmt w:val="bullet"/>
      <w:lvlText w:val=""/>
      <w:lvlJc w:val="left"/>
      <w:pPr>
        <w:tabs>
          <w:tab w:val="num" w:pos="-7560"/>
        </w:tabs>
        <w:ind w:left="-756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4"/>
  </w:num>
  <w:num w:numId="2" w16cid:durableId="1712925209">
    <w:abstractNumId w:val="7"/>
  </w:num>
  <w:num w:numId="3" w16cid:durableId="1459103136">
    <w:abstractNumId w:val="6"/>
  </w:num>
  <w:num w:numId="4" w16cid:durableId="1141001138">
    <w:abstractNumId w:val="5"/>
  </w:num>
  <w:num w:numId="5" w16cid:durableId="734744943">
    <w:abstractNumId w:val="1"/>
  </w:num>
  <w:num w:numId="6" w16cid:durableId="1392147612">
    <w:abstractNumId w:val="6"/>
  </w:num>
  <w:num w:numId="7" w16cid:durableId="1980916596">
    <w:abstractNumId w:val="3"/>
  </w:num>
  <w:num w:numId="8" w16cid:durableId="544022156">
    <w:abstractNumId w:val="2"/>
  </w:num>
  <w:num w:numId="9" w16cid:durableId="223220381">
    <w:abstractNumId w:val="6"/>
  </w:num>
  <w:num w:numId="10" w16cid:durableId="777876662">
    <w:abstractNumId w:val="6"/>
  </w:num>
  <w:num w:numId="11" w16cid:durableId="113521465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C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989"/>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DC4"/>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80B"/>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4D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066"/>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1C0"/>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1C1"/>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015"/>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47B"/>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B6C"/>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7D1"/>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E1"/>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085"/>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2F24"/>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639"/>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47C4D"/>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6B4"/>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119"/>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F4"/>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09C8"/>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498"/>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E5"/>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9A3"/>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6FD"/>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128</TotalTime>
  <Pages>4</Pages>
  <Words>1340</Words>
  <Characters>6930</Characters>
  <Application>Microsoft Office Word</Application>
  <DocSecurity>0</DocSecurity>
  <Lines>126</Lines>
  <Paragraphs>68</Paragraphs>
  <ScaleCrop>false</ScaleCrop>
  <HeadingPairs>
    <vt:vector size="2" baseType="variant">
      <vt:variant>
        <vt:lpstr>Title</vt:lpstr>
      </vt:variant>
      <vt:variant>
        <vt:i4>1</vt:i4>
      </vt:variant>
    </vt:vector>
  </HeadingPairs>
  <TitlesOfParts>
    <vt:vector size="1" baseType="lpstr">
      <vt:lpstr>Performance Enhancements for LTM</vt:lpstr>
    </vt:vector>
  </TitlesOfParts>
  <Manager/>
  <Company>Rakuten Symphony Inc</Company>
  <LinksUpToDate>false</LinksUpToDate>
  <CharactersWithSpaces>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Acquisition before LTM Serving cell change</dc:title>
  <dc:subject>LTM</dc:subject>
  <dc:creator>Subramanya Chandrashekar</dc:creator>
  <cp:keywords/>
  <dc:description/>
  <cp:lastModifiedBy>C, Subramanya | RSI</cp:lastModifiedBy>
  <cp:revision>23</cp:revision>
  <cp:lastPrinted>2007-12-21T04:58:00Z</cp:lastPrinted>
  <dcterms:created xsi:type="dcterms:W3CDTF">2023-02-12T05:30:00Z</dcterms:created>
  <dcterms:modified xsi:type="dcterms:W3CDTF">2023-08-10T08:48:00Z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