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4FBACE72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2869F2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ab/>
      </w:r>
      <w:r w:rsidR="007D4D26" w:rsidRPr="007D4D26">
        <w:rPr>
          <w:b/>
          <w:noProof/>
          <w:sz w:val="24"/>
          <w:szCs w:val="24"/>
        </w:rPr>
        <w:t>R2-2306877</w:t>
      </w:r>
    </w:p>
    <w:p w14:paraId="16EB5CEB" w14:textId="77777777" w:rsidR="002869F2" w:rsidRPr="00CE1EDC" w:rsidRDefault="002869F2" w:rsidP="002869F2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ja-JP"/>
        </w:rPr>
      </w:pPr>
      <w:r>
        <w:rPr>
          <w:rFonts w:ascii="Arial" w:eastAsia="ＭＳ 明朝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ＭＳ 明朝" w:hAnsi="Arial"/>
          <w:b/>
          <w:noProof/>
          <w:sz w:val="24"/>
          <w:szCs w:val="24"/>
        </w:rPr>
        <w:t xml:space="preserve">, </w:t>
      </w:r>
      <w:r>
        <w:rPr>
          <w:rFonts w:ascii="Arial" w:eastAsia="ＭＳ 明朝" w:hAnsi="Arial"/>
          <w:b/>
          <w:noProof/>
          <w:sz w:val="24"/>
          <w:szCs w:val="24"/>
        </w:rPr>
        <w:t>22</w:t>
      </w:r>
      <w:r>
        <w:rPr>
          <w:rFonts w:ascii="Arial" w:eastAsia="ＭＳ 明朝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ＭＳ 明朝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ＭＳ 明朝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ＭＳ 明朝" w:hAnsi="Arial"/>
          <w:b/>
          <w:noProof/>
          <w:sz w:val="24"/>
          <w:szCs w:val="24"/>
        </w:rPr>
        <w:t xml:space="preserve"> </w:t>
      </w:r>
      <w:r>
        <w:rPr>
          <w:rFonts w:ascii="Arial" w:eastAsia="ＭＳ 明朝" w:hAnsi="Arial"/>
          <w:b/>
          <w:noProof/>
          <w:sz w:val="24"/>
          <w:szCs w:val="24"/>
        </w:rPr>
        <w:t>May</w:t>
      </w:r>
      <w:r w:rsidRPr="00CE1EDC">
        <w:rPr>
          <w:rFonts w:ascii="Arial" w:eastAsia="ＭＳ 明朝" w:hAnsi="Arial"/>
          <w:b/>
          <w:noProof/>
          <w:sz w:val="24"/>
          <w:szCs w:val="24"/>
        </w:rPr>
        <w:t>, 2023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76747C99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2869F2">
        <w:rPr>
          <w:rFonts w:ascii="Arial" w:hAnsi="Arial" w:cs="Arial"/>
          <w:b/>
        </w:rPr>
        <w:t xml:space="preserve">DRAFT </w:t>
      </w:r>
      <w:r w:rsidR="00371986" w:rsidRPr="00371986">
        <w:rPr>
          <w:rFonts w:ascii="Arial" w:hAnsi="Arial" w:cs="Arial"/>
          <w:bCs/>
        </w:rPr>
        <w:t xml:space="preserve">Reply LS </w:t>
      </w:r>
      <w:r w:rsidR="00A96435" w:rsidRPr="00A96435">
        <w:rPr>
          <w:rFonts w:ascii="Arial" w:hAnsi="Arial" w:cs="Arial"/>
          <w:bCs/>
        </w:rPr>
        <w:t xml:space="preserve">on </w:t>
      </w:r>
      <w:r w:rsidR="002869F2" w:rsidRPr="002869F2">
        <w:rPr>
          <w:rFonts w:ascii="Arial" w:hAnsi="Arial" w:cs="Arial"/>
          <w:bCs/>
        </w:rPr>
        <w:t>introduction of one new RRC parameter and one new UE capability</w:t>
      </w:r>
      <w:r w:rsidR="002869F2">
        <w:rPr>
          <w:rFonts w:ascii="Arial" w:hAnsi="Arial" w:cs="Arial"/>
          <w:bCs/>
        </w:rPr>
        <w:t xml:space="preserve"> </w:t>
      </w:r>
      <w:r w:rsidR="002869F2">
        <w:rPr>
          <w:rFonts w:ascii="Arial" w:eastAsia="DengXian" w:hAnsi="Arial" w:cs="Arial"/>
          <w:bCs/>
        </w:rPr>
        <w:t>for Rel-17</w:t>
      </w:r>
    </w:p>
    <w:p w14:paraId="3915DF53" w14:textId="5DAEC6C4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2B1B6F" w:rsidRPr="002B1B6F">
        <w:rPr>
          <w:rFonts w:ascii="Arial" w:hAnsi="Arial" w:cs="Arial"/>
        </w:rPr>
        <w:t>R2-230</w:t>
      </w:r>
      <w:r w:rsidR="002869F2">
        <w:rPr>
          <w:rFonts w:ascii="Arial" w:hAnsi="Arial" w:cs="Arial"/>
        </w:rPr>
        <w:t>4616</w:t>
      </w:r>
      <w:r w:rsidR="00CD100D" w:rsidRPr="00CD100D">
        <w:rPr>
          <w:rFonts w:ascii="Arial" w:hAnsi="Arial" w:cs="Arial"/>
        </w:rPr>
        <w:t xml:space="preserve"> (</w:t>
      </w:r>
      <w:r w:rsidR="002869F2" w:rsidRPr="002869F2">
        <w:rPr>
          <w:rFonts w:ascii="Arial" w:hAnsi="Arial" w:cs="Arial"/>
          <w:bCs/>
        </w:rPr>
        <w:t>R1-2304156</w:t>
      </w:r>
      <w:r w:rsidR="00CD100D" w:rsidRPr="00CD100D">
        <w:rPr>
          <w:rFonts w:ascii="Arial" w:hAnsi="Arial" w:cs="Arial"/>
          <w:bCs/>
        </w:rPr>
        <w:t>)</w:t>
      </w:r>
    </w:p>
    <w:p w14:paraId="1725517D" w14:textId="175C4D75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2869F2">
        <w:rPr>
          <w:rFonts w:ascii="Arial" w:hAnsi="Arial" w:cs="Arial"/>
          <w:bCs/>
        </w:rPr>
        <w:t>7</w:t>
      </w:r>
    </w:p>
    <w:p w14:paraId="0DB3F630" w14:textId="14E79A1A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869F2" w:rsidRPr="00C1424B">
        <w:rPr>
          <w:rFonts w:ascii="Arial" w:eastAsia="DengXian" w:hAnsi="Arial" w:cs="Arial"/>
          <w:bCs/>
        </w:rPr>
        <w:t>TEI17</w:t>
      </w:r>
      <w:r w:rsidR="002869F2">
        <w:rPr>
          <w:rFonts w:ascii="Arial" w:eastAsia="DengXian" w:hAnsi="Arial" w:cs="Arial"/>
          <w:bCs/>
        </w:rPr>
        <w:t>,</w:t>
      </w:r>
      <w:r w:rsidR="002869F2" w:rsidRPr="00C1424B">
        <w:rPr>
          <w:rFonts w:ascii="Arial" w:eastAsia="DengXian" w:hAnsi="Arial" w:cs="Arial"/>
          <w:bCs/>
        </w:rPr>
        <w:t xml:space="preserve"> </w:t>
      </w:r>
      <w:proofErr w:type="spellStart"/>
      <w:r w:rsidR="002869F2" w:rsidRPr="00622EB9">
        <w:rPr>
          <w:rFonts w:ascii="Arial" w:eastAsia="DengXian" w:hAnsi="Arial" w:cs="Arial"/>
          <w:bCs/>
        </w:rPr>
        <w:t>NR_newRAT_Core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DE628AA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869F2">
        <w:rPr>
          <w:rFonts w:ascii="Arial" w:hAnsi="Arial" w:cs="Arial"/>
          <w:bCs/>
        </w:rPr>
        <w:t>Qualcomm Incorporated [</w:t>
      </w:r>
      <w:r w:rsidR="007C62E5" w:rsidRPr="00594A75">
        <w:rPr>
          <w:rFonts w:ascii="Arial" w:hAnsi="Arial" w:cs="Arial"/>
          <w:bCs/>
        </w:rPr>
        <w:t>RAN WG2</w:t>
      </w:r>
      <w:r w:rsidR="002869F2">
        <w:rPr>
          <w:rFonts w:ascii="Arial" w:hAnsi="Arial" w:cs="Arial"/>
          <w:bCs/>
        </w:rPr>
        <w:t>]</w:t>
      </w:r>
    </w:p>
    <w:p w14:paraId="0434D635" w14:textId="0DF2A9A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</w:t>
      </w:r>
      <w:r w:rsidR="00E806D0">
        <w:rPr>
          <w:rFonts w:ascii="Arial" w:hAnsi="Arial" w:cs="Arial"/>
          <w:bCs/>
        </w:rPr>
        <w:t>WG</w:t>
      </w:r>
      <w:r w:rsidR="00E806D0">
        <w:rPr>
          <w:rFonts w:ascii="Arial" w:eastAsia="ＭＳ 明朝" w:hAnsi="Arial" w:cs="Arial"/>
          <w:bCs/>
          <w:lang w:eastAsia="ja-JP"/>
        </w:rPr>
        <w:t>1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2D7893DC" w:rsidR="009433B4" w:rsidRPr="002869F2" w:rsidRDefault="003F6DAF" w:rsidP="002869F2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4D26" w:rsidRPr="007D4D26">
        <w:rPr>
          <w:rFonts w:ascii="Arial" w:hAnsi="Arial" w:cs="Arial"/>
          <w:bCs/>
        </w:rPr>
        <w:t>R2-2306878</w:t>
      </w:r>
      <w:r w:rsidR="002869F2" w:rsidRPr="007D4D26">
        <w:rPr>
          <w:rFonts w:ascii="Arial" w:hAnsi="Arial" w:cs="Arial"/>
          <w:bCs/>
        </w:rPr>
        <w:t xml:space="preserve"> (</w:t>
      </w:r>
      <w:r w:rsidR="0021092A" w:rsidRPr="007D4D26">
        <w:rPr>
          <w:rFonts w:ascii="Arial" w:hAnsi="Arial" w:cs="Arial"/>
          <w:bCs/>
        </w:rPr>
        <w:t>CR to TS</w:t>
      </w:r>
      <w:r w:rsidR="002869F2" w:rsidRPr="007D4D26">
        <w:rPr>
          <w:rFonts w:ascii="Arial" w:hAnsi="Arial" w:cs="Arial"/>
        </w:rPr>
        <w:t>38.331)</w:t>
      </w:r>
      <w:r w:rsidR="002869F2" w:rsidRPr="007D4D26">
        <w:rPr>
          <w:rFonts w:ascii="Arial" w:eastAsiaTheme="minorEastAsia" w:hAnsi="Arial" w:cs="Arial" w:hint="eastAsia"/>
          <w:lang w:eastAsia="ja-JP"/>
        </w:rPr>
        <w:t>,</w:t>
      </w:r>
      <w:r w:rsidR="002869F2" w:rsidRPr="007D4D26">
        <w:rPr>
          <w:rFonts w:ascii="Arial" w:eastAsiaTheme="minorEastAsia" w:hAnsi="Arial" w:cs="Arial"/>
          <w:lang w:eastAsia="ja-JP"/>
        </w:rPr>
        <w:t xml:space="preserve"> </w:t>
      </w:r>
      <w:r w:rsidR="007D4D26" w:rsidRPr="007D4D26">
        <w:rPr>
          <w:rFonts w:ascii="Arial" w:hAnsi="Arial" w:cs="Arial"/>
        </w:rPr>
        <w:t>R2-2306879</w:t>
      </w:r>
      <w:r w:rsidR="002869F2" w:rsidRPr="007D4D26">
        <w:rPr>
          <w:rFonts w:ascii="Arial" w:hAnsi="Arial" w:cs="Arial"/>
        </w:rPr>
        <w:t xml:space="preserve"> (</w:t>
      </w:r>
      <w:r w:rsidR="0021092A" w:rsidRPr="007D4D26">
        <w:rPr>
          <w:rFonts w:ascii="Arial" w:hAnsi="Arial" w:cs="Arial"/>
        </w:rPr>
        <w:t>CR to TS</w:t>
      </w:r>
      <w:r w:rsidR="002869F2" w:rsidRPr="007D4D26">
        <w:rPr>
          <w:rFonts w:ascii="Arial" w:hAnsi="Arial" w:cs="Arial"/>
        </w:rPr>
        <w:t>38.306)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6141396E" w14:textId="1B6C26A8" w:rsidR="006A78F9" w:rsidRPr="003E06F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371986" w:rsidRPr="003E06F7">
        <w:rPr>
          <w:rFonts w:eastAsiaTheme="minorEastAsia"/>
          <w:sz w:val="21"/>
          <w:szCs w:val="21"/>
          <w:lang w:eastAsia="ja-JP"/>
        </w:rPr>
        <w:t>would like to thank RAN</w:t>
      </w:r>
      <w:r w:rsidR="002869F2">
        <w:rPr>
          <w:rFonts w:eastAsiaTheme="minorEastAsia"/>
          <w:sz w:val="21"/>
          <w:szCs w:val="21"/>
          <w:lang w:eastAsia="ja-JP"/>
        </w:rPr>
        <w:t>1</w:t>
      </w:r>
      <w:r w:rsidR="00371986" w:rsidRPr="003E06F7">
        <w:rPr>
          <w:rFonts w:eastAsiaTheme="minorEastAsia"/>
          <w:sz w:val="21"/>
          <w:szCs w:val="21"/>
          <w:lang w:eastAsia="ja-JP"/>
        </w:rPr>
        <w:t xml:space="preserve"> for their LS on </w:t>
      </w:r>
      <w:r w:rsidR="002869F2">
        <w:rPr>
          <w:rFonts w:eastAsiaTheme="minorEastAsia"/>
          <w:sz w:val="21"/>
          <w:szCs w:val="21"/>
          <w:lang w:eastAsia="ja-JP"/>
        </w:rPr>
        <w:t>“</w:t>
      </w:r>
      <w:r w:rsidR="002869F2" w:rsidRPr="002869F2">
        <w:rPr>
          <w:rFonts w:eastAsiaTheme="minorEastAsia"/>
          <w:sz w:val="21"/>
          <w:szCs w:val="21"/>
          <w:lang w:eastAsia="ja-JP"/>
        </w:rPr>
        <w:t>introduction of one new RRC parameter and one new UE capability for Rel-17</w:t>
      </w:r>
      <w:r w:rsidR="002869F2">
        <w:rPr>
          <w:rFonts w:eastAsiaTheme="minorEastAsia"/>
          <w:sz w:val="21"/>
          <w:szCs w:val="21"/>
          <w:lang w:eastAsia="ja-JP"/>
        </w:rPr>
        <w:t>”.</w:t>
      </w:r>
    </w:p>
    <w:p w14:paraId="2B5774BF" w14:textId="27838221" w:rsidR="007C62E5" w:rsidRPr="00966EE2" w:rsidRDefault="00580BD9" w:rsidP="00817AB6">
      <w:pPr>
        <w:spacing w:afterLines="50" w:after="120"/>
        <w:rPr>
          <w:sz w:val="21"/>
          <w:szCs w:val="21"/>
        </w:rPr>
      </w:pPr>
      <w:r w:rsidRPr="00966EE2">
        <w:rPr>
          <w:rFonts w:eastAsiaTheme="minorEastAsia"/>
          <w:sz w:val="21"/>
          <w:szCs w:val="21"/>
          <w:lang w:eastAsia="ja-JP"/>
        </w:rPr>
        <w:t xml:space="preserve">RAN2 discussed the attached CRs to TS38.331 and TS38.306, which are agreeable from RAN2’s perspective. </w:t>
      </w:r>
      <w:r w:rsidR="00371986" w:rsidRPr="00966EE2">
        <w:rPr>
          <w:rFonts w:eastAsiaTheme="minorEastAsia"/>
          <w:sz w:val="21"/>
          <w:szCs w:val="21"/>
          <w:lang w:eastAsia="ja-JP"/>
        </w:rPr>
        <w:t xml:space="preserve">RAN2 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would like to </w:t>
      </w:r>
      <w:r w:rsidR="009A4B66" w:rsidRPr="00966EE2">
        <w:rPr>
          <w:rFonts w:eastAsiaTheme="minorEastAsia"/>
          <w:sz w:val="21"/>
          <w:szCs w:val="21"/>
          <w:lang w:eastAsia="ja-JP"/>
        </w:rPr>
        <w:t>check with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 RAN1</w:t>
      </w:r>
      <w:r w:rsidR="007D4EC5" w:rsidRPr="00966EE2">
        <w:rPr>
          <w:rFonts w:eastAsiaTheme="minorEastAsia"/>
          <w:sz w:val="21"/>
          <w:szCs w:val="21"/>
          <w:lang w:eastAsia="ja-JP"/>
        </w:rPr>
        <w:t xml:space="preserve"> </w:t>
      </w:r>
      <w:r w:rsidR="009A4B66" w:rsidRPr="00966EE2">
        <w:rPr>
          <w:rFonts w:eastAsiaTheme="minorEastAsia"/>
          <w:sz w:val="21"/>
          <w:szCs w:val="21"/>
          <w:lang w:eastAsia="ja-JP"/>
        </w:rPr>
        <w:t>whether the description in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 the attached CRs </w:t>
      </w:r>
      <w:proofErr w:type="gramStart"/>
      <w:r w:rsidR="009A4B66" w:rsidRPr="00966EE2">
        <w:rPr>
          <w:rFonts w:eastAsiaTheme="minorEastAsia"/>
          <w:sz w:val="21"/>
          <w:szCs w:val="21"/>
          <w:lang w:eastAsia="ja-JP"/>
        </w:rPr>
        <w:t>are</w:t>
      </w:r>
      <w:proofErr w:type="gramEnd"/>
      <w:r w:rsidR="009A4B66" w:rsidRPr="00966EE2">
        <w:rPr>
          <w:rFonts w:eastAsiaTheme="minorEastAsia"/>
          <w:sz w:val="21"/>
          <w:szCs w:val="21"/>
          <w:lang w:eastAsia="ja-JP"/>
        </w:rPr>
        <w:t xml:space="preserve"> consistent with RAN1 intention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. Please note that RAN2 did not capture the following points in </w:t>
      </w:r>
      <w:r w:rsidR="002869F2" w:rsidRPr="00966EE2">
        <w:rPr>
          <w:sz w:val="21"/>
          <w:szCs w:val="21"/>
        </w:rPr>
        <w:t xml:space="preserve">Note 2 and Note 3 in RAN1 LS in the description of the new RRC parameter, because RAN2 </w:t>
      </w:r>
      <w:r w:rsidR="0021092A" w:rsidRPr="00966EE2">
        <w:rPr>
          <w:sz w:val="21"/>
          <w:szCs w:val="21"/>
        </w:rPr>
        <w:t xml:space="preserve">did not see </w:t>
      </w:r>
      <w:r w:rsidR="002869F2" w:rsidRPr="00966EE2">
        <w:rPr>
          <w:sz w:val="21"/>
          <w:szCs w:val="21"/>
        </w:rPr>
        <w:t xml:space="preserve">those </w:t>
      </w:r>
      <w:r w:rsidR="006F7FB1" w:rsidRPr="00966EE2">
        <w:rPr>
          <w:sz w:val="21"/>
          <w:szCs w:val="21"/>
        </w:rPr>
        <w:t xml:space="preserve">descriptions </w:t>
      </w:r>
      <w:r w:rsidR="002869F2" w:rsidRPr="00966EE2">
        <w:rPr>
          <w:sz w:val="21"/>
          <w:szCs w:val="21"/>
        </w:rPr>
        <w:t>fit in the RRC specification</w:t>
      </w:r>
      <w:r w:rsidR="0021092A" w:rsidRPr="00966EE2">
        <w:rPr>
          <w:sz w:val="21"/>
          <w:szCs w:val="21"/>
        </w:rPr>
        <w:t xml:space="preserve"> very well</w:t>
      </w:r>
      <w:r w:rsidR="006F7FB1" w:rsidRPr="00966EE2">
        <w:rPr>
          <w:sz w:val="21"/>
          <w:szCs w:val="21"/>
        </w:rPr>
        <w:t>.</w:t>
      </w:r>
    </w:p>
    <w:p w14:paraId="11D998FB" w14:textId="21BD7882" w:rsidR="00E808C4" w:rsidRPr="00E808C4" w:rsidRDefault="00E808C4" w:rsidP="00E808C4">
      <w:pPr>
        <w:pStyle w:val="ListParagraph"/>
        <w:numPr>
          <w:ilvl w:val="0"/>
          <w:numId w:val="37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From </w:t>
      </w:r>
      <w:r w:rsidRPr="00E808C4">
        <w:rPr>
          <w:rFonts w:eastAsiaTheme="minorEastAsia"/>
          <w:sz w:val="21"/>
          <w:szCs w:val="21"/>
          <w:lang w:eastAsia="ja-JP"/>
        </w:rPr>
        <w:t xml:space="preserve">Note 2: </w:t>
      </w:r>
      <w:r>
        <w:rPr>
          <w:rFonts w:eastAsiaTheme="minorEastAsia"/>
          <w:sz w:val="21"/>
          <w:szCs w:val="21"/>
          <w:lang w:eastAsia="ja-JP"/>
        </w:rPr>
        <w:t>“</w:t>
      </w:r>
      <w:r w:rsidRPr="00E808C4">
        <w:rPr>
          <w:rFonts w:eastAsiaTheme="minorEastAsia"/>
          <w:i/>
          <w:iCs/>
          <w:sz w:val="21"/>
          <w:szCs w:val="21"/>
          <w:lang w:eastAsia="ja-JP"/>
        </w:rPr>
        <w:t>This new RRC parameter does not impose a general scheduling restriction on number of PDSCHs that can be received by the UE in a slot beyond the impact on Type 1 HARQ-ACK codebook generation in 38.213 Section 9.1.2.1</w:t>
      </w:r>
      <w:r w:rsidRPr="00E808C4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>”</w:t>
      </w:r>
    </w:p>
    <w:p w14:paraId="753D9270" w14:textId="57B34B09" w:rsidR="002869F2" w:rsidRPr="00E808C4" w:rsidRDefault="00E808C4" w:rsidP="00E808C4">
      <w:pPr>
        <w:pStyle w:val="ListParagraph"/>
        <w:numPr>
          <w:ilvl w:val="0"/>
          <w:numId w:val="37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From </w:t>
      </w:r>
      <w:r w:rsidRPr="00E808C4">
        <w:rPr>
          <w:rFonts w:eastAsiaTheme="minorEastAsia"/>
          <w:sz w:val="21"/>
          <w:szCs w:val="21"/>
          <w:lang w:eastAsia="ja-JP"/>
        </w:rPr>
        <w:t xml:space="preserve">Note 3: </w:t>
      </w:r>
      <w:r>
        <w:rPr>
          <w:rFonts w:eastAsiaTheme="minorEastAsia"/>
          <w:sz w:val="21"/>
          <w:szCs w:val="21"/>
          <w:lang w:eastAsia="ja-JP"/>
        </w:rPr>
        <w:t>“</w:t>
      </w:r>
      <w:r w:rsidRPr="00E808C4">
        <w:rPr>
          <w:rFonts w:eastAsiaTheme="minorEastAsia"/>
          <w:i/>
          <w:iCs/>
          <w:sz w:val="21"/>
          <w:szCs w:val="21"/>
          <w:lang w:eastAsia="ja-JP"/>
        </w:rPr>
        <w:t>It does not impose a restriction on the number of PDSCHs that can be received per slot, if their HARQ-ACK’s are not reported in the same PUCCH resource in the same slot</w:t>
      </w:r>
      <w:r w:rsidRPr="00E808C4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>”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2AAD084C" w14:textId="2F216BC7" w:rsidR="003F6DAF" w:rsidRPr="009B41B0" w:rsidRDefault="003F6DAF" w:rsidP="00732EA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</w:t>
      </w:r>
      <w:r w:rsidR="00732EA3">
        <w:rPr>
          <w:rFonts w:ascii="Arial" w:eastAsia="游明朝" w:hAnsi="Arial" w:cs="Arial"/>
          <w:b/>
          <w:lang w:eastAsia="en-GB"/>
        </w:rPr>
        <w:t>1</w:t>
      </w:r>
      <w:r w:rsidRPr="003F6DAF">
        <w:rPr>
          <w:rFonts w:ascii="Arial" w:eastAsia="游明朝" w:hAnsi="Arial" w:cs="Arial"/>
          <w:b/>
          <w:lang w:eastAsia="en-GB"/>
        </w:rPr>
        <w:t>ACTION:</w:t>
      </w:r>
      <w:r w:rsidR="001C39A2">
        <w:rPr>
          <w:rFonts w:ascii="Arial" w:eastAsia="游明朝" w:hAnsi="Arial" w:cs="Arial"/>
          <w:b/>
          <w:lang w:eastAsia="en-GB"/>
        </w:rPr>
        <w:tab/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E806D0">
        <w:rPr>
          <w:rFonts w:eastAsiaTheme="minorEastAsia"/>
          <w:sz w:val="21"/>
          <w:szCs w:val="21"/>
          <w:lang w:eastAsia="ja-JP"/>
        </w:rPr>
        <w:t>RAN1</w:t>
      </w:r>
      <w:r w:rsidR="00BA3253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to</w:t>
      </w:r>
      <w:r w:rsidR="00E808C4">
        <w:rPr>
          <w:rFonts w:eastAsiaTheme="minorEastAsia"/>
          <w:sz w:val="21"/>
          <w:szCs w:val="21"/>
          <w:lang w:eastAsia="ja-JP"/>
        </w:rPr>
        <w:t xml:space="preserve"> take the </w:t>
      </w:r>
      <w:r w:rsidR="00E806D0">
        <w:rPr>
          <w:rFonts w:eastAsiaTheme="minorEastAsia"/>
          <w:sz w:val="21"/>
          <w:szCs w:val="21"/>
          <w:lang w:eastAsia="ja-JP"/>
        </w:rPr>
        <w:t xml:space="preserve">information in this LS </w:t>
      </w:r>
      <w:r w:rsidR="00E808C4">
        <w:rPr>
          <w:rFonts w:eastAsiaTheme="minorEastAsia"/>
          <w:sz w:val="21"/>
          <w:szCs w:val="21"/>
          <w:lang w:eastAsia="ja-JP"/>
        </w:rPr>
        <w:t xml:space="preserve">into </w:t>
      </w:r>
      <w:proofErr w:type="gramStart"/>
      <w:r w:rsidR="00E808C4">
        <w:rPr>
          <w:rFonts w:eastAsiaTheme="minorEastAsia"/>
          <w:sz w:val="21"/>
          <w:szCs w:val="21"/>
          <w:lang w:eastAsia="ja-JP"/>
        </w:rPr>
        <w:t>account</w:t>
      </w:r>
      <w:r w:rsidR="009A4B66">
        <w:rPr>
          <w:rFonts w:eastAsiaTheme="minorEastAsia"/>
          <w:sz w:val="21"/>
          <w:szCs w:val="21"/>
          <w:lang w:eastAsia="ja-JP"/>
        </w:rPr>
        <w:t>,</w:t>
      </w:r>
      <w:r w:rsidR="009A4B66" w:rsidRP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>
        <w:rPr>
          <w:rFonts w:eastAsiaTheme="minorEastAsia"/>
          <w:sz w:val="21"/>
          <w:szCs w:val="21"/>
          <w:lang w:eastAsia="ja-JP"/>
        </w:rPr>
        <w:t>and</w:t>
      </w:r>
      <w:proofErr w:type="gramEnd"/>
      <w:r w:rsid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 w:rsidRPr="007B1C42">
        <w:rPr>
          <w:rFonts w:eastAsiaTheme="minorEastAsia"/>
          <w:sz w:val="21"/>
          <w:szCs w:val="21"/>
          <w:lang w:eastAsia="ja-JP"/>
        </w:rPr>
        <w:t>provide feedback</w:t>
      </w:r>
      <w:r w:rsidR="00E808C4">
        <w:rPr>
          <w:rFonts w:eastAsiaTheme="minorEastAsia"/>
          <w:sz w:val="21"/>
          <w:szCs w:val="21"/>
          <w:lang w:eastAsia="ja-JP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游明朝" w:hAnsi="Arial"/>
          <w:sz w:val="36"/>
          <w:szCs w:val="36"/>
          <w:lang w:eastAsia="en-GB"/>
        </w:rPr>
        <w:t>meetings</w:t>
      </w:r>
      <w:proofErr w:type="gramEnd"/>
    </w:p>
    <w:p w14:paraId="16A6EED0" w14:textId="50637CE6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D02BB0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 xml:space="preserve"> – 2</w:t>
      </w:r>
      <w:r w:rsidR="007D4D26"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D02BB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Toulouse</w:t>
      </w:r>
      <w:r w:rsidR="003559FE">
        <w:rPr>
          <w:rFonts w:ascii="Arial" w:eastAsia="ＭＳ 明朝" w:hAnsi="Arial" w:cs="Arial"/>
          <w:bCs/>
          <w:lang w:eastAsia="ja-JP"/>
        </w:rPr>
        <w:t>, France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7CF7" w14:textId="77777777" w:rsidR="001645B9" w:rsidRDefault="001645B9">
      <w:r>
        <w:separator/>
      </w:r>
    </w:p>
  </w:endnote>
  <w:endnote w:type="continuationSeparator" w:id="0">
    <w:p w14:paraId="31B7DE7E" w14:textId="77777777" w:rsidR="001645B9" w:rsidRDefault="0016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0D547" w14:textId="77777777" w:rsidR="001645B9" w:rsidRDefault="001645B9">
      <w:r>
        <w:separator/>
      </w:r>
    </w:p>
  </w:footnote>
  <w:footnote w:type="continuationSeparator" w:id="0">
    <w:p w14:paraId="1E571686" w14:textId="77777777" w:rsidR="001645B9" w:rsidRDefault="0016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878616410">
    <w:abstractNumId w:val="31"/>
  </w:num>
  <w:num w:numId="2" w16cid:durableId="575474778">
    <w:abstractNumId w:val="16"/>
  </w:num>
  <w:num w:numId="3" w16cid:durableId="1215658664">
    <w:abstractNumId w:val="25"/>
  </w:num>
  <w:num w:numId="4" w16cid:durableId="450979104">
    <w:abstractNumId w:val="28"/>
  </w:num>
  <w:num w:numId="5" w16cid:durableId="1462260775">
    <w:abstractNumId w:val="3"/>
  </w:num>
  <w:num w:numId="6" w16cid:durableId="1363019324">
    <w:abstractNumId w:val="17"/>
  </w:num>
  <w:num w:numId="7" w16cid:durableId="455565793">
    <w:abstractNumId w:val="8"/>
  </w:num>
  <w:num w:numId="8" w16cid:durableId="1964533911">
    <w:abstractNumId w:val="2"/>
  </w:num>
  <w:num w:numId="9" w16cid:durableId="758137620">
    <w:abstractNumId w:val="29"/>
  </w:num>
  <w:num w:numId="10" w16cid:durableId="228200921">
    <w:abstractNumId w:val="7"/>
  </w:num>
  <w:num w:numId="11" w16cid:durableId="1267688363">
    <w:abstractNumId w:val="14"/>
  </w:num>
  <w:num w:numId="12" w16cid:durableId="1271279723">
    <w:abstractNumId w:val="12"/>
  </w:num>
  <w:num w:numId="13" w16cid:durableId="1858763505">
    <w:abstractNumId w:val="20"/>
  </w:num>
  <w:num w:numId="14" w16cid:durableId="1358971430">
    <w:abstractNumId w:val="23"/>
  </w:num>
  <w:num w:numId="15" w16cid:durableId="2089375319">
    <w:abstractNumId w:val="24"/>
  </w:num>
  <w:num w:numId="16" w16cid:durableId="1058867138">
    <w:abstractNumId w:val="5"/>
  </w:num>
  <w:num w:numId="17" w16cid:durableId="336158743">
    <w:abstractNumId w:val="6"/>
  </w:num>
  <w:num w:numId="18" w16cid:durableId="460271349">
    <w:abstractNumId w:val="18"/>
  </w:num>
  <w:num w:numId="19" w16cid:durableId="468205061">
    <w:abstractNumId w:val="1"/>
  </w:num>
  <w:num w:numId="20" w16cid:durableId="1450127430">
    <w:abstractNumId w:val="21"/>
  </w:num>
  <w:num w:numId="21" w16cid:durableId="1571845746">
    <w:abstractNumId w:val="9"/>
  </w:num>
  <w:num w:numId="22" w16cid:durableId="623081127">
    <w:abstractNumId w:val="15"/>
  </w:num>
  <w:num w:numId="23" w16cid:durableId="1797095233">
    <w:abstractNumId w:val="0"/>
  </w:num>
  <w:num w:numId="24" w16cid:durableId="1755321134">
    <w:abstractNumId w:val="22"/>
  </w:num>
  <w:num w:numId="25" w16cid:durableId="82579318">
    <w:abstractNumId w:val="19"/>
  </w:num>
  <w:num w:numId="26" w16cid:durableId="220411895">
    <w:abstractNumId w:val="35"/>
  </w:num>
  <w:num w:numId="27" w16cid:durableId="60637725">
    <w:abstractNumId w:val="35"/>
  </w:num>
  <w:num w:numId="28" w16cid:durableId="792358477">
    <w:abstractNumId w:val="33"/>
  </w:num>
  <w:num w:numId="29" w16cid:durableId="605772595">
    <w:abstractNumId w:val="34"/>
  </w:num>
  <w:num w:numId="30" w16cid:durableId="540214292">
    <w:abstractNumId w:val="10"/>
  </w:num>
  <w:num w:numId="31" w16cid:durableId="1139038045">
    <w:abstractNumId w:val="32"/>
  </w:num>
  <w:num w:numId="32" w16cid:durableId="739668837">
    <w:abstractNumId w:val="11"/>
  </w:num>
  <w:num w:numId="33" w16cid:durableId="1812669535">
    <w:abstractNumId w:val="26"/>
  </w:num>
  <w:num w:numId="34" w16cid:durableId="651107656">
    <w:abstractNumId w:val="27"/>
  </w:num>
  <w:num w:numId="35" w16cid:durableId="1470782119">
    <w:abstractNumId w:val="13"/>
  </w:num>
  <w:num w:numId="36" w16cid:durableId="962659599">
    <w:abstractNumId w:val="4"/>
  </w:num>
  <w:num w:numId="37" w16cid:durableId="1591310008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QUAP7zUUC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648B"/>
    <w:rsid w:val="000179D3"/>
    <w:rsid w:val="00017C8D"/>
    <w:rsid w:val="00021B00"/>
    <w:rsid w:val="00021FEE"/>
    <w:rsid w:val="00025FD5"/>
    <w:rsid w:val="000307D1"/>
    <w:rsid w:val="000317A4"/>
    <w:rsid w:val="00031E98"/>
    <w:rsid w:val="00033077"/>
    <w:rsid w:val="0003338C"/>
    <w:rsid w:val="000340B1"/>
    <w:rsid w:val="000376B3"/>
    <w:rsid w:val="00037B31"/>
    <w:rsid w:val="000410B6"/>
    <w:rsid w:val="00041E53"/>
    <w:rsid w:val="00042373"/>
    <w:rsid w:val="00042872"/>
    <w:rsid w:val="00043194"/>
    <w:rsid w:val="00044469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45B9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092A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69F2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2C35"/>
    <w:rsid w:val="003D3E2D"/>
    <w:rsid w:val="003D4506"/>
    <w:rsid w:val="003D483B"/>
    <w:rsid w:val="003D653D"/>
    <w:rsid w:val="003E06F7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AF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6D54"/>
    <w:rsid w:val="00557558"/>
    <w:rsid w:val="00557976"/>
    <w:rsid w:val="00566841"/>
    <w:rsid w:val="00567EE9"/>
    <w:rsid w:val="00571853"/>
    <w:rsid w:val="0057223E"/>
    <w:rsid w:val="00576D55"/>
    <w:rsid w:val="0058039E"/>
    <w:rsid w:val="00580BD9"/>
    <w:rsid w:val="00583D43"/>
    <w:rsid w:val="00585C9C"/>
    <w:rsid w:val="00586207"/>
    <w:rsid w:val="00590E8D"/>
    <w:rsid w:val="00590FE0"/>
    <w:rsid w:val="005917DE"/>
    <w:rsid w:val="00594A75"/>
    <w:rsid w:val="00595289"/>
    <w:rsid w:val="00595537"/>
    <w:rsid w:val="005A0206"/>
    <w:rsid w:val="005A13D0"/>
    <w:rsid w:val="005A5644"/>
    <w:rsid w:val="005A6C01"/>
    <w:rsid w:val="005A78FA"/>
    <w:rsid w:val="005B0797"/>
    <w:rsid w:val="005B6A11"/>
    <w:rsid w:val="005B6F2B"/>
    <w:rsid w:val="005C0083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06F1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9C6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6F7FB1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4606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2EA3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4D26"/>
    <w:rsid w:val="007D4EC5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161E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4F91"/>
    <w:rsid w:val="008A57E6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5F48"/>
    <w:rsid w:val="008E707C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1576B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66EE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A4B66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34F"/>
    <w:rsid w:val="00A27584"/>
    <w:rsid w:val="00A307E6"/>
    <w:rsid w:val="00A33F84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65254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2196"/>
    <w:rsid w:val="00B321A7"/>
    <w:rsid w:val="00B33AD4"/>
    <w:rsid w:val="00B33E0B"/>
    <w:rsid w:val="00B34F0A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B1F"/>
    <w:rsid w:val="00B92D26"/>
    <w:rsid w:val="00B92DA5"/>
    <w:rsid w:val="00B97671"/>
    <w:rsid w:val="00B97D1A"/>
    <w:rsid w:val="00BA01BE"/>
    <w:rsid w:val="00BA029E"/>
    <w:rsid w:val="00BA3253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0E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67E0F"/>
    <w:rsid w:val="00C70ACA"/>
    <w:rsid w:val="00C70CF7"/>
    <w:rsid w:val="00C7234D"/>
    <w:rsid w:val="00C744E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D017F3"/>
    <w:rsid w:val="00D02BB0"/>
    <w:rsid w:val="00D044D7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B0398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36F2F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6D0"/>
    <w:rsid w:val="00E808C4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75F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21A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47E1"/>
    <w:rsid w:val="00FA5259"/>
    <w:rsid w:val="00FA62B9"/>
    <w:rsid w:val="00FA7B43"/>
    <w:rsid w:val="00FB09DA"/>
    <w:rsid w:val="00FB7753"/>
    <w:rsid w:val="00FC2A78"/>
    <w:rsid w:val="00FC2FBC"/>
    <w:rsid w:val="00FC5992"/>
    <w:rsid w:val="00FD3894"/>
    <w:rsid w:val="00FD539C"/>
    <w:rsid w:val="00FE099A"/>
    <w:rsid w:val="00FE143C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12479C-BE98-4E6A-AC6A-66612D67E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11</cp:revision>
  <cp:lastPrinted>2002-04-23T00:10:00Z</cp:lastPrinted>
  <dcterms:created xsi:type="dcterms:W3CDTF">2023-05-25T08:45:00Z</dcterms:created>
  <dcterms:modified xsi:type="dcterms:W3CDTF">2023-05-26T01:57:00Z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1684503865</vt:lpwstr>
  </property>
</Properties>
</file>