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85F" w:rsidRDefault="00F8785F" w:rsidP="00F8785F">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2</w:t>
      </w:r>
      <w:r>
        <w:rPr>
          <w:rFonts w:eastAsia="宋体"/>
          <w:b/>
          <w:szCs w:val="22"/>
          <w:lang w:val="en-US" w:eastAsia="zh-CN" w:bidi="ar"/>
        </w:rPr>
        <w:tab/>
        <w:t>R2-2306306</w:t>
      </w:r>
    </w:p>
    <w:p w:rsidR="00F8785F" w:rsidRDefault="00F8785F" w:rsidP="00F8785F">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 xml:space="preserve">Inchon </w:t>
      </w:r>
      <w:r>
        <w:rPr>
          <w:rFonts w:eastAsia="宋体"/>
          <w:b/>
          <w:szCs w:val="22"/>
          <w:lang w:val="en-US" w:eastAsia="zh-CN" w:bidi="ar"/>
        </w:rPr>
        <w:t>Korea</w:t>
      </w:r>
      <w:r>
        <w:rPr>
          <w:rFonts w:eastAsia="宋体" w:hint="eastAsia"/>
          <w:b/>
          <w:szCs w:val="22"/>
          <w:lang w:val="en-US" w:eastAsia="zh-CN" w:bidi="ar"/>
        </w:rPr>
        <w:t xml:space="preserve"> 22th -26th </w:t>
      </w:r>
      <w:r>
        <w:rPr>
          <w:rFonts w:eastAsia="宋体"/>
          <w:b/>
          <w:szCs w:val="22"/>
          <w:lang w:val="en-US" w:eastAsia="zh-CN" w:bidi="ar"/>
        </w:rPr>
        <w:t>M</w:t>
      </w:r>
      <w:r>
        <w:rPr>
          <w:rFonts w:eastAsia="宋体" w:hint="eastAsia"/>
          <w:b/>
          <w:szCs w:val="22"/>
          <w:lang w:val="en-US" w:eastAsia="zh-CN" w:bidi="ar"/>
        </w:rPr>
        <w:t>ay</w:t>
      </w:r>
      <w:r>
        <w:rPr>
          <w:rFonts w:eastAsia="宋体"/>
          <w:b/>
          <w:szCs w:val="22"/>
          <w:lang w:val="en-US" w:eastAsia="zh-CN" w:bidi="ar"/>
        </w:rPr>
        <w:t>, 2023</w:t>
      </w:r>
    </w:p>
    <w:p w:rsidR="00505C19" w:rsidRPr="00F8785F" w:rsidRDefault="00505C19" w:rsidP="00F8785F">
      <w:pPr>
        <w:pStyle w:val="af3"/>
        <w:tabs>
          <w:tab w:val="right" w:pos="9645"/>
        </w:tabs>
        <w:spacing w:before="0" w:beforeAutospacing="0" w:after="0" w:afterAutospacing="0"/>
        <w:jc w:val="both"/>
        <w:rPr>
          <w:b/>
          <w:bCs/>
          <w:lang w:val="en-US"/>
        </w:rPr>
      </w:pPr>
    </w:p>
    <w:p w:rsidR="00F8785F" w:rsidRPr="00F8785F" w:rsidRDefault="00F8785F" w:rsidP="00F8785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sidRPr="00F8785F">
        <w:rPr>
          <w:rFonts w:ascii="Arial" w:hAnsi="Arial" w:cs="Arial"/>
          <w:b/>
          <w:bCs/>
          <w:snapToGrid w:val="0"/>
          <w:kern w:val="0"/>
          <w:sz w:val="24"/>
        </w:rPr>
        <w:t xml:space="preserve">Source: </w:t>
      </w:r>
      <w:r w:rsidRPr="00F8785F">
        <w:rPr>
          <w:rFonts w:ascii="Arial" w:hAnsi="Arial" w:cs="Arial"/>
          <w:b/>
          <w:bCs/>
          <w:snapToGrid w:val="0"/>
          <w:kern w:val="0"/>
          <w:sz w:val="24"/>
        </w:rPr>
        <w:tab/>
      </w:r>
      <w:r w:rsidRPr="00F8785F">
        <w:rPr>
          <w:rFonts w:ascii="Arial" w:hAnsi="Arial" w:cs="Arial"/>
          <w:b/>
          <w:bCs/>
          <w:snapToGrid w:val="0"/>
          <w:kern w:val="0"/>
          <w:sz w:val="24"/>
        </w:rPr>
        <w:tab/>
      </w:r>
      <w:r w:rsidRPr="00F8785F">
        <w:rPr>
          <w:rFonts w:ascii="Arial" w:hAnsi="Arial" w:cs="Arial" w:hint="eastAsia"/>
          <w:b/>
          <w:bCs/>
          <w:snapToGrid w:val="0"/>
          <w:kern w:val="0"/>
          <w:sz w:val="24"/>
        </w:rPr>
        <w:t xml:space="preserve">   </w:t>
      </w:r>
      <w:r w:rsidRPr="00F8785F">
        <w:rPr>
          <w:rFonts w:ascii="Arial" w:hAnsi="Arial" w:cs="Arial"/>
          <w:b/>
          <w:bCs/>
          <w:snapToGrid w:val="0"/>
          <w:kern w:val="0"/>
          <w:sz w:val="24"/>
        </w:rPr>
        <w:t>ZTE Corporation</w:t>
      </w:r>
      <w:r w:rsidRPr="00F8785F">
        <w:rPr>
          <w:rFonts w:ascii="Arial" w:hAnsi="Arial" w:cs="Arial" w:hint="eastAsia"/>
          <w:b/>
          <w:bCs/>
          <w:snapToGrid w:val="0"/>
          <w:kern w:val="0"/>
          <w:sz w:val="24"/>
        </w:rPr>
        <w:t>, Sanechips</w:t>
      </w:r>
    </w:p>
    <w:p w:rsidR="00F8785F" w:rsidRPr="00F8785F" w:rsidRDefault="00F8785F" w:rsidP="00F8785F">
      <w:pPr>
        <w:jc w:val="left"/>
        <w:rPr>
          <w:rFonts w:ascii="Arial" w:hAnsi="Arial"/>
          <w:color w:val="000000"/>
          <w:sz w:val="16"/>
        </w:rPr>
      </w:pPr>
      <w:r w:rsidRPr="00F8785F">
        <w:rPr>
          <w:rFonts w:ascii="Arial" w:hAnsi="Arial" w:cs="Arial"/>
          <w:b/>
          <w:bCs/>
          <w:snapToGrid w:val="0"/>
          <w:kern w:val="0"/>
          <w:sz w:val="24"/>
        </w:rPr>
        <w:t xml:space="preserve">Title: </w:t>
      </w:r>
      <w:r w:rsidRPr="00F8785F">
        <w:rPr>
          <w:rFonts w:ascii="Arial" w:hAnsi="Arial" w:cs="Arial" w:hint="eastAsia"/>
          <w:b/>
          <w:bCs/>
          <w:snapToGrid w:val="0"/>
          <w:kern w:val="0"/>
          <w:sz w:val="24"/>
        </w:rPr>
        <w:t xml:space="preserve">    </w:t>
      </w:r>
      <w:r>
        <w:rPr>
          <w:rFonts w:ascii="Arial" w:hAnsi="Arial" w:cs="Arial" w:hint="eastAsia"/>
          <w:b/>
          <w:bCs/>
          <w:snapToGrid w:val="0"/>
          <w:kern w:val="0"/>
          <w:sz w:val="24"/>
        </w:rPr>
        <w:t xml:space="preserve">       Remaining issues on the </w:t>
      </w:r>
      <w:r>
        <w:rPr>
          <w:rFonts w:ascii="Arial" w:hAnsi="Arial" w:cs="Arial"/>
          <w:b/>
          <w:bCs/>
          <w:snapToGrid w:val="0"/>
          <w:kern w:val="0"/>
          <w:sz w:val="24"/>
        </w:rPr>
        <w:t>T</w:t>
      </w:r>
      <w:r w:rsidRPr="00F8785F">
        <w:rPr>
          <w:rFonts w:ascii="Arial" w:hAnsi="Arial" w:cs="Arial" w:hint="eastAsia"/>
          <w:b/>
          <w:bCs/>
          <w:snapToGrid w:val="0"/>
          <w:kern w:val="0"/>
          <w:sz w:val="24"/>
        </w:rPr>
        <w:t>DM Solutions</w:t>
      </w:r>
      <w:r>
        <w:rPr>
          <w:rFonts w:ascii="Arial" w:hAnsi="Arial" w:cs="Arial"/>
          <w:b/>
          <w:bCs/>
          <w:snapToGrid w:val="0"/>
          <w:kern w:val="0"/>
          <w:sz w:val="24"/>
        </w:rPr>
        <w:t xml:space="preserve"> </w:t>
      </w:r>
      <w:r w:rsidRPr="00F8785F">
        <w:rPr>
          <w:rFonts w:ascii="Arial" w:hAnsi="Arial" w:cs="Arial" w:hint="eastAsia"/>
          <w:b/>
          <w:bCs/>
          <w:snapToGrid w:val="0"/>
          <w:kern w:val="0"/>
          <w:sz w:val="24"/>
        </w:rPr>
        <w:t>Enhancement</w:t>
      </w:r>
    </w:p>
    <w:p w:rsidR="00F8785F" w:rsidRPr="00F8785F" w:rsidRDefault="00F8785F" w:rsidP="00F8785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sidRPr="00F8785F">
        <w:rPr>
          <w:rFonts w:ascii="Arial" w:hAnsi="Arial" w:cs="Arial"/>
          <w:b/>
          <w:bCs/>
          <w:snapToGrid w:val="0"/>
          <w:kern w:val="0"/>
          <w:sz w:val="24"/>
        </w:rPr>
        <w:t>Agenda item:</w:t>
      </w:r>
      <w:r w:rsidRPr="00F8785F">
        <w:rPr>
          <w:rFonts w:ascii="Arial" w:hAnsi="Arial" w:cs="Arial"/>
          <w:b/>
          <w:bCs/>
          <w:snapToGrid w:val="0"/>
          <w:kern w:val="0"/>
          <w:sz w:val="24"/>
        </w:rPr>
        <w:tab/>
      </w:r>
      <w:bookmarkStart w:id="0" w:name="Source"/>
      <w:bookmarkEnd w:id="0"/>
      <w:r>
        <w:rPr>
          <w:rFonts w:ascii="Arial" w:hAnsi="Arial" w:cs="Arial"/>
          <w:b/>
          <w:bCs/>
          <w:snapToGrid w:val="0"/>
          <w:kern w:val="0"/>
          <w:sz w:val="24"/>
        </w:rPr>
        <w:t xml:space="preserve">   </w:t>
      </w:r>
      <w:r w:rsidRPr="00F8785F">
        <w:rPr>
          <w:rFonts w:ascii="Arial" w:hAnsi="Arial" w:cs="Arial" w:hint="eastAsia"/>
          <w:b/>
          <w:bCs/>
          <w:snapToGrid w:val="0"/>
          <w:kern w:val="0"/>
          <w:sz w:val="24"/>
        </w:rPr>
        <w:t>7</w:t>
      </w:r>
      <w:r>
        <w:rPr>
          <w:rFonts w:ascii="Arial" w:hAnsi="Arial" w:cs="Arial"/>
          <w:b/>
          <w:bCs/>
          <w:snapToGrid w:val="0"/>
          <w:kern w:val="0"/>
          <w:sz w:val="24"/>
        </w:rPr>
        <w:t>.10.3</w:t>
      </w:r>
    </w:p>
    <w:p w:rsidR="00F8785F" w:rsidRPr="00F8785F" w:rsidRDefault="00F8785F" w:rsidP="00F8785F">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sidRPr="00F8785F">
        <w:rPr>
          <w:rFonts w:ascii="Arial" w:hAnsi="Arial" w:cs="Arial"/>
          <w:b/>
          <w:bCs/>
          <w:snapToGrid w:val="0"/>
          <w:kern w:val="0"/>
          <w:sz w:val="24"/>
        </w:rPr>
        <w:t>Document for:</w:t>
      </w:r>
      <w:bookmarkStart w:id="1" w:name="DocumentFor"/>
      <w:bookmarkEnd w:id="1"/>
      <w:r w:rsidRPr="00F8785F">
        <w:rPr>
          <w:rFonts w:ascii="Arial" w:hAnsi="Arial" w:cs="Arial" w:hint="eastAsia"/>
          <w:b/>
          <w:bCs/>
          <w:snapToGrid w:val="0"/>
          <w:kern w:val="0"/>
          <w:sz w:val="24"/>
        </w:rPr>
        <w:t xml:space="preserve"> </w:t>
      </w:r>
      <w:r w:rsidRPr="00F8785F">
        <w:rPr>
          <w:rFonts w:ascii="Arial" w:hAnsi="Arial" w:cs="Arial"/>
          <w:b/>
          <w:bCs/>
          <w:snapToGrid w:val="0"/>
          <w:kern w:val="0"/>
          <w:sz w:val="24"/>
        </w:rPr>
        <w:tab/>
        <w:t>Discussion</w:t>
      </w:r>
      <w:r w:rsidRPr="00F8785F">
        <w:rPr>
          <w:rFonts w:ascii="Arial" w:hAnsi="Arial" w:cs="Arial" w:hint="eastAsia"/>
          <w:b/>
          <w:bCs/>
          <w:snapToGrid w:val="0"/>
          <w:kern w:val="0"/>
          <w:sz w:val="24"/>
        </w:rPr>
        <w:t xml:space="preserve"> and Decision</w:t>
      </w:r>
    </w:p>
    <w:p w:rsidR="00505C19" w:rsidRDefault="00F25D1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505C19" w:rsidRDefault="00F25D12">
      <w:r>
        <w:rPr>
          <w:rFonts w:hint="eastAsia"/>
        </w:rPr>
        <w:t xml:space="preserve">In the offline discussion of [Post121][655][IDC] Discussion on Leftover issues for IDC (xiaomi), several topics were discussed for the TDM solutions and companies have different views on the questions below: </w:t>
      </w:r>
    </w:p>
    <w:tbl>
      <w:tblPr>
        <w:tblStyle w:val="af5"/>
        <w:tblW w:w="0" w:type="auto"/>
        <w:tblLook w:val="04A0" w:firstRow="1" w:lastRow="0" w:firstColumn="1" w:lastColumn="0" w:noHBand="0" w:noVBand="1"/>
      </w:tblPr>
      <w:tblGrid>
        <w:gridCol w:w="9771"/>
      </w:tblGrid>
      <w:tr w:rsidR="00505C19">
        <w:tc>
          <w:tcPr>
            <w:tcW w:w="9997" w:type="dxa"/>
          </w:tcPr>
          <w:p w:rsidR="00505C19" w:rsidRDefault="00F25D12">
            <w:r>
              <w:rPr>
                <w:rFonts w:hint="eastAsia"/>
              </w:rPr>
              <w:t>Question 3: Do you think that the UE sums up the denied UL slots together across all CC(s) in the CG?</w:t>
            </w:r>
          </w:p>
          <w:p w:rsidR="00505C19" w:rsidRDefault="00F25D12">
            <w:r>
              <w:rPr>
                <w:rFonts w:hint="eastAsia"/>
              </w:rPr>
              <w:t>Question 6: Do you think that FDM configuration and TDM configuration can be configured independently?</w:t>
            </w:r>
          </w:p>
        </w:tc>
      </w:tr>
    </w:tbl>
    <w:p w:rsidR="00505C19" w:rsidRDefault="00F25D12">
      <w:r>
        <w:rPr>
          <w:rFonts w:hint="eastAsia"/>
        </w:rPr>
        <w:t>In this paper, we share our views on these 2 topics.</w:t>
      </w:r>
    </w:p>
    <w:p w:rsidR="00505C19" w:rsidRDefault="00F25D1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505C19" w:rsidRDefault="00F25D12">
      <w:pPr>
        <w:pStyle w:val="2"/>
        <w:ind w:left="0" w:firstLine="0"/>
        <w:rPr>
          <w:rFonts w:ascii="Times New Roman" w:eastAsia="宋体" w:hAnsi="Times New Roman"/>
          <w:lang w:val="en-US"/>
        </w:rPr>
      </w:pPr>
      <w:r>
        <w:rPr>
          <w:rFonts w:ascii="Times New Roman" w:hAnsi="Times New Roman" w:hint="eastAsia"/>
          <w:lang w:val="en-US"/>
        </w:rPr>
        <w:t>2.</w:t>
      </w:r>
      <w:r>
        <w:rPr>
          <w:rFonts w:ascii="Times New Roman" w:eastAsia="宋体" w:hAnsi="Times New Roman" w:hint="eastAsia"/>
          <w:lang w:val="en-US"/>
        </w:rPr>
        <w:t>1</w:t>
      </w:r>
      <w:r>
        <w:rPr>
          <w:rFonts w:ascii="Times New Roman" w:hAnsi="Times New Roman" w:hint="eastAsia"/>
          <w:lang w:val="en-US"/>
        </w:rPr>
        <w:t xml:space="preserve"> </w:t>
      </w:r>
      <w:r>
        <w:rPr>
          <w:rFonts w:ascii="Times New Roman" w:eastAsia="宋体" w:hAnsi="Times New Roman" w:hint="eastAsia"/>
          <w:lang w:val="en-US"/>
        </w:rPr>
        <w:t>Autonomous Denial</w:t>
      </w:r>
    </w:p>
    <w:p w:rsidR="00505C19" w:rsidRDefault="00F25D12">
      <w:r>
        <w:rPr>
          <w:rFonts w:hint="eastAsia"/>
        </w:rPr>
        <w:t xml:space="preserve">For the autonomous denial, the remaining issue is on how to calculate the denied UL slots. Based on the </w:t>
      </w:r>
      <w:r w:rsidR="004C2F3F">
        <w:t>companies’</w:t>
      </w:r>
      <w:r>
        <w:rPr>
          <w:rFonts w:hint="eastAsia"/>
        </w:rPr>
        <w:t xml:space="preserve"> comments, there are 3 different understandings:</w:t>
      </w:r>
    </w:p>
    <w:p w:rsidR="00505C19" w:rsidRDefault="00F25D12">
      <w:pPr>
        <w:numPr>
          <w:ilvl w:val="0"/>
          <w:numId w:val="5"/>
        </w:numPr>
      </w:pPr>
      <w:r>
        <w:rPr>
          <w:rFonts w:hint="eastAsia"/>
        </w:rPr>
        <w:t>Option 1</w:t>
      </w:r>
      <w:r>
        <w:rPr>
          <w:rFonts w:hint="eastAsia"/>
        </w:rPr>
        <w:t>：</w:t>
      </w:r>
      <w:r>
        <w:rPr>
          <w:rFonts w:hint="eastAsia"/>
        </w:rPr>
        <w:t>Count dropping in the Pcell only;</w:t>
      </w:r>
    </w:p>
    <w:p w:rsidR="00505C19" w:rsidRDefault="00F25D12">
      <w:pPr>
        <w:numPr>
          <w:ilvl w:val="0"/>
          <w:numId w:val="5"/>
        </w:numPr>
      </w:pPr>
      <w:r>
        <w:rPr>
          <w:rFonts w:hint="eastAsia"/>
        </w:rPr>
        <w:t>Option 2</w:t>
      </w:r>
      <w:r>
        <w:rPr>
          <w:rFonts w:hint="eastAsia"/>
        </w:rPr>
        <w:t>：</w:t>
      </w:r>
      <w:r>
        <w:rPr>
          <w:rFonts w:hint="eastAsia"/>
        </w:rPr>
        <w:t>S</w:t>
      </w:r>
      <w:r>
        <w:rPr>
          <w:rFonts w:hint="eastAsia"/>
          <w:lang w:eastAsia="ja-JP"/>
        </w:rPr>
        <w:t>ums up the number of denied UL slots across CC</w:t>
      </w:r>
      <w:r>
        <w:rPr>
          <w:lang w:eastAsia="ja-JP"/>
        </w:rPr>
        <w:t>(no matter if there is or isn’t overlapping)</w:t>
      </w:r>
      <w:r>
        <w:rPr>
          <w:rFonts w:hint="eastAsia"/>
        </w:rPr>
        <w:t>;</w:t>
      </w:r>
    </w:p>
    <w:p w:rsidR="00505C19" w:rsidRDefault="00F25D12">
      <w:pPr>
        <w:numPr>
          <w:ilvl w:val="0"/>
          <w:numId w:val="5"/>
        </w:numPr>
      </w:pPr>
      <w:r>
        <w:rPr>
          <w:rFonts w:hint="eastAsia"/>
        </w:rPr>
        <w:t>Option 3</w:t>
      </w:r>
      <w:r>
        <w:rPr>
          <w:rFonts w:hint="eastAsia"/>
        </w:rPr>
        <w:t>：</w:t>
      </w:r>
      <w:r>
        <w:rPr>
          <w:rFonts w:hint="eastAsia"/>
        </w:rPr>
        <w:t>S</w:t>
      </w:r>
      <w:r>
        <w:rPr>
          <w:rFonts w:hint="eastAsia"/>
          <w:lang w:eastAsia="ja-JP"/>
        </w:rPr>
        <w:t>ums up the number of denied UL slots across CC</w:t>
      </w:r>
      <w:r>
        <w:rPr>
          <w:lang w:eastAsia="ja-JP"/>
        </w:rPr>
        <w:t>(</w:t>
      </w:r>
      <w:r>
        <w:rPr>
          <w:rFonts w:hint="eastAsia"/>
        </w:rPr>
        <w:t>for the</w:t>
      </w:r>
      <w:r>
        <w:rPr>
          <w:lang w:eastAsia="ja-JP"/>
        </w:rPr>
        <w:t xml:space="preserve"> overlapping</w:t>
      </w:r>
      <w:r>
        <w:rPr>
          <w:rFonts w:hint="eastAsia"/>
        </w:rPr>
        <w:t>, it</w:t>
      </w:r>
      <w:r>
        <w:rPr>
          <w:lang w:eastAsia="ja-JP"/>
        </w:rPr>
        <w:t xml:space="preserve"> counts it as one denial)</w:t>
      </w:r>
      <w:r>
        <w:rPr>
          <w:rFonts w:hint="eastAsia"/>
        </w:rPr>
        <w:t>.</w:t>
      </w:r>
    </w:p>
    <w:p w:rsidR="00505C19" w:rsidRDefault="00F25D12">
      <w:r>
        <w:rPr>
          <w:rFonts w:hint="eastAsia"/>
        </w:rPr>
        <w:t>For the option 1, as commented by one company, it</w:t>
      </w:r>
      <w:r>
        <w:t>’</w:t>
      </w:r>
      <w:r>
        <w:rPr>
          <w:rFonts w:hint="eastAsia"/>
        </w:rPr>
        <w:t xml:space="preserve">s hard to determine whether the </w:t>
      </w:r>
      <w:r>
        <w:rPr>
          <w:rFonts w:hint="eastAsia"/>
          <w:lang w:eastAsia="ja-JP"/>
        </w:rPr>
        <w:t xml:space="preserve">UE </w:t>
      </w:r>
      <w:r>
        <w:rPr>
          <w:rFonts w:hint="eastAsia"/>
        </w:rPr>
        <w:t xml:space="preserve">can </w:t>
      </w:r>
      <w:r>
        <w:rPr>
          <w:rFonts w:hint="eastAsia"/>
          <w:lang w:eastAsia="ja-JP"/>
        </w:rPr>
        <w:t>apply the autonomous denial configuration to SCell</w:t>
      </w:r>
      <w:r>
        <w:rPr>
          <w:rFonts w:hint="eastAsia"/>
        </w:rPr>
        <w:t xml:space="preserve"> when the</w:t>
      </w:r>
      <w:r>
        <w:rPr>
          <w:rFonts w:hint="eastAsia"/>
          <w:lang w:eastAsia="ja-JP"/>
        </w:rPr>
        <w:t xml:space="preserve"> PCell is not subject to IDC</w:t>
      </w:r>
      <w:r>
        <w:rPr>
          <w:rFonts w:hint="eastAsia"/>
        </w:rPr>
        <w:t>.</w:t>
      </w:r>
    </w:p>
    <w:p w:rsidR="00505C19" w:rsidRDefault="00F25D12">
      <w:pPr>
        <w:spacing w:after="0"/>
      </w:pPr>
      <w:r>
        <w:rPr>
          <w:rFonts w:hint="eastAsia"/>
        </w:rPr>
        <w:t xml:space="preserve">For the option 2 and 3, the main difference is on how to process the overlapping case. In the LTE, </w:t>
      </w:r>
      <w:r>
        <w:t>RAN2 confirms that there is just one counter. If the UE denies on one (or more) serving cells in a certain subframe, it counts it as one denial</w:t>
      </w:r>
      <w:r>
        <w:rPr>
          <w:rFonts w:hint="eastAsia"/>
        </w:rPr>
        <w:t>. To comply with the LTE</w:t>
      </w:r>
      <w:r>
        <w:t>’</w:t>
      </w:r>
      <w:r>
        <w:rPr>
          <w:rFonts w:hint="eastAsia"/>
        </w:rPr>
        <w:t>s rule, for the overlapping</w:t>
      </w:r>
      <w:r w:rsidR="00F8785F">
        <w:t xml:space="preserve"> denied slots</w:t>
      </w:r>
      <w:r>
        <w:rPr>
          <w:rFonts w:hint="eastAsia"/>
        </w:rPr>
        <w:t xml:space="preserve"> with the same numerology, </w:t>
      </w:r>
      <w:r w:rsidR="00F8785F">
        <w:rPr>
          <w:rFonts w:hint="eastAsia"/>
        </w:rPr>
        <w:t>it</w:t>
      </w:r>
      <w:r w:rsidR="00F8785F">
        <w:t xml:space="preserve"> </w:t>
      </w:r>
      <w:r>
        <w:rPr>
          <w:rFonts w:hint="eastAsia"/>
        </w:rPr>
        <w:t>shall be counts as one denial.</w:t>
      </w:r>
      <w:r w:rsidR="001D3F40">
        <w:t xml:space="preserve"> For the over lapping denied slots with different numerologies, to simplify the processing, they can be counted independently.</w:t>
      </w:r>
    </w:p>
    <w:p w:rsidR="00505C19" w:rsidRDefault="00F25D12">
      <w:pPr>
        <w:spacing w:after="0"/>
        <w:rPr>
          <w:b/>
          <w:bCs/>
        </w:rPr>
      </w:pPr>
      <w:r>
        <w:rPr>
          <w:rFonts w:hint="eastAsia"/>
          <w:b/>
          <w:bCs/>
        </w:rPr>
        <w:t xml:space="preserve">Proposal 1: The UE sums up the denied UL slots together across all CC(s) in the CG. </w:t>
      </w:r>
      <w:r>
        <w:rPr>
          <w:b/>
          <w:bCs/>
        </w:rPr>
        <w:t xml:space="preserve">If the UE denies on one (or more) serving cells in a certain </w:t>
      </w:r>
      <w:r>
        <w:rPr>
          <w:rFonts w:hint="eastAsia"/>
          <w:b/>
          <w:bCs/>
        </w:rPr>
        <w:t>slot with the same numerology</w:t>
      </w:r>
      <w:r w:rsidR="00F8785F">
        <w:rPr>
          <w:b/>
          <w:bCs/>
        </w:rPr>
        <w:t>, it counts</w:t>
      </w:r>
      <w:r>
        <w:rPr>
          <w:b/>
          <w:bCs/>
        </w:rPr>
        <w:t xml:space="preserve"> as one denial</w:t>
      </w:r>
      <w:r>
        <w:rPr>
          <w:rFonts w:hint="eastAsia"/>
          <w:b/>
          <w:bCs/>
        </w:rPr>
        <w:t>.</w:t>
      </w:r>
    </w:p>
    <w:p w:rsidR="00505C19" w:rsidRDefault="00F25D12">
      <w:pPr>
        <w:spacing w:after="0"/>
        <w:rPr>
          <w:b/>
          <w:bCs/>
        </w:rPr>
      </w:pPr>
      <w:r>
        <w:rPr>
          <w:rFonts w:hint="eastAsia"/>
          <w:b/>
          <w:bCs/>
        </w:rPr>
        <w:t>Proposal 1a: If proposal 1 was agreed, it can be added as a NOTE.</w:t>
      </w:r>
    </w:p>
    <w:p w:rsidR="00505C19" w:rsidRDefault="00F25D12">
      <w:pPr>
        <w:pStyle w:val="2"/>
        <w:ind w:left="0" w:firstLine="0"/>
        <w:rPr>
          <w:rFonts w:ascii="Times New Roman" w:eastAsia="宋体" w:hAnsi="Times New Roman"/>
          <w:lang w:val="en-US"/>
        </w:rPr>
      </w:pPr>
      <w:r>
        <w:rPr>
          <w:rFonts w:ascii="Times New Roman" w:hAnsi="Times New Roman" w:hint="eastAsia"/>
          <w:lang w:val="en-US"/>
        </w:rPr>
        <w:lastRenderedPageBreak/>
        <w:t>2.</w:t>
      </w:r>
      <w:r>
        <w:rPr>
          <w:rFonts w:ascii="Times New Roman" w:eastAsia="宋体" w:hAnsi="Times New Roman" w:hint="eastAsia"/>
          <w:lang w:val="en-US"/>
        </w:rPr>
        <w:t>2</w:t>
      </w:r>
      <w:r>
        <w:rPr>
          <w:rFonts w:ascii="Times New Roman" w:hAnsi="Times New Roman" w:hint="eastAsia"/>
          <w:lang w:val="en-US"/>
        </w:rPr>
        <w:t xml:space="preserve"> </w:t>
      </w:r>
      <w:r>
        <w:rPr>
          <w:rFonts w:ascii="Times New Roman" w:eastAsia="宋体" w:hAnsi="Times New Roman" w:hint="eastAsia"/>
          <w:lang w:val="en-US"/>
        </w:rPr>
        <w:t>FDM and TDM configuration Separation</w:t>
      </w:r>
    </w:p>
    <w:p w:rsidR="00505C19" w:rsidRDefault="00F25D12">
      <w:pPr>
        <w:pStyle w:val="B1"/>
        <w:ind w:left="0" w:firstLine="0"/>
        <w:jc w:val="both"/>
        <w:rPr>
          <w:lang w:val="en-US" w:eastAsia="zh-CN"/>
        </w:rPr>
      </w:pPr>
      <w:r>
        <w:rPr>
          <w:lang w:eastAsia="zh-CN"/>
        </w:rPr>
        <w:t>According to the LTE specification for the TDM assi</w:t>
      </w:r>
      <w:r w:rsidR="00F8785F">
        <w:rPr>
          <w:lang w:eastAsia="zh-CN"/>
        </w:rPr>
        <w:t xml:space="preserve">stance information, there is no separate configuration. </w:t>
      </w:r>
      <w:r>
        <w:rPr>
          <w:lang w:eastAsia="zh-CN"/>
        </w:rPr>
        <w:t>Only one bit configuration is provided for both FDM and TDM in Rel-11</w:t>
      </w:r>
      <w:r>
        <w:rPr>
          <w:rFonts w:hint="eastAsia"/>
          <w:lang w:val="en-US" w:eastAsia="zh-CN"/>
        </w:rPr>
        <w:t>.</w:t>
      </w:r>
      <w:r>
        <w:rPr>
          <w:lang w:eastAsia="zh-CN"/>
        </w:rPr>
        <w:t xml:space="preserve"> The consequence is that the UE would have to report FDM assistance information when reporting TDM assistance information</w:t>
      </w:r>
      <w:r>
        <w:rPr>
          <w:rFonts w:hint="eastAsia"/>
          <w:lang w:val="en-US" w:eastAsia="zh-CN"/>
        </w:rPr>
        <w:t>. When it comes to the R18, in the network configuration, a candidate frequency range list would be included in the FDM assistance configuration as below.</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OtherConfig-v18xy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ab/>
        <w:t>idc-AssistanceConfig-r18</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t xml:space="preserve">idc-FDM-AssistanceConfig-r18      SetupRelease {IDC-FDM-AssistanceConfig-r18}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lang w:eastAsia="en-GB"/>
        </w:rPr>
        <w:tab/>
        <w:t xml:space="preserve">idc-TDM-AssistanceConfig-r18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{setup}</w:t>
      </w:r>
      <w:r>
        <w:rPr>
          <w:rFonts w:ascii="Courier New" w:eastAsia="Times New Roman" w:hAnsi="Courier New"/>
          <w:sz w:val="16"/>
          <w:lang w:eastAsia="en-GB"/>
        </w:rPr>
        <w:tab/>
      </w:r>
      <w:r>
        <w:rPr>
          <w:rFonts w:ascii="Courier New" w:eastAsia="Times New Roman" w:hAnsi="Courier New"/>
          <w:sz w:val="16"/>
          <w:lang w:eastAsia="en-GB"/>
        </w:rPr>
        <w:tab/>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ab/>
        <w:t>}</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IDC-FDM-AssistanceConfig-r18 ::= SEQUENCE {</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candidateServingFreqRangeListNR-r18  CandidateServingFreqRangeListNR-r18      OPTIONAL, -- Need R</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505C19" w:rsidRDefault="00F25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p w:rsidR="00505C19" w:rsidRDefault="00F25D12">
      <w:r>
        <w:rPr>
          <w:rFonts w:hint="eastAsia"/>
        </w:rPr>
        <w:t>Thus there would be 3 cases that need to be clarified:</w:t>
      </w:r>
    </w:p>
    <w:p w:rsidR="00505C19" w:rsidRDefault="00F25D12">
      <w:pPr>
        <w:numPr>
          <w:ilvl w:val="0"/>
          <w:numId w:val="6"/>
        </w:numPr>
      </w:pPr>
      <w:r>
        <w:rPr>
          <w:rFonts w:hint="eastAsia"/>
        </w:rPr>
        <w:t>Case 1:The network includes only TDM assistance configuration</w:t>
      </w:r>
    </w:p>
    <w:p w:rsidR="00505C19" w:rsidRDefault="00F25D12">
      <w:pPr>
        <w:numPr>
          <w:ilvl w:val="0"/>
          <w:numId w:val="6"/>
        </w:numPr>
      </w:pPr>
      <w:r>
        <w:rPr>
          <w:rFonts w:hint="eastAsia"/>
        </w:rPr>
        <w:t>Case 2: The network includes only FDM assistance configuration</w:t>
      </w:r>
    </w:p>
    <w:p w:rsidR="00505C19" w:rsidRDefault="00F25D12">
      <w:pPr>
        <w:numPr>
          <w:ilvl w:val="0"/>
          <w:numId w:val="6"/>
        </w:numPr>
      </w:pPr>
      <w:r>
        <w:rPr>
          <w:rFonts w:hint="eastAsia"/>
        </w:rPr>
        <w:t>Case 3: The network includes both FDM and TDM assistance configuration.</w:t>
      </w:r>
    </w:p>
    <w:p w:rsidR="00505C19" w:rsidRDefault="00F25D12">
      <w:r>
        <w:rPr>
          <w:rFonts w:hint="eastAsia"/>
        </w:rPr>
        <w:t>We would discuss these 3 cases one by one.</w:t>
      </w:r>
    </w:p>
    <w:p w:rsidR="00505C19" w:rsidRDefault="00F25D12">
      <w:pPr>
        <w:rPr>
          <w:b/>
          <w:bCs/>
          <w:i/>
          <w:iCs/>
          <w:u w:val="single"/>
        </w:rPr>
      </w:pPr>
      <w:r>
        <w:rPr>
          <w:rFonts w:hint="eastAsia"/>
          <w:b/>
          <w:bCs/>
          <w:i/>
          <w:iCs/>
          <w:u w:val="single"/>
        </w:rPr>
        <w:t>Case 1:</w:t>
      </w:r>
      <w:r w:rsidR="00F8785F">
        <w:rPr>
          <w:b/>
          <w:bCs/>
          <w:i/>
          <w:iCs/>
          <w:u w:val="single"/>
        </w:rPr>
        <w:t xml:space="preserve"> </w:t>
      </w:r>
      <w:r>
        <w:rPr>
          <w:rFonts w:hint="eastAsia"/>
          <w:b/>
          <w:bCs/>
          <w:i/>
          <w:iCs/>
          <w:u w:val="single"/>
        </w:rPr>
        <w:t>The network includes only TDM assistance configuration</w:t>
      </w:r>
    </w:p>
    <w:p w:rsidR="00505C19" w:rsidRDefault="00F25D12">
      <w:pPr>
        <w:rPr>
          <w:rFonts w:eastAsia="宋体"/>
        </w:rPr>
      </w:pPr>
      <w:r>
        <w:rPr>
          <w:rFonts w:eastAsia="宋体" w:hint="eastAsia"/>
        </w:rPr>
        <w:t>For this case, the network may only include the TDM assistance configuration without any FDM frequency range indication. As illustrated by some companies in the offline discussion this case may happened for the NTN scenario which has only 2</w:t>
      </w:r>
      <w:r w:rsidR="00F8785F">
        <w:rPr>
          <w:rFonts w:eastAsia="宋体" w:hint="eastAsia"/>
        </w:rPr>
        <w:t xml:space="preserve"> bands and the band n255 may ha</w:t>
      </w:r>
      <w:r w:rsidR="00F8785F">
        <w:rPr>
          <w:rFonts w:eastAsia="宋体"/>
        </w:rPr>
        <w:t>ve</w:t>
      </w:r>
      <w:r>
        <w:rPr>
          <w:rFonts w:eastAsia="宋体" w:hint="eastAsia"/>
        </w:rPr>
        <w:t xml:space="preserve"> interference to the BeiDou GNSS (e.g. center frequency 1561.098M)</w:t>
      </w:r>
    </w:p>
    <w:p w:rsidR="00505C19" w:rsidRDefault="00F25D12">
      <w:pPr>
        <w:pStyle w:val="TH"/>
        <w:rPr>
          <w:rFonts w:ascii="Times New Roman" w:eastAsia="宋体" w:hAnsi="Times New Roman"/>
          <w:bCs/>
          <w:color w:val="auto"/>
          <w:sz w:val="21"/>
          <w:szCs w:val="24"/>
          <w:lang w:eastAsia="zh-CN"/>
        </w:rPr>
      </w:pPr>
      <w:r>
        <w:rPr>
          <w:rFonts w:ascii="Times New Roman" w:eastAsia="宋体" w:hAnsi="Times New Roman" w:hint="eastAsia"/>
          <w:bCs/>
          <w:color w:val="auto"/>
          <w:sz w:val="21"/>
          <w:szCs w:val="24"/>
          <w:lang w:eastAsia="zh-CN"/>
        </w:rPr>
        <w:lastRenderedPageBreak/>
        <w:t>Table 5.2.2-1: NTN satellite bands in FR1 (From 38101-5)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505C19">
        <w:trPr>
          <w:jc w:val="center"/>
        </w:trPr>
        <w:tc>
          <w:tcPr>
            <w:tcW w:w="1192" w:type="dxa"/>
            <w:shd w:val="clear" w:color="auto" w:fill="auto"/>
          </w:tcPr>
          <w:p w:rsidR="00505C19" w:rsidRDefault="00F25D12">
            <w:pPr>
              <w:pStyle w:val="TAH"/>
            </w:pPr>
            <w:r>
              <w:t>NTN satellite</w:t>
            </w:r>
            <w:r>
              <w:rPr>
                <w:lang w:val="en-US"/>
              </w:rPr>
              <w:t xml:space="preserve"> operating </w:t>
            </w:r>
            <w:r>
              <w:t>band</w:t>
            </w:r>
          </w:p>
        </w:tc>
        <w:tc>
          <w:tcPr>
            <w:tcW w:w="3818" w:type="dxa"/>
            <w:shd w:val="clear" w:color="auto" w:fill="auto"/>
          </w:tcPr>
          <w:p w:rsidR="00505C19" w:rsidRDefault="00F25D12">
            <w:pPr>
              <w:pStyle w:val="TAH"/>
              <w:rPr>
                <w:lang w:val="en-US"/>
              </w:rPr>
            </w:pPr>
            <w:r>
              <w:rPr>
                <w:lang w:val="en-US"/>
              </w:rPr>
              <w:t>Uplink (UL) operating band</w:t>
            </w:r>
            <w:r>
              <w:rPr>
                <w:lang w:val="en-US"/>
              </w:rPr>
              <w:br/>
              <w:t>Satellite Access Node receive / UE transmit</w:t>
            </w:r>
          </w:p>
          <w:p w:rsidR="00505C19" w:rsidRDefault="00F25D12">
            <w:pPr>
              <w:pStyle w:val="TAH"/>
            </w:pPr>
            <w:r>
              <w:t>F</w:t>
            </w:r>
            <w:r>
              <w:rPr>
                <w:vertAlign w:val="subscript"/>
              </w:rPr>
              <w:t>UL,low</w:t>
            </w:r>
            <w:r>
              <w:t xml:space="preserve">   –  F</w:t>
            </w:r>
            <w:r>
              <w:rPr>
                <w:vertAlign w:val="subscript"/>
              </w:rPr>
              <w:t>UL,high</w:t>
            </w:r>
          </w:p>
        </w:tc>
        <w:tc>
          <w:tcPr>
            <w:tcW w:w="3840" w:type="dxa"/>
          </w:tcPr>
          <w:p w:rsidR="00505C19" w:rsidRDefault="00F25D12">
            <w:pPr>
              <w:pStyle w:val="TAH"/>
              <w:rPr>
                <w:lang w:val="en-US"/>
              </w:rPr>
            </w:pPr>
            <w:r>
              <w:rPr>
                <w:lang w:val="en-US"/>
              </w:rPr>
              <w:t>Downlink (DL) operating band</w:t>
            </w:r>
            <w:r>
              <w:rPr>
                <w:lang w:val="en-US"/>
              </w:rPr>
              <w:br/>
              <w:t>Satellite Access Node transmit / UE receive</w:t>
            </w:r>
          </w:p>
          <w:p w:rsidR="00505C19" w:rsidRDefault="00F25D12">
            <w:pPr>
              <w:pStyle w:val="TAH"/>
            </w:pPr>
            <w:r>
              <w:t>F</w:t>
            </w:r>
            <w:r>
              <w:rPr>
                <w:vertAlign w:val="subscript"/>
              </w:rPr>
              <w:t>DL,low</w:t>
            </w:r>
            <w:r>
              <w:t xml:space="preserve">   –  F</w:t>
            </w:r>
            <w:r>
              <w:rPr>
                <w:vertAlign w:val="subscript"/>
              </w:rPr>
              <w:t>DL,high</w:t>
            </w:r>
            <w:r>
              <w:t xml:space="preserve"> </w:t>
            </w:r>
          </w:p>
        </w:tc>
        <w:tc>
          <w:tcPr>
            <w:tcW w:w="886" w:type="dxa"/>
          </w:tcPr>
          <w:p w:rsidR="00505C19" w:rsidRDefault="00F25D12">
            <w:pPr>
              <w:pStyle w:val="TAH"/>
            </w:pPr>
            <w:r>
              <w:t>Duplex mode</w:t>
            </w:r>
          </w:p>
        </w:tc>
      </w:tr>
      <w:tr w:rsidR="00505C19">
        <w:trPr>
          <w:jc w:val="center"/>
        </w:trPr>
        <w:tc>
          <w:tcPr>
            <w:tcW w:w="1192" w:type="dxa"/>
            <w:shd w:val="clear" w:color="auto" w:fill="auto"/>
          </w:tcPr>
          <w:p w:rsidR="00505C19" w:rsidRDefault="00F25D12">
            <w:pPr>
              <w:pStyle w:val="TAC"/>
            </w:pPr>
            <w:r>
              <w:rPr>
                <w:rFonts w:hint="eastAsia"/>
              </w:rPr>
              <w:t>n256</w:t>
            </w:r>
          </w:p>
        </w:tc>
        <w:tc>
          <w:tcPr>
            <w:tcW w:w="3818" w:type="dxa"/>
            <w:shd w:val="clear" w:color="auto" w:fill="auto"/>
          </w:tcPr>
          <w:p w:rsidR="00505C19" w:rsidRDefault="00F25D12">
            <w:pPr>
              <w:pStyle w:val="TAC"/>
            </w:pPr>
            <w:r>
              <w:t>1980</w:t>
            </w:r>
            <w:r>
              <w:rPr>
                <w:rFonts w:hint="eastAsia"/>
                <w:lang w:val="en-US"/>
              </w:rPr>
              <w:t>MHz</w:t>
            </w:r>
            <w:r>
              <w:t xml:space="preserve"> – 2010 MHz</w:t>
            </w:r>
          </w:p>
        </w:tc>
        <w:tc>
          <w:tcPr>
            <w:tcW w:w="3840" w:type="dxa"/>
          </w:tcPr>
          <w:p w:rsidR="00505C19" w:rsidRDefault="00F25D12">
            <w:pPr>
              <w:pStyle w:val="TAC"/>
            </w:pPr>
            <w:r>
              <w:t>2170 MHz</w:t>
            </w:r>
            <w:r>
              <w:rPr>
                <w:rFonts w:hint="eastAsia"/>
                <w:lang w:val="en-US"/>
              </w:rPr>
              <w:t xml:space="preserve"> </w:t>
            </w:r>
            <w:r>
              <w:t>–</w:t>
            </w:r>
            <w:r>
              <w:rPr>
                <w:rFonts w:hint="eastAsia"/>
                <w:lang w:val="en-US"/>
              </w:rPr>
              <w:t xml:space="preserve"> </w:t>
            </w:r>
            <w:r>
              <w:t>2200 MHz</w:t>
            </w:r>
          </w:p>
        </w:tc>
        <w:tc>
          <w:tcPr>
            <w:tcW w:w="886" w:type="dxa"/>
          </w:tcPr>
          <w:p w:rsidR="00505C19" w:rsidRDefault="00F25D12">
            <w:pPr>
              <w:pStyle w:val="TAC"/>
            </w:pPr>
            <w:r>
              <w:t>FDD</w:t>
            </w:r>
          </w:p>
        </w:tc>
      </w:tr>
      <w:tr w:rsidR="00505C19">
        <w:trPr>
          <w:jc w:val="center"/>
        </w:trPr>
        <w:tc>
          <w:tcPr>
            <w:tcW w:w="1192" w:type="dxa"/>
            <w:shd w:val="clear" w:color="auto" w:fill="auto"/>
          </w:tcPr>
          <w:p w:rsidR="00505C19" w:rsidRDefault="00F25D12">
            <w:pPr>
              <w:pStyle w:val="TAC"/>
            </w:pPr>
            <w:r>
              <w:rPr>
                <w:rFonts w:hint="eastAsia"/>
              </w:rPr>
              <w:t>n255</w:t>
            </w:r>
          </w:p>
        </w:tc>
        <w:tc>
          <w:tcPr>
            <w:tcW w:w="3818" w:type="dxa"/>
            <w:shd w:val="clear" w:color="auto" w:fill="auto"/>
          </w:tcPr>
          <w:p w:rsidR="00505C19" w:rsidRDefault="00F25D12">
            <w:pPr>
              <w:pStyle w:val="TAC"/>
            </w:pPr>
            <w:r>
              <w:t>1626.5 MHz – 1660.5 MHz</w:t>
            </w:r>
          </w:p>
        </w:tc>
        <w:tc>
          <w:tcPr>
            <w:tcW w:w="3840" w:type="dxa"/>
          </w:tcPr>
          <w:p w:rsidR="00505C19" w:rsidRDefault="00F25D12">
            <w:pPr>
              <w:pStyle w:val="TAC"/>
            </w:pPr>
            <w:r>
              <w:t>1525 MHz – 1559</w:t>
            </w:r>
            <w:r>
              <w:rPr>
                <w:rFonts w:hint="eastAsia"/>
              </w:rPr>
              <w:t xml:space="preserve"> </w:t>
            </w:r>
            <w:r>
              <w:t>MHz</w:t>
            </w:r>
          </w:p>
        </w:tc>
        <w:tc>
          <w:tcPr>
            <w:tcW w:w="886" w:type="dxa"/>
          </w:tcPr>
          <w:p w:rsidR="00505C19" w:rsidRDefault="00F25D12">
            <w:pPr>
              <w:pStyle w:val="TAC"/>
            </w:pPr>
            <w:r>
              <w:t>FDD</w:t>
            </w:r>
          </w:p>
        </w:tc>
      </w:tr>
      <w:tr w:rsidR="00505C19">
        <w:trPr>
          <w:jc w:val="center"/>
        </w:trPr>
        <w:tc>
          <w:tcPr>
            <w:tcW w:w="9736" w:type="dxa"/>
            <w:gridSpan w:val="4"/>
            <w:shd w:val="clear" w:color="auto" w:fill="auto"/>
          </w:tcPr>
          <w:p w:rsidR="00505C19" w:rsidRDefault="00F25D12">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rsidR="00505C19" w:rsidRDefault="00F25D12">
      <w:pPr>
        <w:rPr>
          <w:rFonts w:eastAsia="宋体"/>
        </w:rPr>
      </w:pPr>
      <w:r>
        <w:rPr>
          <w:rFonts w:eastAsia="宋体" w:hint="eastAsia"/>
        </w:rPr>
        <w:t xml:space="preserve">For this case, at the UE side, there would be no frequency domain </w:t>
      </w:r>
      <w:r w:rsidR="00F8785F">
        <w:rPr>
          <w:rFonts w:eastAsia="宋体"/>
        </w:rPr>
        <w:t>restrictions, which</w:t>
      </w:r>
      <w:r>
        <w:rPr>
          <w:rFonts w:eastAsia="宋体" w:hint="eastAsia"/>
        </w:rPr>
        <w:t xml:space="preserve"> means if there are IDC problems on any UE supported frequencies, the UE can report the TDM assistance information. From this aspect, the below </w:t>
      </w:r>
      <w:r>
        <w:rPr>
          <w:rFonts w:eastAsia="宋体"/>
        </w:rPr>
        <w:t>“</w:t>
      </w:r>
      <w:r>
        <w:rPr>
          <w:rFonts w:eastAsia="宋体" w:hint="eastAsia"/>
        </w:rPr>
        <w:t>or frequency ranges</w:t>
      </w:r>
      <w:r>
        <w:rPr>
          <w:rFonts w:eastAsia="宋体"/>
        </w:rPr>
        <w:t>”</w:t>
      </w:r>
      <w:r>
        <w:rPr>
          <w:rFonts w:eastAsia="宋体" w:hint="eastAsia"/>
        </w:rPr>
        <w:t xml:space="preserve"> maybe not needed </w:t>
      </w:r>
      <w:r w:rsidR="00F8785F">
        <w:rPr>
          <w:rFonts w:eastAsia="宋体"/>
        </w:rPr>
        <w:t xml:space="preserve">at least </w:t>
      </w:r>
      <w:r w:rsidR="00F8785F">
        <w:rPr>
          <w:rFonts w:eastAsia="宋体" w:hint="eastAsia"/>
        </w:rPr>
        <w:t>for this case</w:t>
      </w:r>
      <w:r w:rsidR="00F8785F">
        <w:rPr>
          <w:rFonts w:eastAsia="宋体"/>
        </w:rPr>
        <w:t>, for that no frequency ranges are configured by the network.</w:t>
      </w:r>
    </w:p>
    <w:tbl>
      <w:tblPr>
        <w:tblStyle w:val="af5"/>
        <w:tblW w:w="0" w:type="auto"/>
        <w:tblLook w:val="04A0" w:firstRow="1" w:lastRow="0" w:firstColumn="1" w:lastColumn="0" w:noHBand="0" w:noVBand="1"/>
      </w:tblPr>
      <w:tblGrid>
        <w:gridCol w:w="9771"/>
      </w:tblGrid>
      <w:tr w:rsidR="00505C19">
        <w:tc>
          <w:tcPr>
            <w:tcW w:w="9997" w:type="dxa"/>
          </w:tcPr>
          <w:p w:rsidR="00505C19" w:rsidRDefault="00F25D12">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configured to provide IDC assistance information based on </w:t>
            </w:r>
            <w:r>
              <w:rPr>
                <w:rFonts w:eastAsia="Times New Roman"/>
                <w:i/>
                <w:iCs/>
                <w:lang w:eastAsia="ja-JP"/>
              </w:rPr>
              <w:t>idc-TDM-AssistanceConfig</w:t>
            </w:r>
            <w:r>
              <w:rPr>
                <w:rFonts w:eastAsia="Times New Roman"/>
                <w:lang w:eastAsia="ja-JP"/>
              </w:rPr>
              <w:t xml:space="preserve"> of a cell group:</w:t>
            </w:r>
          </w:p>
          <w:p w:rsidR="00505C19" w:rsidRDefault="00F25D12">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UE did not transmit a </w:t>
            </w:r>
            <w:r>
              <w:rPr>
                <w:rFonts w:eastAsia="Times New Roman"/>
                <w:i/>
                <w:iCs/>
                <w:lang w:eastAsia="ja-JP"/>
              </w:rPr>
              <w:t>UEAssistanceInformation</w:t>
            </w:r>
            <w:r>
              <w:rPr>
                <w:rFonts w:eastAsia="Times New Roman"/>
                <w:lang w:eastAsia="ja-JP"/>
              </w:rPr>
              <w:t xml:space="preserve"> message</w:t>
            </w:r>
            <w:r>
              <w:rPr>
                <w:rFonts w:eastAsia="Times New Roman"/>
              </w:rPr>
              <w:t xml:space="preserve"> with </w:t>
            </w:r>
            <w:r>
              <w:rPr>
                <w:rFonts w:eastAsia="Times New Roman"/>
                <w:i/>
                <w:iCs/>
                <w:lang w:eastAsia="ja-JP"/>
              </w:rPr>
              <w:t xml:space="preserve">idc-TDM-Assistance </w:t>
            </w:r>
            <w:r>
              <w:rPr>
                <w:rFonts w:eastAsia="Times New Roman"/>
                <w:lang w:eastAsia="ja-JP"/>
              </w:rPr>
              <w:t>since it was configured to provide IDC assistance information:</w:t>
            </w:r>
          </w:p>
          <w:p w:rsidR="00505C19" w:rsidRDefault="00F25D12">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on one or more frequencies or</w:t>
            </w:r>
            <w:r>
              <w:rPr>
                <w:rFonts w:eastAsia="Times New Roman"/>
                <w:color w:val="0000FF"/>
                <w:lang w:eastAsia="ja-JP"/>
              </w:rPr>
              <w:t xml:space="preserve"> frequency ranges,</w:t>
            </w:r>
            <w:r>
              <w:rPr>
                <w:rFonts w:eastAsia="Times New Roman"/>
                <w:lang w:eastAsia="ja-JP"/>
              </w:rPr>
              <w:t xml:space="preserve"> the UE is experiencing IDC problems that it cannot solve by itself; or</w:t>
            </w:r>
          </w:p>
          <w:p w:rsidR="00505C19" w:rsidRDefault="00F25D12">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on one or more supported UL CA or MR-DC combination comprising of carrier frequencies or </w:t>
            </w:r>
            <w:r>
              <w:rPr>
                <w:rFonts w:eastAsia="Times New Roman"/>
                <w:color w:val="0000FF"/>
                <w:lang w:eastAsia="ja-JP"/>
              </w:rPr>
              <w:t xml:space="preserve">frequency ranges, </w:t>
            </w:r>
            <w:r>
              <w:rPr>
                <w:rFonts w:eastAsia="Times New Roman"/>
                <w:lang w:eastAsia="ja-JP"/>
              </w:rPr>
              <w:t>the UE is experiencing IDC problems that it cannot solve by itself:</w:t>
            </w:r>
          </w:p>
          <w:p w:rsidR="00505C19" w:rsidRDefault="00F25D12">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rPr>
              <w:t>7</w:t>
            </w:r>
            <w:r>
              <w:rPr>
                <w:rFonts w:eastAsia="Times New Roman"/>
                <w:lang w:eastAsia="ja-JP"/>
              </w:rPr>
              <w:t>.</w:t>
            </w:r>
            <w:r>
              <w:rPr>
                <w:rFonts w:eastAsia="Times New Roman"/>
              </w:rPr>
              <w:t>4</w:t>
            </w:r>
            <w:r>
              <w:rPr>
                <w:rFonts w:eastAsia="Times New Roman"/>
                <w:lang w:eastAsia="ja-JP"/>
              </w:rPr>
              <w:t>.3 to provide IDC assistance information;</w:t>
            </w:r>
          </w:p>
          <w:p w:rsidR="00505C19" w:rsidRDefault="00F25D12">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else if the current </w:t>
            </w:r>
            <w:r>
              <w:rPr>
                <w:rFonts w:eastAsia="Times New Roman"/>
                <w:i/>
                <w:iCs/>
                <w:lang w:eastAsia="ja-JP"/>
              </w:rPr>
              <w:t>idc-TDM-Assistance</w:t>
            </w:r>
            <w:r>
              <w:rPr>
                <w:rFonts w:eastAsia="Times New Roman"/>
                <w:lang w:eastAsia="ja-JP"/>
              </w:rPr>
              <w:t xml:space="preserve"> information for the cell group is different from the one indicated in the last transmission of the </w:t>
            </w:r>
            <w:r>
              <w:rPr>
                <w:rFonts w:eastAsia="Times New Roman"/>
                <w:i/>
                <w:iCs/>
                <w:lang w:eastAsia="ja-JP"/>
              </w:rPr>
              <w:t>UEAssistanceInformation</w:t>
            </w:r>
            <w:r>
              <w:rPr>
                <w:rFonts w:eastAsia="Times New Roman"/>
                <w:lang w:eastAsia="ja-JP"/>
              </w:rPr>
              <w:t xml:space="preserve"> message:</w:t>
            </w:r>
          </w:p>
          <w:p w:rsidR="00505C19" w:rsidRDefault="00F25D12">
            <w:pPr>
              <w:overflowPunct w:val="0"/>
              <w:autoSpaceDE w:val="0"/>
              <w:autoSpaceDN w:val="0"/>
              <w:adjustRightInd w:val="0"/>
              <w:spacing w:line="240" w:lineRule="auto"/>
              <w:ind w:left="1135" w:hanging="284"/>
              <w:jc w:val="left"/>
              <w:textAlignment w:val="baseline"/>
              <w:rPr>
                <w:rFonts w:eastAsia="宋体"/>
              </w:rPr>
            </w:pPr>
            <w:r>
              <w:rPr>
                <w:rFonts w:eastAsia="Times New Roman"/>
                <w:lang w:eastAsia="ja-JP"/>
              </w:rPr>
              <w:t>3&gt;</w:t>
            </w:r>
            <w:r>
              <w:rPr>
                <w:rFonts w:eastAsia="Times New Roman"/>
                <w:lang w:eastAsia="ja-JP"/>
              </w:rPr>
              <w:tab/>
              <w:t xml:space="preserve">initiate transmission of the </w:t>
            </w:r>
            <w:r>
              <w:rPr>
                <w:rFonts w:eastAsia="Times New Roman"/>
                <w:i/>
                <w:iCs/>
                <w:lang w:eastAsia="ja-JP"/>
              </w:rPr>
              <w:t>UEAssistanceInformation</w:t>
            </w:r>
            <w:r>
              <w:rPr>
                <w:rFonts w:eastAsia="Times New Roman"/>
                <w:lang w:eastAsia="ja-JP"/>
              </w:rPr>
              <w:t xml:space="preserve"> message in accordance with 5.</w:t>
            </w:r>
            <w:r>
              <w:rPr>
                <w:rFonts w:eastAsia="Times New Roman"/>
              </w:rPr>
              <w:t>7</w:t>
            </w:r>
            <w:r>
              <w:rPr>
                <w:rFonts w:eastAsia="Times New Roman"/>
                <w:lang w:eastAsia="ja-JP"/>
              </w:rPr>
              <w:t>.</w:t>
            </w:r>
            <w:r>
              <w:rPr>
                <w:rFonts w:eastAsia="Times New Roman"/>
              </w:rPr>
              <w:t>4</w:t>
            </w:r>
            <w:r>
              <w:rPr>
                <w:rFonts w:eastAsia="Times New Roman"/>
                <w:lang w:eastAsia="ja-JP"/>
              </w:rPr>
              <w:t>.3 to provide IDC assistance information;</w:t>
            </w:r>
          </w:p>
        </w:tc>
      </w:tr>
    </w:tbl>
    <w:p w:rsidR="00505C19" w:rsidRPr="001D3F40" w:rsidRDefault="00F25D12">
      <w:pPr>
        <w:rPr>
          <w:rFonts w:eastAsia="宋体"/>
          <w:b/>
          <w:bCs/>
        </w:rPr>
      </w:pPr>
      <w:r>
        <w:rPr>
          <w:rFonts w:eastAsia="宋体" w:hint="eastAsia"/>
          <w:b/>
          <w:bCs/>
        </w:rPr>
        <w:t xml:space="preserve">Proposal 2: RAN2 to clarify that for the case with only TDM assistance configuration, the UE can report the TDM assistance information </w:t>
      </w:r>
      <w:r w:rsidR="001D3F40">
        <w:rPr>
          <w:rFonts w:eastAsia="宋体" w:hint="eastAsia"/>
          <w:b/>
          <w:bCs/>
        </w:rPr>
        <w:t xml:space="preserve">if the UE </w:t>
      </w:r>
      <w:r w:rsidR="001D3F40">
        <w:rPr>
          <w:rFonts w:eastAsia="宋体" w:hint="eastAsia"/>
          <w:b/>
          <w:bCs/>
          <w:lang w:eastAsia="ja-JP"/>
        </w:rPr>
        <w:t>is experiencing IDC problems</w:t>
      </w:r>
      <w:r w:rsidR="001D3F40">
        <w:rPr>
          <w:rFonts w:eastAsia="宋体" w:hint="eastAsia"/>
          <w:b/>
          <w:bCs/>
        </w:rPr>
        <w:t xml:space="preserve"> on any UE supported frequencies.</w:t>
      </w:r>
    </w:p>
    <w:p w:rsidR="00505C19" w:rsidRDefault="00F25D12">
      <w:pPr>
        <w:rPr>
          <w:b/>
          <w:bCs/>
          <w:i/>
          <w:iCs/>
          <w:u w:val="single"/>
        </w:rPr>
      </w:pPr>
      <w:r>
        <w:rPr>
          <w:rFonts w:hint="eastAsia"/>
          <w:b/>
          <w:bCs/>
          <w:i/>
          <w:iCs/>
          <w:u w:val="single"/>
        </w:rPr>
        <w:t>Case 2: The network includes only FDM assistance configuration</w:t>
      </w:r>
    </w:p>
    <w:p w:rsidR="00505C19" w:rsidRDefault="00F25D12">
      <w:pPr>
        <w:rPr>
          <w:rFonts w:eastAsia="宋体"/>
        </w:rPr>
      </w:pPr>
      <w:r>
        <w:rPr>
          <w:rFonts w:eastAsia="宋体" w:hint="eastAsia"/>
        </w:rPr>
        <w:t>For this case, it</w:t>
      </w:r>
      <w:r>
        <w:rPr>
          <w:rFonts w:eastAsia="宋体"/>
        </w:rPr>
        <w:t>’</w:t>
      </w:r>
      <w:r>
        <w:rPr>
          <w:rFonts w:eastAsia="宋体" w:hint="eastAsia"/>
        </w:rPr>
        <w:t xml:space="preserve">s quite clear that the UE can report the FDM assistance information if </w:t>
      </w:r>
      <w:r>
        <w:rPr>
          <w:rFonts w:eastAsia="Times New Roman"/>
          <w:lang w:eastAsia="ja-JP"/>
        </w:rPr>
        <w:t>the UE is experiencing IDC problems</w:t>
      </w:r>
      <w:r>
        <w:rPr>
          <w:rFonts w:eastAsia="宋体" w:hint="eastAsia"/>
        </w:rPr>
        <w:t xml:space="preserve"> </w:t>
      </w:r>
      <w:r>
        <w:rPr>
          <w:rFonts w:eastAsia="Times New Roman"/>
          <w:lang w:eastAsia="ja-JP"/>
        </w:rPr>
        <w:t>on one or more frequenci</w:t>
      </w:r>
      <w:r>
        <w:rPr>
          <w:rFonts w:eastAsia="宋体" w:hint="eastAsia"/>
          <w:lang w:eastAsia="ja-JP"/>
        </w:rPr>
        <w:t>es or frequency ranges</w:t>
      </w:r>
      <w:r>
        <w:rPr>
          <w:rFonts w:eastAsia="宋体" w:hint="eastAsia"/>
        </w:rPr>
        <w:t>. However, the remaining issue is for this case whether it</w:t>
      </w:r>
      <w:r>
        <w:rPr>
          <w:rFonts w:eastAsia="宋体"/>
        </w:rPr>
        <w:t>’</w:t>
      </w:r>
      <w:r>
        <w:rPr>
          <w:rFonts w:eastAsia="宋体" w:hint="eastAsia"/>
        </w:rPr>
        <w:t>s also allow the UE to report the TDM assistance information</w:t>
      </w:r>
      <w:r w:rsidR="001D3F40">
        <w:rPr>
          <w:rFonts w:eastAsia="宋体"/>
        </w:rPr>
        <w:t xml:space="preserve"> as LTE has done</w:t>
      </w:r>
      <w:r>
        <w:rPr>
          <w:rFonts w:eastAsia="宋体" w:hint="eastAsia"/>
        </w:rPr>
        <w:t>. For this issue according to the current running CR, it</w:t>
      </w:r>
      <w:r>
        <w:rPr>
          <w:rFonts w:eastAsia="宋体"/>
        </w:rPr>
        <w:t>’</w:t>
      </w:r>
      <w:r>
        <w:rPr>
          <w:rFonts w:eastAsia="宋体" w:hint="eastAsia"/>
        </w:rPr>
        <w:t>s clear that if the TDM assistance config is not included, the UE would not report the TDM assistance information. If the network support TDM solution, the network can include the TDM config.</w:t>
      </w:r>
    </w:p>
    <w:p w:rsidR="00505C19" w:rsidRDefault="00F25D12">
      <w:pPr>
        <w:rPr>
          <w:rFonts w:eastAsia="宋体"/>
        </w:rPr>
      </w:pPr>
      <w:r>
        <w:rPr>
          <w:rFonts w:eastAsia="宋体" w:hint="eastAsia"/>
          <w:b/>
          <w:bCs/>
        </w:rPr>
        <w:t xml:space="preserve">Proposal 3: RAN2 to confirm that for the case with only FDM assistance configuration, the UE shall not report </w:t>
      </w:r>
      <w:r>
        <w:rPr>
          <w:rFonts w:eastAsia="宋体" w:hint="eastAsia"/>
          <w:b/>
          <w:bCs/>
        </w:rPr>
        <w:lastRenderedPageBreak/>
        <w:t xml:space="preserve">the TDM assistance information.  </w:t>
      </w:r>
    </w:p>
    <w:p w:rsidR="00505C19" w:rsidRDefault="00F25D12">
      <w:pPr>
        <w:rPr>
          <w:b/>
          <w:bCs/>
          <w:i/>
          <w:iCs/>
          <w:u w:val="single"/>
        </w:rPr>
      </w:pPr>
      <w:r>
        <w:rPr>
          <w:rFonts w:hint="eastAsia"/>
          <w:b/>
          <w:bCs/>
          <w:i/>
          <w:iCs/>
          <w:u w:val="single"/>
        </w:rPr>
        <w:t>Case 3: The network includes both FDM and TDM assistance configuration.</w:t>
      </w:r>
    </w:p>
    <w:p w:rsidR="00505C19" w:rsidRDefault="00F25D12">
      <w:pPr>
        <w:rPr>
          <w:rFonts w:eastAsia="宋体"/>
        </w:rPr>
      </w:pPr>
      <w:r>
        <w:rPr>
          <w:rFonts w:hint="eastAsia"/>
        </w:rPr>
        <w:t>For this case, both the FDM and TDM assistance configuration are included</w:t>
      </w:r>
      <w:r w:rsidR="001D3F40">
        <w:t>. T</w:t>
      </w:r>
      <w:r>
        <w:rPr>
          <w:rFonts w:hint="eastAsia"/>
        </w:rPr>
        <w:t>he network would indicate it</w:t>
      </w:r>
      <w:r>
        <w:t>’</w:t>
      </w:r>
      <w:r>
        <w:rPr>
          <w:rFonts w:hint="eastAsia"/>
        </w:rPr>
        <w:t>s interested frequency or frequency ranges to the UE</w:t>
      </w:r>
      <w:r w:rsidR="001D3F40">
        <w:t xml:space="preserve"> in the FDM configuration</w:t>
      </w:r>
      <w:r>
        <w:rPr>
          <w:rFonts w:hint="eastAsia"/>
        </w:rPr>
        <w:t xml:space="preserve">, thus from the UE side, only when the UE </w:t>
      </w:r>
      <w:r>
        <w:rPr>
          <w:rFonts w:eastAsia="Times New Roman"/>
          <w:lang w:eastAsia="ja-JP"/>
        </w:rPr>
        <w:t>is experiencing IDC problems</w:t>
      </w:r>
      <w:r>
        <w:rPr>
          <w:rFonts w:eastAsia="宋体" w:hint="eastAsia"/>
        </w:rPr>
        <w:t xml:space="preserve"> </w:t>
      </w:r>
      <w:r>
        <w:rPr>
          <w:rFonts w:eastAsia="Times New Roman"/>
          <w:lang w:eastAsia="ja-JP"/>
        </w:rPr>
        <w:t>on one or more frequenci</w:t>
      </w:r>
      <w:r>
        <w:rPr>
          <w:rFonts w:eastAsia="宋体" w:hint="eastAsia"/>
          <w:lang w:eastAsia="ja-JP"/>
        </w:rPr>
        <w:t>es or frequency ranges</w:t>
      </w:r>
      <w:r>
        <w:rPr>
          <w:rFonts w:eastAsia="宋体" w:hint="eastAsia"/>
        </w:rPr>
        <w:t xml:space="preserve"> that </w:t>
      </w:r>
      <w:r w:rsidR="00F8785F">
        <w:rPr>
          <w:rFonts w:eastAsia="宋体"/>
        </w:rPr>
        <w:t xml:space="preserve">are </w:t>
      </w:r>
      <w:r>
        <w:rPr>
          <w:rFonts w:eastAsia="宋体" w:hint="eastAsia"/>
        </w:rPr>
        <w:t>included in the FDM assistance configuration, the UE need to report the TDM assistance information.</w:t>
      </w:r>
    </w:p>
    <w:p w:rsidR="00505C19" w:rsidRDefault="00F25D12">
      <w:pPr>
        <w:rPr>
          <w:rFonts w:eastAsia="宋体"/>
          <w:b/>
          <w:bCs/>
        </w:rPr>
      </w:pPr>
      <w:r>
        <w:rPr>
          <w:rFonts w:eastAsia="宋体" w:hint="eastAsia"/>
          <w:b/>
          <w:bCs/>
        </w:rPr>
        <w:t xml:space="preserve">Proposal 4: RAN2 to confirm that for the case with both TDM and FDM assistance configuration, the UE shall the TDM assistance information only when the UE </w:t>
      </w:r>
      <w:r>
        <w:rPr>
          <w:rFonts w:eastAsia="宋体" w:hint="eastAsia"/>
          <w:b/>
          <w:bCs/>
          <w:lang w:eastAsia="ja-JP"/>
        </w:rPr>
        <w:t>is experiencing IDC problems</w:t>
      </w:r>
      <w:r>
        <w:rPr>
          <w:rFonts w:eastAsia="宋体" w:hint="eastAsia"/>
          <w:b/>
          <w:bCs/>
        </w:rPr>
        <w:t xml:space="preserve"> </w:t>
      </w:r>
      <w:r>
        <w:rPr>
          <w:rFonts w:eastAsia="宋体" w:hint="eastAsia"/>
          <w:b/>
          <w:bCs/>
          <w:lang w:eastAsia="ja-JP"/>
        </w:rPr>
        <w:t>on one or more frequencies or frequency ranges</w:t>
      </w:r>
      <w:r>
        <w:rPr>
          <w:rFonts w:eastAsia="宋体" w:hint="eastAsia"/>
          <w:b/>
          <w:bCs/>
        </w:rPr>
        <w:t xml:space="preserve"> that</w:t>
      </w:r>
      <w:r w:rsidR="00F8785F">
        <w:rPr>
          <w:rFonts w:eastAsia="宋体"/>
          <w:b/>
          <w:bCs/>
        </w:rPr>
        <w:t xml:space="preserve"> are</w:t>
      </w:r>
      <w:r>
        <w:rPr>
          <w:rFonts w:eastAsia="宋体" w:hint="eastAsia"/>
          <w:b/>
          <w:bCs/>
        </w:rPr>
        <w:t xml:space="preserve"> included in the FDM assistance configuration.</w:t>
      </w:r>
    </w:p>
    <w:p w:rsidR="00505C19" w:rsidRDefault="00F25D1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05C19" w:rsidRDefault="00F25D12">
      <w:r>
        <w:rPr>
          <w:rFonts w:hint="eastAsia"/>
        </w:rPr>
        <w:t xml:space="preserve">With the above analysis, we have the following </w:t>
      </w:r>
      <w:r>
        <w:t>proposals</w:t>
      </w:r>
      <w:r>
        <w:rPr>
          <w:rFonts w:hint="eastAsia"/>
        </w:rPr>
        <w:t>:</w:t>
      </w:r>
    </w:p>
    <w:p w:rsidR="00F8785F" w:rsidRDefault="00F8785F" w:rsidP="00F8785F">
      <w:pPr>
        <w:spacing w:after="0"/>
        <w:rPr>
          <w:b/>
          <w:bCs/>
        </w:rPr>
      </w:pPr>
      <w:r>
        <w:rPr>
          <w:rFonts w:hint="eastAsia"/>
          <w:b/>
          <w:bCs/>
        </w:rPr>
        <w:t xml:space="preserve">Proposal 1: The UE sums up the denied UL slots together across all CC(s) in the CG. </w:t>
      </w:r>
      <w:r>
        <w:rPr>
          <w:b/>
          <w:bCs/>
        </w:rPr>
        <w:t xml:space="preserve">If the UE denies on one (or more) serving cells in a certain </w:t>
      </w:r>
      <w:r>
        <w:rPr>
          <w:rFonts w:hint="eastAsia"/>
          <w:b/>
          <w:bCs/>
        </w:rPr>
        <w:t>slot with the same numerology</w:t>
      </w:r>
      <w:r>
        <w:rPr>
          <w:b/>
          <w:bCs/>
        </w:rPr>
        <w:t>, it counts as one denial</w:t>
      </w:r>
      <w:r>
        <w:rPr>
          <w:rFonts w:hint="eastAsia"/>
          <w:b/>
          <w:bCs/>
        </w:rPr>
        <w:t>.</w:t>
      </w:r>
    </w:p>
    <w:p w:rsidR="00F8785F" w:rsidRDefault="00F8785F" w:rsidP="00F8785F">
      <w:pPr>
        <w:spacing w:after="0"/>
        <w:rPr>
          <w:b/>
          <w:bCs/>
        </w:rPr>
      </w:pPr>
      <w:r>
        <w:rPr>
          <w:rFonts w:hint="eastAsia"/>
          <w:b/>
          <w:bCs/>
        </w:rPr>
        <w:t>Proposal 1a: If proposal 1 was agreed, it can be added as a NOTE.</w:t>
      </w:r>
    </w:p>
    <w:p w:rsidR="001D3F40" w:rsidRDefault="001D3F40" w:rsidP="00F8785F">
      <w:pPr>
        <w:spacing w:after="0"/>
        <w:rPr>
          <w:b/>
          <w:bCs/>
        </w:rPr>
      </w:pPr>
    </w:p>
    <w:p w:rsidR="00F8785F" w:rsidRDefault="00F8785F" w:rsidP="00F8785F">
      <w:pPr>
        <w:rPr>
          <w:rFonts w:eastAsia="宋体"/>
          <w:b/>
          <w:bCs/>
        </w:rPr>
      </w:pPr>
      <w:r>
        <w:rPr>
          <w:rFonts w:eastAsia="宋体" w:hint="eastAsia"/>
          <w:b/>
          <w:bCs/>
        </w:rPr>
        <w:t xml:space="preserve">Proposal 2: RAN2 to clarify that for the case with only TDM assistance configuration, the UE can report the TDM assistance information if </w:t>
      </w:r>
      <w:r w:rsidR="001D3F40">
        <w:rPr>
          <w:rFonts w:eastAsia="宋体" w:hint="eastAsia"/>
          <w:b/>
          <w:bCs/>
        </w:rPr>
        <w:t xml:space="preserve">the UE </w:t>
      </w:r>
      <w:r w:rsidR="001D3F40">
        <w:rPr>
          <w:rFonts w:eastAsia="宋体" w:hint="eastAsia"/>
          <w:b/>
          <w:bCs/>
          <w:lang w:eastAsia="ja-JP"/>
        </w:rPr>
        <w:t>is experiencing IDC problems</w:t>
      </w:r>
      <w:r>
        <w:rPr>
          <w:rFonts w:eastAsia="宋体" w:hint="eastAsia"/>
          <w:b/>
          <w:bCs/>
        </w:rPr>
        <w:t xml:space="preserve"> on any UE supported frequencies.</w:t>
      </w:r>
    </w:p>
    <w:p w:rsidR="00F8785F" w:rsidRDefault="00F8785F" w:rsidP="00F8785F">
      <w:pPr>
        <w:rPr>
          <w:rFonts w:eastAsia="宋体"/>
        </w:rPr>
      </w:pPr>
      <w:r>
        <w:rPr>
          <w:rFonts w:eastAsia="宋体" w:hint="eastAsia"/>
          <w:b/>
          <w:bCs/>
        </w:rPr>
        <w:t xml:space="preserve">Proposal 3: RAN2 to confirm that for the case with only FDM assistance configuration, the UE shall not report the TDM assistance information.  </w:t>
      </w:r>
    </w:p>
    <w:p w:rsidR="00505C19" w:rsidRPr="00F8785F" w:rsidRDefault="00F8785F">
      <w:r>
        <w:rPr>
          <w:rFonts w:eastAsia="宋体" w:hint="eastAsia"/>
          <w:b/>
          <w:bCs/>
        </w:rPr>
        <w:t xml:space="preserve">Proposal 4: RAN2 to confirm that for the case with both TDM and FDM assistance configuration, the UE shall the TDM assistance information only when the UE </w:t>
      </w:r>
      <w:r>
        <w:rPr>
          <w:rFonts w:eastAsia="宋体" w:hint="eastAsia"/>
          <w:b/>
          <w:bCs/>
          <w:lang w:eastAsia="ja-JP"/>
        </w:rPr>
        <w:t>is experiencing IDC problems</w:t>
      </w:r>
      <w:r>
        <w:rPr>
          <w:rFonts w:eastAsia="宋体" w:hint="eastAsia"/>
          <w:b/>
          <w:bCs/>
        </w:rPr>
        <w:t xml:space="preserve"> </w:t>
      </w:r>
      <w:r>
        <w:rPr>
          <w:rFonts w:eastAsia="宋体" w:hint="eastAsia"/>
          <w:b/>
          <w:bCs/>
          <w:lang w:eastAsia="ja-JP"/>
        </w:rPr>
        <w:t>on one or more frequencies or frequency ranges</w:t>
      </w:r>
      <w:r>
        <w:rPr>
          <w:rFonts w:eastAsia="宋体" w:hint="eastAsia"/>
          <w:b/>
          <w:bCs/>
        </w:rPr>
        <w:t xml:space="preserve"> that</w:t>
      </w:r>
      <w:r>
        <w:rPr>
          <w:rFonts w:eastAsia="宋体"/>
          <w:b/>
          <w:bCs/>
        </w:rPr>
        <w:t xml:space="preserve"> are</w:t>
      </w:r>
      <w:r>
        <w:rPr>
          <w:rFonts w:eastAsia="宋体" w:hint="eastAsia"/>
          <w:b/>
          <w:bCs/>
        </w:rPr>
        <w:t xml:space="preserve"> included in the FDM assistance configuration.</w:t>
      </w:r>
      <w:bookmarkStart w:id="2" w:name="_GoBack"/>
      <w:bookmarkEnd w:id="2"/>
    </w:p>
    <w:sectPr w:rsidR="00505C19" w:rsidRPr="00F8785F">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8AF" w:rsidRDefault="006868AF">
      <w:pPr>
        <w:spacing w:line="240" w:lineRule="auto"/>
      </w:pPr>
      <w:r>
        <w:separator/>
      </w:r>
    </w:p>
  </w:endnote>
  <w:endnote w:type="continuationSeparator" w:id="0">
    <w:p w:rsidR="006868AF" w:rsidRDefault="006868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C19" w:rsidRDefault="00505C1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8AF" w:rsidRDefault="006868AF">
      <w:pPr>
        <w:spacing w:after="0"/>
      </w:pPr>
      <w:r>
        <w:separator/>
      </w:r>
    </w:p>
  </w:footnote>
  <w:footnote w:type="continuationSeparator" w:id="0">
    <w:p w:rsidR="006868AF" w:rsidRDefault="006868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C19" w:rsidRDefault="00505C1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677977D"/>
    <w:multiLevelType w:val="singleLevel"/>
    <w:tmpl w:val="2677977D"/>
    <w:lvl w:ilvl="0">
      <w:start w:val="1"/>
      <w:numFmt w:val="bullet"/>
      <w:lvlText w:val=""/>
      <w:lvlJc w:val="left"/>
      <w:pPr>
        <w:ind w:left="420" w:hanging="420"/>
      </w:pPr>
      <w:rPr>
        <w:rFonts w:ascii="Wingdings" w:hAnsi="Wingdings" w:hint="default"/>
      </w:rPr>
    </w:lvl>
  </w:abstractNum>
  <w:abstractNum w:abstractNumId="3" w15:restartNumberingAfterBreak="0">
    <w:nsid w:val="3F010279"/>
    <w:multiLevelType w:val="singleLevel"/>
    <w:tmpl w:val="3F010279"/>
    <w:lvl w:ilvl="0">
      <w:start w:val="1"/>
      <w:numFmt w:val="bullet"/>
      <w:lvlText w:val=""/>
      <w:lvlJc w:val="left"/>
      <w:pPr>
        <w:ind w:left="42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3F4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065A"/>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A9E"/>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2F3F"/>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5C19"/>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68AF"/>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5D12"/>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8785F"/>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945468"/>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7D7C11"/>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085B9B"/>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430FA"/>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3EC1A5B"/>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855DAA"/>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2E7338"/>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03492B"/>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CE2747"/>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2438DC"/>
    <w:rsid w:val="59324A93"/>
    <w:rsid w:val="59330283"/>
    <w:rsid w:val="59483685"/>
    <w:rsid w:val="59574683"/>
    <w:rsid w:val="597E6ABE"/>
    <w:rsid w:val="598744A3"/>
    <w:rsid w:val="59892AEA"/>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EC7356"/>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762072"/>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A36CCD"/>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16EA8"/>
    <w:rsid w:val="6E527A2D"/>
    <w:rsid w:val="6E7B5445"/>
    <w:rsid w:val="6E847F11"/>
    <w:rsid w:val="6EB45479"/>
    <w:rsid w:val="6ECA5A5F"/>
    <w:rsid w:val="6ECD380D"/>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AF85DDB"/>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7257E"/>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721580-6DB0-48DE-96D0-ECEF4D238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000000"/>
      <w:sz w:val="18"/>
      <w:szCs w:val="18"/>
      <w:u w:val="none"/>
    </w:rPr>
  </w:style>
  <w:style w:type="character" w:customStyle="1" w:styleId="3GPPNormalTextChar">
    <w:name w:val="3GPP Normal Text Char"/>
    <w:basedOn w:val="a0"/>
    <w:qFormat/>
    <w:rPr>
      <w:rFonts w:ascii="Arial" w:eastAsia="MS Mincho" w:hAnsi="Arial" w:cs="Arial" w:hint="default"/>
      <w:sz w:val="24"/>
      <w:szCs w:val="24"/>
      <w:lang w:val="en-US" w:eastAsia="en-US"/>
    </w:rPr>
  </w:style>
  <w:style w:type="character" w:customStyle="1" w:styleId="TFChar">
    <w:name w:val="TF Char"/>
    <w:basedOn w:val="a0"/>
    <w:qFormat/>
    <w:rPr>
      <w:rFonts w:ascii="Arial" w:eastAsia="Times New Roman" w:hAnsi="Arial" w:cs="Arial" w:hint="default"/>
      <w:b/>
      <w:lang w:val="en-US"/>
    </w:rPr>
  </w:style>
  <w:style w:type="character" w:customStyle="1" w:styleId="NOChar">
    <w:name w:val="NO Char"/>
    <w:basedOn w:val="a0"/>
    <w:qFormat/>
    <w:rPr>
      <w:rFonts w:ascii="Times New Roman" w:eastAsia="Times New Roman" w:hAnsi="Times New Roman" w:cs="Times New Roman" w:hint="default"/>
      <w:lang w:val="en-US"/>
    </w:rPr>
  </w:style>
  <w:style w:type="character" w:customStyle="1" w:styleId="B10Char">
    <w:name w:val="B10 Char"/>
    <w:basedOn w:val="B5Char"/>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character" w:customStyle="1" w:styleId="CharChar3">
    <w:name w:val="Char Char3"/>
    <w:basedOn w:val="a0"/>
    <w:qFormat/>
    <w:rPr>
      <w:rFonts w:ascii="Courier New" w:hAnsi="Courier New" w:cs="Courier New" w:hint="default"/>
      <w:lang w:val="nb-NO"/>
    </w:rPr>
  </w:style>
  <w:style w:type="character" w:customStyle="1" w:styleId="4Char1">
    <w:name w:val="标题 4 Char1"/>
    <w:basedOn w:val="a0"/>
    <w:qFormat/>
    <w:rPr>
      <w:rFonts w:ascii="Arial" w:eastAsia="Times New Roman" w:hAnsi="Arial" w:cs="Arial" w:hint="default"/>
      <w:sz w:val="24"/>
      <w:lang w:val="en-US"/>
    </w:rPr>
  </w:style>
  <w:style w:type="character" w:customStyle="1" w:styleId="Char13">
    <w:name w:val="页眉 Char1"/>
    <w:basedOn w:val="a0"/>
    <w:qFormat/>
    <w:rPr>
      <w:rFonts w:ascii="Arial" w:eastAsia="Times New Roman" w:hAnsi="Arial" w:cs="Arial" w:hint="default"/>
      <w:b/>
      <w:sz w:val="18"/>
      <w:lang w:val="en-US"/>
    </w:rPr>
  </w:style>
  <w:style w:type="character" w:customStyle="1" w:styleId="TACChar">
    <w:name w:val="TAC Ch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hint="default"/>
      <w:sz w:val="16"/>
      <w:shd w:val="clear" w:color="auto" w:fill="E6E6E6"/>
      <w:lang w:val="en-US" w:eastAsia="en-US"/>
    </w:rPr>
  </w:style>
  <w:style w:type="character" w:customStyle="1" w:styleId="Char14">
    <w:name w:val="列出段落 Char1"/>
    <w:basedOn w:val="a0"/>
    <w:qFormat/>
    <w:rPr>
      <w:rFonts w:ascii="Times New Roman" w:eastAsia="Times New Roman" w:hAnsi="Times New Roman" w:cs="Times New Roman" w:hint="default"/>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EditorsNoteChar">
    <w:name w:val="Editor's Note Char"/>
    <w:basedOn w:val="a0"/>
    <w:qFormat/>
    <w:rPr>
      <w:rFonts w:ascii="Times New Roman" w:eastAsia="Times New Roman" w:hAnsi="Times New Roman" w:cs="Times New Roman" w:hint="default"/>
      <w:color w:val="FF0000"/>
      <w:lang w:val="en-US"/>
    </w:rPr>
  </w:style>
  <w:style w:type="character" w:customStyle="1" w:styleId="fontstyle01">
    <w:name w:val="fontstyle01"/>
    <w:basedOn w:val="a0"/>
    <w:qFormat/>
    <w:rPr>
      <w:rFonts w:ascii="TimesNewRomanPSMT" w:eastAsia="TimesNewRomanPSMT" w:hAnsi="TimesNewRomanPSMT" w:cs="TimesNewRomanPSMT" w:hint="default"/>
      <w:color w:val="000000"/>
      <w:sz w:val="20"/>
      <w:szCs w:val="20"/>
    </w:rPr>
  </w:style>
  <w:style w:type="character" w:customStyle="1" w:styleId="B3Car">
    <w:name w:val="B3 Car"/>
    <w:basedOn w:val="a0"/>
    <w:qFormat/>
    <w:rPr>
      <w:rFonts w:ascii="Times New Roman" w:hAnsi="Times New Roman" w:cs="Times New Roman" w:hint="default"/>
      <w:lang w:val="en-US" w:eastAsia="en-US"/>
    </w:rPr>
  </w:style>
  <w:style w:type="character" w:customStyle="1" w:styleId="B6Char">
    <w:name w:val="B6 Char"/>
    <w:basedOn w:val="a0"/>
    <w:qFormat/>
    <w:rPr>
      <w:rFonts w:ascii="Times New Roman" w:eastAsia="Times New Roman" w:hAnsi="Times New Roman" w:cs="Times New Roman" w:hint="default"/>
      <w:lang w:val="en-US"/>
    </w:rPr>
  </w:style>
  <w:style w:type="character" w:customStyle="1" w:styleId="B7Char">
    <w:name w:val="B7 Char"/>
    <w:basedOn w:val="a0"/>
    <w:qFormat/>
    <w:rPr>
      <w:rFonts w:ascii="Times New Roman" w:eastAsia="Times New Roman" w:hAnsi="Times New Roman" w:cs="Times New Roman" w:hint="default"/>
      <w:lang w:val="en-US"/>
    </w:rPr>
  </w:style>
  <w:style w:type="character" w:customStyle="1" w:styleId="EXChar">
    <w:name w:val="EX Char"/>
    <w:basedOn w:val="a0"/>
    <w:qFormat/>
    <w:rPr>
      <w:rFonts w:ascii="Times New Roman" w:eastAsia="Times New Roman" w:hAnsi="Times New Roman" w:cs="Times New Roman" w:hint="default"/>
      <w:lang w:val="en-US"/>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248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DFCFA3-4D6C-41B9-8F37-AA1F8526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1234</Words>
  <Characters>7040</Characters>
  <Application>Microsoft Office Word</Application>
  <DocSecurity>0</DocSecurity>
  <Lines>58</Lines>
  <Paragraphs>16</Paragraphs>
  <ScaleCrop>false</ScaleCrop>
  <Company>www.zte.com.cn</Company>
  <LinksUpToDate>false</LinksUpToDate>
  <CharactersWithSpaces>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5</cp:revision>
  <cp:lastPrinted>2113-01-01T00:00:00Z</cp:lastPrinted>
  <dcterms:created xsi:type="dcterms:W3CDTF">2023-02-17T05:42:00Z</dcterms:created>
  <dcterms:modified xsi:type="dcterms:W3CDTF">2023-05-12T08:32:00Z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