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169D27C6"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7357E7">
        <w:rPr>
          <w:rFonts w:cs="Arial"/>
          <w:b/>
          <w:sz w:val="24"/>
          <w:lang w:val="en-US"/>
        </w:rPr>
        <w:t>2</w:t>
      </w:r>
      <w:r w:rsidR="00722F29">
        <w:rPr>
          <w:rFonts w:cs="Arial"/>
          <w:b/>
          <w:sz w:val="24"/>
          <w:lang w:val="en-US"/>
        </w:rPr>
        <w:t xml:space="preserve"> </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6E363D" w:rsidRPr="006E363D">
        <w:rPr>
          <w:rFonts w:cs="Arial"/>
          <w:b/>
          <w:sz w:val="24"/>
          <w:lang w:val="en-US"/>
        </w:rPr>
        <w:t>R2-2306058</w:t>
      </w:r>
      <w:r w:rsidRPr="00DC168D">
        <w:rPr>
          <w:rFonts w:cs="Arial"/>
          <w:b/>
          <w:sz w:val="24"/>
          <w:lang w:val="en-US"/>
        </w:rPr>
        <w:br/>
      </w:r>
      <w:bookmarkStart w:id="0" w:name="_Hlk101695338"/>
      <w:r w:rsidR="007357E7" w:rsidRPr="007357E7">
        <w:rPr>
          <w:b/>
          <w:sz w:val="24"/>
        </w:rPr>
        <w:t>Incheon, Korea, May 22-26, 2023</w:t>
      </w:r>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0"/>
    </w:p>
    <w:p w14:paraId="5BF18584" w14:textId="77777777" w:rsidR="00280751" w:rsidRPr="00692DEB" w:rsidRDefault="00280751" w:rsidP="00280751">
      <w:pPr>
        <w:pStyle w:val="CRCoverPage"/>
        <w:outlineLvl w:val="0"/>
        <w:rPr>
          <w:b/>
          <w:sz w:val="24"/>
          <w:lang w:val="en-US"/>
        </w:rPr>
      </w:pPr>
    </w:p>
    <w:p w14:paraId="5B9BF21E" w14:textId="37193120"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FB2660">
        <w:rPr>
          <w:rFonts w:ascii="Arial" w:eastAsia="MS Mincho" w:hAnsi="Arial" w:cs="Arial"/>
          <w:b/>
          <w:bCs/>
          <w:color w:val="auto"/>
          <w:sz w:val="24"/>
          <w:lang w:eastAsia="en-US"/>
        </w:rPr>
        <w:t>7</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4D3EBCC3"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E522A9" w:rsidRPr="00E522A9">
        <w:rPr>
          <w:rFonts w:ascii="Arial" w:hAnsi="Arial" w:cs="Arial"/>
          <w:b/>
          <w:bCs/>
          <w:sz w:val="24"/>
          <w:szCs w:val="24"/>
          <w:lang w:eastAsia="en-US"/>
        </w:rPr>
        <w:t>SL</w:t>
      </w:r>
      <w:r w:rsidR="004E73D5">
        <w:rPr>
          <w:rFonts w:ascii="Arial" w:hAnsi="Arial" w:cs="Arial"/>
          <w:b/>
          <w:bCs/>
          <w:sz w:val="24"/>
          <w:szCs w:val="24"/>
          <w:lang w:eastAsia="en-US"/>
        </w:rPr>
        <w:t xml:space="preserve"> </w:t>
      </w:r>
      <w:r w:rsidR="00FB2660" w:rsidRPr="00FB2660">
        <w:rPr>
          <w:rFonts w:ascii="Arial" w:hAnsi="Arial" w:cs="Arial"/>
          <w:b/>
          <w:bCs/>
          <w:sz w:val="24"/>
          <w:szCs w:val="24"/>
          <w:lang w:eastAsia="en-US"/>
        </w:rPr>
        <w:t xml:space="preserve">coexistence for LTE </w:t>
      </w:r>
      <w:r w:rsidR="00FB2660">
        <w:rPr>
          <w:rFonts w:ascii="Arial" w:hAnsi="Arial" w:cs="Arial"/>
          <w:b/>
          <w:bCs/>
          <w:sz w:val="24"/>
          <w:szCs w:val="24"/>
          <w:lang w:eastAsia="en-US"/>
        </w:rPr>
        <w:t>V2X</w:t>
      </w:r>
      <w:r w:rsidR="00FB2660" w:rsidRPr="00FB2660">
        <w:rPr>
          <w:rFonts w:ascii="Arial" w:hAnsi="Arial" w:cs="Arial"/>
          <w:b/>
          <w:bCs/>
          <w:sz w:val="24"/>
          <w:szCs w:val="24"/>
          <w:lang w:eastAsia="en-US"/>
        </w:rPr>
        <w:t xml:space="preserve"> and NR</w:t>
      </w:r>
      <w:r w:rsidR="00FB2660">
        <w:rPr>
          <w:rFonts w:ascii="Arial" w:hAnsi="Arial" w:cs="Arial"/>
          <w:b/>
          <w:bCs/>
          <w:sz w:val="24"/>
          <w:szCs w:val="24"/>
          <w:lang w:eastAsia="en-US"/>
        </w:rPr>
        <w:t xml:space="preserve"> V2X</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52A7B781" w14:textId="22A1AB52" w:rsidR="00E84C8C" w:rsidRDefault="004456F4" w:rsidP="00E84C8C">
      <w:pPr>
        <w:spacing w:after="120"/>
        <w:rPr>
          <w:color w:val="auto"/>
          <w:sz w:val="22"/>
          <w:szCs w:val="22"/>
        </w:rPr>
      </w:pPr>
      <w:r w:rsidRPr="00700406">
        <w:rPr>
          <w:color w:val="auto"/>
          <w:sz w:val="22"/>
          <w:szCs w:val="22"/>
        </w:rPr>
        <w:t xml:space="preserve">The </w:t>
      </w:r>
      <w:r w:rsidR="00711043">
        <w:rPr>
          <w:color w:val="auto"/>
          <w:sz w:val="22"/>
          <w:szCs w:val="22"/>
        </w:rPr>
        <w:t>o</w:t>
      </w:r>
      <w:r w:rsidRPr="00700406">
        <w:rPr>
          <w:color w:val="auto"/>
          <w:sz w:val="22"/>
          <w:szCs w:val="22"/>
        </w:rPr>
        <w:t xml:space="preserve">bjective of </w:t>
      </w:r>
      <w:r w:rsidR="00E84C8C" w:rsidRPr="00427B7A">
        <w:rPr>
          <w:color w:val="auto"/>
          <w:sz w:val="22"/>
          <w:szCs w:val="22"/>
        </w:rPr>
        <w:t xml:space="preserve">co-channel coexistence for LTE sidelink and NR sidelink </w:t>
      </w:r>
      <w:proofErr w:type="gramStart"/>
      <w:r w:rsidRPr="00700406">
        <w:rPr>
          <w:color w:val="auto"/>
          <w:sz w:val="22"/>
          <w:szCs w:val="22"/>
        </w:rPr>
        <w:t>was updated</w:t>
      </w:r>
      <w:proofErr w:type="gramEnd"/>
      <w:r w:rsidRPr="00700406">
        <w:rPr>
          <w:color w:val="auto"/>
          <w:sz w:val="22"/>
          <w:szCs w:val="22"/>
        </w:rPr>
        <w:t xml:space="preserve"> </w:t>
      </w:r>
      <w:r w:rsidR="00E84C8C" w:rsidRPr="00700406">
        <w:rPr>
          <w:color w:val="auto"/>
          <w:sz w:val="22"/>
          <w:szCs w:val="22"/>
        </w:rPr>
        <w:t>at RAN #99 [1]</w:t>
      </w:r>
    </w:p>
    <w:p w14:paraId="73C6C2AA" w14:textId="0372777E" w:rsidR="004456F4" w:rsidRDefault="004456F4" w:rsidP="00700406">
      <w:pPr>
        <w:spacing w:after="120"/>
        <w:rPr>
          <w:color w:val="auto"/>
          <w:sz w:val="22"/>
          <w:szCs w:val="22"/>
        </w:rPr>
      </w:pPr>
      <w:r w:rsidRPr="00700406">
        <w:rPr>
          <w:color w:val="auto"/>
          <w:sz w:val="22"/>
          <w:szCs w:val="22"/>
        </w:rPr>
        <w:t>as the follows</w:t>
      </w:r>
      <w:r w:rsidR="00E84C8C">
        <w:rPr>
          <w:color w:val="auto"/>
          <w:sz w:val="22"/>
          <w:szCs w:val="22"/>
        </w:rPr>
        <w:t>.</w:t>
      </w:r>
      <w:r w:rsidRPr="00700406">
        <w:rPr>
          <w:color w:val="auto"/>
          <w:sz w:val="22"/>
          <w:szCs w:val="22"/>
        </w:rPr>
        <w:t xml:space="preserve"> </w:t>
      </w: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4456F4" w:rsidRPr="00700406" w14:paraId="581971FE" w14:textId="77777777" w:rsidTr="00700406">
        <w:trPr>
          <w:trHeight w:val="251"/>
        </w:trPr>
        <w:tc>
          <w:tcPr>
            <w:tcW w:w="8910" w:type="dxa"/>
          </w:tcPr>
          <w:p w14:paraId="571100C8" w14:textId="77777777" w:rsidR="00E84C8C" w:rsidRPr="00E84C8C" w:rsidRDefault="00E84C8C" w:rsidP="00E84C8C">
            <w:pPr>
              <w:numPr>
                <w:ilvl w:val="0"/>
                <w:numId w:val="13"/>
              </w:numPr>
              <w:spacing w:before="120" w:after="0"/>
              <w:ind w:left="426" w:hanging="284"/>
              <w:textAlignment w:val="baseline"/>
              <w:rPr>
                <w:rFonts w:ascii="Times" w:hAnsi="Times" w:cs="Times"/>
                <w:i/>
                <w:iCs/>
                <w:sz w:val="22"/>
                <w:szCs w:val="22"/>
              </w:rPr>
            </w:pPr>
            <w:bookmarkStart w:id="1" w:name="_Hlk89917254"/>
            <w:r w:rsidRPr="00E84C8C">
              <w:rPr>
                <w:rFonts w:ascii="Times" w:hAnsi="Times" w:cs="Times"/>
                <w:i/>
                <w:iCs/>
                <w:sz w:val="22"/>
                <w:szCs w:val="22"/>
              </w:rPr>
              <w:t>Study and specify, if necessary, mechanism(s) for co-channel coexistence for LTE sidelink and NR sidelink including performance, necessity, feasibility, and potential specification impact if any [RAN1, RAN2, RAN4]</w:t>
            </w:r>
          </w:p>
          <w:p w14:paraId="4257DFFC" w14:textId="77777777" w:rsidR="00E84C8C" w:rsidRPr="00E84C8C" w:rsidRDefault="00E84C8C" w:rsidP="00E84C8C">
            <w:pPr>
              <w:numPr>
                <w:ilvl w:val="0"/>
                <w:numId w:val="12"/>
              </w:numPr>
              <w:spacing w:before="60" w:after="60"/>
              <w:ind w:left="993" w:hanging="284"/>
              <w:textAlignment w:val="baseline"/>
              <w:rPr>
                <w:rFonts w:ascii="Times" w:hAnsi="Times" w:cs="Times"/>
                <w:i/>
                <w:iCs/>
                <w:sz w:val="22"/>
                <w:szCs w:val="22"/>
                <w:lang w:eastAsia="ko-KR"/>
              </w:rPr>
            </w:pPr>
            <w:r w:rsidRPr="00E84C8C">
              <w:rPr>
                <w:rFonts w:ascii="Times" w:hAnsi="Times" w:cs="Times"/>
                <w:i/>
                <w:iCs/>
                <w:sz w:val="22"/>
                <w:szCs w:val="22"/>
                <w:lang w:eastAsia="ko-KR"/>
              </w:rPr>
              <w:t>Reuse the in-device coexistence framework defined in Rel-16 as much as possible</w:t>
            </w:r>
          </w:p>
          <w:p w14:paraId="40388C88" w14:textId="77777777" w:rsidR="00E84C8C" w:rsidRPr="00E84C8C" w:rsidRDefault="00E84C8C" w:rsidP="00E84C8C">
            <w:pPr>
              <w:numPr>
                <w:ilvl w:val="0"/>
                <w:numId w:val="12"/>
              </w:numPr>
              <w:spacing w:before="60" w:after="60"/>
              <w:ind w:left="993" w:hanging="284"/>
              <w:textAlignment w:val="baseline"/>
              <w:rPr>
                <w:rFonts w:ascii="Times" w:hAnsi="Times" w:cs="Times"/>
                <w:i/>
                <w:iCs/>
                <w:sz w:val="22"/>
                <w:szCs w:val="22"/>
                <w:lang w:eastAsia="ko-KR"/>
              </w:rPr>
            </w:pPr>
            <w:r w:rsidRPr="00E84C8C">
              <w:rPr>
                <w:rFonts w:ascii="Times" w:hAnsi="Times" w:cs="Times"/>
                <w:i/>
                <w:iCs/>
                <w:sz w:val="22"/>
                <w:szCs w:val="22"/>
                <w:lang w:eastAsia="ko-KR"/>
              </w:rPr>
              <w:t>Note, RAN1 continues the work on dynamic resource pool sharing based on existing agreements and WID with high priority for Type A devices and operating combination A</w:t>
            </w:r>
          </w:p>
          <w:p w14:paraId="547409E8" w14:textId="77777777" w:rsidR="00E84C8C" w:rsidRPr="007357E7" w:rsidRDefault="00E84C8C" w:rsidP="00E84C8C">
            <w:pPr>
              <w:numPr>
                <w:ilvl w:val="0"/>
                <w:numId w:val="12"/>
              </w:numPr>
              <w:spacing w:before="60" w:after="60"/>
              <w:ind w:left="993" w:hanging="284"/>
              <w:textAlignment w:val="baseline"/>
              <w:rPr>
                <w:rFonts w:ascii="Times" w:hAnsi="Times" w:cs="Times"/>
                <w:i/>
                <w:iCs/>
                <w:color w:val="7030A0"/>
                <w:sz w:val="22"/>
                <w:szCs w:val="22"/>
                <w:lang w:eastAsia="ko-KR"/>
              </w:rPr>
            </w:pPr>
            <w:r w:rsidRPr="007357E7">
              <w:rPr>
                <w:rFonts w:ascii="Times" w:hAnsi="Times" w:cs="Times"/>
                <w:i/>
                <w:iCs/>
                <w:color w:val="7030A0"/>
                <w:sz w:val="22"/>
                <w:szCs w:val="22"/>
                <w:lang w:eastAsia="ko-KR"/>
              </w:rPr>
              <w:t xml:space="preserve">RAN1 </w:t>
            </w:r>
            <w:proofErr w:type="gramStart"/>
            <w:r w:rsidRPr="007357E7">
              <w:rPr>
                <w:rFonts w:ascii="Times" w:hAnsi="Times" w:cs="Times"/>
                <w:i/>
                <w:iCs/>
                <w:color w:val="7030A0"/>
                <w:sz w:val="22"/>
                <w:szCs w:val="22"/>
                <w:lang w:eastAsia="ko-KR"/>
              </w:rPr>
              <w:t>is tasked</w:t>
            </w:r>
            <w:proofErr w:type="gramEnd"/>
            <w:r w:rsidRPr="007357E7">
              <w:rPr>
                <w:rFonts w:ascii="Times" w:hAnsi="Times" w:cs="Times"/>
                <w:i/>
                <w:iCs/>
                <w:color w:val="7030A0"/>
                <w:sz w:val="22"/>
                <w:szCs w:val="22"/>
                <w:lang w:eastAsia="ko-KR"/>
              </w:rPr>
              <w:t xml:space="preserve"> to support </w:t>
            </w:r>
            <w:r w:rsidRPr="007357E7">
              <w:rPr>
                <w:rFonts w:ascii="Times" w:hAnsi="Times" w:cs="Times"/>
                <w:b/>
                <w:bCs/>
                <w:i/>
                <w:iCs/>
                <w:color w:val="7030A0"/>
                <w:sz w:val="22"/>
                <w:szCs w:val="22"/>
                <w:lang w:eastAsia="ko-KR"/>
              </w:rPr>
              <w:t>only 15 and 30 kHz SCSs</w:t>
            </w:r>
            <w:r w:rsidRPr="007357E7">
              <w:rPr>
                <w:rFonts w:ascii="Times" w:hAnsi="Times" w:cs="Times"/>
                <w:i/>
                <w:iCs/>
                <w:color w:val="7030A0"/>
                <w:sz w:val="22"/>
                <w:szCs w:val="22"/>
                <w:lang w:eastAsia="ko-KR"/>
              </w:rPr>
              <w:t xml:space="preserve"> for dynamic resource pool sharing. Existing RAN1 agreements for dynamic resource pool sharing apply to support of 30 kHz.</w:t>
            </w:r>
          </w:p>
          <w:p w14:paraId="02ACF495" w14:textId="77777777" w:rsidR="00E84C8C" w:rsidRPr="007357E7" w:rsidRDefault="00E84C8C" w:rsidP="00E84C8C">
            <w:pPr>
              <w:numPr>
                <w:ilvl w:val="1"/>
                <w:numId w:val="12"/>
              </w:numPr>
              <w:spacing w:before="60" w:after="60"/>
              <w:textAlignment w:val="baseline"/>
              <w:rPr>
                <w:rFonts w:ascii="Times" w:hAnsi="Times" w:cs="Times"/>
                <w:i/>
                <w:iCs/>
                <w:color w:val="7030A0"/>
                <w:sz w:val="22"/>
                <w:szCs w:val="22"/>
                <w:lang w:eastAsia="ko-KR"/>
              </w:rPr>
            </w:pPr>
            <w:r w:rsidRPr="007357E7">
              <w:rPr>
                <w:rFonts w:ascii="Times" w:hAnsi="Times" w:cs="Times"/>
                <w:i/>
                <w:iCs/>
                <w:color w:val="7030A0"/>
                <w:sz w:val="22"/>
                <w:szCs w:val="22"/>
                <w:lang w:eastAsia="ko-KR"/>
              </w:rPr>
              <w:t xml:space="preserve">For </w:t>
            </w:r>
            <w:bookmarkStart w:id="2" w:name="_Hlk134706905"/>
            <w:r w:rsidRPr="007357E7">
              <w:rPr>
                <w:rFonts w:ascii="Times" w:hAnsi="Times" w:cs="Times"/>
                <w:b/>
                <w:bCs/>
                <w:i/>
                <w:iCs/>
                <w:color w:val="7030A0"/>
                <w:sz w:val="22"/>
                <w:szCs w:val="22"/>
                <w:lang w:eastAsia="ko-KR"/>
              </w:rPr>
              <w:t>NR PSCCH/PSSCH transmissions in 30kHz SCS</w:t>
            </w:r>
            <w:bookmarkEnd w:id="2"/>
            <w:r w:rsidRPr="007357E7">
              <w:rPr>
                <w:rFonts w:ascii="Times" w:hAnsi="Times" w:cs="Times"/>
                <w:i/>
                <w:iCs/>
                <w:color w:val="7030A0"/>
                <w:sz w:val="22"/>
                <w:szCs w:val="22"/>
                <w:lang w:eastAsia="ko-KR"/>
              </w:rPr>
              <w:t xml:space="preserve">, NR SL UE selects in MAC layer at least the </w:t>
            </w:r>
            <w:r w:rsidRPr="007357E7">
              <w:rPr>
                <w:rFonts w:ascii="Times" w:hAnsi="Times" w:cs="Times"/>
                <w:b/>
                <w:bCs/>
                <w:i/>
                <w:iCs/>
                <w:color w:val="7030A0"/>
                <w:sz w:val="22"/>
                <w:szCs w:val="22"/>
                <w:lang w:eastAsia="ko-KR"/>
              </w:rPr>
              <w:t>first of NR SL slots overlapping with an LTE SL subframe</w:t>
            </w:r>
            <w:r w:rsidRPr="007357E7">
              <w:rPr>
                <w:rFonts w:ascii="Times" w:hAnsi="Times" w:cs="Times"/>
                <w:i/>
                <w:iCs/>
                <w:color w:val="7030A0"/>
                <w:sz w:val="22"/>
                <w:szCs w:val="22"/>
                <w:lang w:eastAsia="ko-KR"/>
              </w:rPr>
              <w:t xml:space="preserve">, and can select the </w:t>
            </w:r>
            <w:r w:rsidRPr="007357E7">
              <w:rPr>
                <w:rFonts w:ascii="Times" w:hAnsi="Times" w:cs="Times"/>
                <w:b/>
                <w:bCs/>
                <w:i/>
                <w:iCs/>
                <w:color w:val="7030A0"/>
                <w:sz w:val="22"/>
                <w:szCs w:val="22"/>
                <w:lang w:eastAsia="ko-KR"/>
              </w:rPr>
              <w:t>subsequent overlapping NR SL slot</w:t>
            </w:r>
            <w:r w:rsidRPr="007357E7">
              <w:rPr>
                <w:rFonts w:ascii="Times" w:hAnsi="Times" w:cs="Times"/>
                <w:i/>
                <w:iCs/>
                <w:color w:val="7030A0"/>
                <w:sz w:val="22"/>
                <w:szCs w:val="22"/>
                <w:lang w:eastAsia="ko-KR"/>
              </w:rPr>
              <w:t xml:space="preserve"> in MAC layer</w:t>
            </w:r>
          </w:p>
          <w:p w14:paraId="402FAFCD" w14:textId="77777777" w:rsidR="00E84C8C" w:rsidRPr="007357E7" w:rsidRDefault="00E84C8C" w:rsidP="00E84C8C">
            <w:pPr>
              <w:numPr>
                <w:ilvl w:val="2"/>
                <w:numId w:val="12"/>
              </w:numPr>
              <w:spacing w:before="60" w:after="60"/>
              <w:textAlignment w:val="baseline"/>
              <w:rPr>
                <w:rFonts w:ascii="Times" w:hAnsi="Times" w:cs="Times"/>
                <w:i/>
                <w:iCs/>
                <w:color w:val="7030A0"/>
                <w:sz w:val="22"/>
                <w:szCs w:val="22"/>
                <w:lang w:eastAsia="ko-KR"/>
              </w:rPr>
            </w:pPr>
            <w:r w:rsidRPr="007357E7">
              <w:rPr>
                <w:rFonts w:ascii="Times" w:hAnsi="Times" w:cs="Times"/>
                <w:i/>
                <w:iCs/>
                <w:color w:val="7030A0"/>
                <w:sz w:val="22"/>
                <w:szCs w:val="22"/>
                <w:lang w:eastAsia="ko-KR"/>
              </w:rPr>
              <w:t>No change to the R16/17 resource allocation procedure in PHY due to this restriction</w:t>
            </w:r>
          </w:p>
          <w:p w14:paraId="007823BF" w14:textId="77777777" w:rsidR="00E84C8C" w:rsidRPr="007357E7" w:rsidRDefault="00E84C8C" w:rsidP="00E84C8C">
            <w:pPr>
              <w:numPr>
                <w:ilvl w:val="2"/>
                <w:numId w:val="12"/>
              </w:numPr>
              <w:spacing w:before="60" w:after="60"/>
              <w:textAlignment w:val="baseline"/>
              <w:rPr>
                <w:rFonts w:ascii="Times" w:hAnsi="Times" w:cs="Times"/>
                <w:i/>
                <w:iCs/>
                <w:color w:val="7030A0"/>
                <w:sz w:val="22"/>
                <w:szCs w:val="22"/>
                <w:lang w:eastAsia="ko-KR"/>
              </w:rPr>
            </w:pPr>
            <w:r w:rsidRPr="007357E7">
              <w:rPr>
                <w:rFonts w:ascii="Times" w:hAnsi="Times" w:cs="Times"/>
                <w:i/>
                <w:iCs/>
                <w:color w:val="7030A0"/>
                <w:sz w:val="22"/>
                <w:szCs w:val="22"/>
                <w:lang w:eastAsia="ko-KR"/>
              </w:rPr>
              <w:t>The existing SL slot structure from Rel-16 is unchanged</w:t>
            </w:r>
          </w:p>
          <w:p w14:paraId="1BFFF975" w14:textId="77777777" w:rsidR="00E84C8C" w:rsidRPr="007357E7" w:rsidRDefault="00E84C8C" w:rsidP="00E84C8C">
            <w:pPr>
              <w:numPr>
                <w:ilvl w:val="2"/>
                <w:numId w:val="12"/>
              </w:numPr>
              <w:spacing w:before="60" w:after="60"/>
              <w:textAlignment w:val="baseline"/>
              <w:rPr>
                <w:rFonts w:ascii="Times" w:hAnsi="Times" w:cs="Times"/>
                <w:i/>
                <w:iCs/>
                <w:color w:val="7030A0"/>
                <w:sz w:val="22"/>
                <w:szCs w:val="22"/>
                <w:lang w:eastAsia="ko-KR"/>
              </w:rPr>
            </w:pPr>
            <w:r w:rsidRPr="007357E7">
              <w:rPr>
                <w:rFonts w:ascii="Times" w:hAnsi="Times" w:cs="Times"/>
                <w:i/>
                <w:iCs/>
                <w:color w:val="7030A0"/>
                <w:sz w:val="22"/>
                <w:szCs w:val="22"/>
                <w:lang w:eastAsia="ko-KR"/>
              </w:rPr>
              <w:t xml:space="preserve">The starting symbol of the first of the overlapping NR SL slots </w:t>
            </w:r>
            <w:proofErr w:type="gramStart"/>
            <w:r w:rsidRPr="007357E7">
              <w:rPr>
                <w:rFonts w:ascii="Times" w:hAnsi="Times" w:cs="Times"/>
                <w:i/>
                <w:iCs/>
                <w:color w:val="7030A0"/>
                <w:sz w:val="22"/>
                <w:szCs w:val="22"/>
                <w:lang w:eastAsia="ko-KR"/>
              </w:rPr>
              <w:t>is assumed</w:t>
            </w:r>
            <w:proofErr w:type="gramEnd"/>
            <w:r w:rsidRPr="007357E7">
              <w:rPr>
                <w:rFonts w:ascii="Times" w:hAnsi="Times" w:cs="Times"/>
                <w:i/>
                <w:iCs/>
                <w:color w:val="7030A0"/>
                <w:sz w:val="22"/>
                <w:szCs w:val="22"/>
                <w:lang w:eastAsia="ko-KR"/>
              </w:rPr>
              <w:t xml:space="preserve"> to be aligned with the first symbol of the LTE SL subframe</w:t>
            </w:r>
          </w:p>
          <w:p w14:paraId="4611B148" w14:textId="77777777" w:rsidR="00E84C8C" w:rsidRPr="007357E7" w:rsidRDefault="00E84C8C" w:rsidP="00E84C8C">
            <w:pPr>
              <w:numPr>
                <w:ilvl w:val="1"/>
                <w:numId w:val="12"/>
              </w:numPr>
              <w:spacing w:before="60" w:after="60"/>
              <w:textAlignment w:val="baseline"/>
              <w:rPr>
                <w:rFonts w:ascii="Times" w:hAnsi="Times" w:cs="Times"/>
                <w:i/>
                <w:iCs/>
                <w:color w:val="7030A0"/>
                <w:sz w:val="22"/>
                <w:szCs w:val="22"/>
                <w:lang w:eastAsia="ko-KR"/>
              </w:rPr>
            </w:pPr>
            <w:r w:rsidRPr="007357E7">
              <w:rPr>
                <w:rFonts w:ascii="Times" w:hAnsi="Times" w:cs="Times"/>
                <w:i/>
                <w:iCs/>
                <w:color w:val="7030A0"/>
                <w:sz w:val="22"/>
                <w:szCs w:val="22"/>
                <w:lang w:eastAsia="ko-KR"/>
              </w:rPr>
              <w:t xml:space="preserve">For </w:t>
            </w:r>
            <w:r w:rsidRPr="007357E7">
              <w:rPr>
                <w:rFonts w:ascii="Times" w:hAnsi="Times" w:cs="Times"/>
                <w:b/>
                <w:bCs/>
                <w:i/>
                <w:iCs/>
                <w:color w:val="7030A0"/>
                <w:sz w:val="22"/>
                <w:szCs w:val="22"/>
                <w:lang w:eastAsia="ko-KR"/>
              </w:rPr>
              <w:t>NR SL with 15/30kHz SCSs</w:t>
            </w:r>
            <w:r w:rsidRPr="007357E7">
              <w:rPr>
                <w:rFonts w:ascii="Times" w:hAnsi="Times" w:cs="Times"/>
                <w:i/>
                <w:iCs/>
                <w:color w:val="7030A0"/>
                <w:sz w:val="22"/>
                <w:szCs w:val="22"/>
                <w:lang w:eastAsia="ko-KR"/>
              </w:rPr>
              <w:t xml:space="preserve">, NR SL UE </w:t>
            </w:r>
            <w:r w:rsidRPr="007357E7">
              <w:rPr>
                <w:rFonts w:ascii="Times" w:hAnsi="Times" w:cs="Times"/>
                <w:b/>
                <w:bCs/>
                <w:i/>
                <w:iCs/>
                <w:color w:val="7030A0"/>
                <w:sz w:val="22"/>
                <w:szCs w:val="22"/>
                <w:lang w:eastAsia="ko-KR"/>
              </w:rPr>
              <w:t>avoids selecting resources for PSCCH/PSSCH transmissions where the corresponding PSFCH transmission occasions overlap with LTE SL reservations in time domain</w:t>
            </w:r>
          </w:p>
          <w:p w14:paraId="2FCAE9D7" w14:textId="77777777" w:rsidR="00E84C8C" w:rsidRPr="007357E7" w:rsidRDefault="00E84C8C" w:rsidP="00E84C8C">
            <w:pPr>
              <w:numPr>
                <w:ilvl w:val="2"/>
                <w:numId w:val="12"/>
              </w:numPr>
              <w:spacing w:before="60" w:after="60"/>
              <w:textAlignment w:val="baseline"/>
              <w:rPr>
                <w:rFonts w:ascii="Times" w:hAnsi="Times" w:cs="Times"/>
                <w:i/>
                <w:iCs/>
                <w:color w:val="7030A0"/>
                <w:sz w:val="22"/>
                <w:szCs w:val="22"/>
                <w:lang w:eastAsia="ko-KR"/>
              </w:rPr>
            </w:pPr>
            <w:r w:rsidRPr="007357E7">
              <w:rPr>
                <w:rFonts w:ascii="Times" w:hAnsi="Times" w:cs="Times"/>
                <w:i/>
                <w:iCs/>
                <w:color w:val="7030A0"/>
                <w:sz w:val="22"/>
                <w:szCs w:val="22"/>
                <w:lang w:eastAsia="ko-KR"/>
              </w:rPr>
              <w:t xml:space="preserve">Note, this is inline with Option 1-2 in the working assumption made in RAN1#112. No other options from the working assumption need to </w:t>
            </w:r>
            <w:proofErr w:type="gramStart"/>
            <w:r w:rsidRPr="007357E7">
              <w:rPr>
                <w:rFonts w:ascii="Times" w:hAnsi="Times" w:cs="Times"/>
                <w:i/>
                <w:iCs/>
                <w:color w:val="7030A0"/>
                <w:sz w:val="22"/>
                <w:szCs w:val="22"/>
                <w:lang w:eastAsia="ko-KR"/>
              </w:rPr>
              <w:t>be considered</w:t>
            </w:r>
            <w:proofErr w:type="gramEnd"/>
            <w:r w:rsidRPr="007357E7">
              <w:rPr>
                <w:rFonts w:ascii="Times" w:hAnsi="Times" w:cs="Times"/>
                <w:i/>
                <w:iCs/>
                <w:color w:val="7030A0"/>
                <w:sz w:val="22"/>
                <w:szCs w:val="22"/>
                <w:lang w:eastAsia="ko-KR"/>
              </w:rPr>
              <w:t>.</w:t>
            </w:r>
          </w:p>
          <w:p w14:paraId="4E7ACD0E" w14:textId="5EB709CB" w:rsidR="004456F4" w:rsidRPr="00E84C8C" w:rsidRDefault="00E84C8C" w:rsidP="00E84C8C">
            <w:pPr>
              <w:numPr>
                <w:ilvl w:val="1"/>
                <w:numId w:val="12"/>
              </w:numPr>
              <w:spacing w:before="60" w:after="60"/>
              <w:textAlignment w:val="baseline"/>
              <w:rPr>
                <w:rFonts w:ascii="Times" w:hAnsi="Times" w:cs="Times"/>
                <w:iCs/>
                <w:lang w:eastAsia="ko-KR"/>
              </w:rPr>
            </w:pPr>
            <w:r w:rsidRPr="007357E7">
              <w:rPr>
                <w:rFonts w:ascii="Times" w:hAnsi="Times" w:cs="Times"/>
                <w:i/>
                <w:iCs/>
                <w:color w:val="7030A0"/>
                <w:sz w:val="22"/>
                <w:szCs w:val="22"/>
                <w:lang w:eastAsia="ko-KR"/>
              </w:rPr>
              <w:t>Mode 2 operation only</w:t>
            </w:r>
          </w:p>
        </w:tc>
      </w:tr>
      <w:bookmarkEnd w:id="1"/>
    </w:tbl>
    <w:p w14:paraId="63370A4B" w14:textId="77777777" w:rsidR="004456F4" w:rsidRDefault="004456F4" w:rsidP="004456F4">
      <w:pPr>
        <w:rPr>
          <w:color w:val="auto"/>
          <w:sz w:val="22"/>
          <w:szCs w:val="22"/>
        </w:rPr>
      </w:pPr>
    </w:p>
    <w:p w14:paraId="5192C419" w14:textId="008425BF" w:rsidR="004456F4" w:rsidRDefault="004456F4" w:rsidP="004456F4">
      <w:pPr>
        <w:rPr>
          <w:color w:val="auto"/>
          <w:sz w:val="22"/>
          <w:szCs w:val="22"/>
        </w:rPr>
      </w:pPr>
      <w:r w:rsidRPr="00613452">
        <w:rPr>
          <w:color w:val="auto"/>
          <w:sz w:val="22"/>
          <w:szCs w:val="22"/>
        </w:rPr>
        <w:t xml:space="preserve">In this contribution, we discuss </w:t>
      </w:r>
      <w:r w:rsidR="00E84C8C">
        <w:rPr>
          <w:color w:val="auto"/>
          <w:sz w:val="22"/>
          <w:szCs w:val="22"/>
        </w:rPr>
        <w:t xml:space="preserve">possible </w:t>
      </w:r>
      <w:r>
        <w:rPr>
          <w:color w:val="auto"/>
          <w:sz w:val="22"/>
          <w:szCs w:val="22"/>
        </w:rPr>
        <w:t xml:space="preserve">RAN2 </w:t>
      </w:r>
      <w:r w:rsidR="00E84C8C">
        <w:rPr>
          <w:color w:val="auto"/>
          <w:sz w:val="22"/>
          <w:szCs w:val="22"/>
        </w:rPr>
        <w:t xml:space="preserve">work to support </w:t>
      </w:r>
      <w:r w:rsidR="00E84C8C" w:rsidRPr="0057505F">
        <w:rPr>
          <w:color w:val="auto"/>
          <w:sz w:val="22"/>
          <w:szCs w:val="22"/>
        </w:rPr>
        <w:t xml:space="preserve">co-channel coexistence for LTE </w:t>
      </w:r>
      <w:r w:rsidR="00427B7A">
        <w:rPr>
          <w:color w:val="auto"/>
          <w:sz w:val="22"/>
          <w:szCs w:val="22"/>
        </w:rPr>
        <w:t>V2X</w:t>
      </w:r>
      <w:r w:rsidR="00E84C8C" w:rsidRPr="0057505F">
        <w:rPr>
          <w:color w:val="auto"/>
          <w:sz w:val="22"/>
          <w:szCs w:val="22"/>
        </w:rPr>
        <w:t xml:space="preserve"> and NR </w:t>
      </w:r>
      <w:r w:rsidR="00427B7A">
        <w:rPr>
          <w:color w:val="auto"/>
          <w:sz w:val="22"/>
          <w:szCs w:val="22"/>
        </w:rPr>
        <w:t>V2X</w:t>
      </w:r>
      <w:r w:rsidR="00E84C8C" w:rsidRPr="0057505F">
        <w:rPr>
          <w:color w:val="auto"/>
          <w:sz w:val="22"/>
          <w:szCs w:val="22"/>
        </w:rPr>
        <w:t xml:space="preserve"> per the latest</w:t>
      </w:r>
      <w:r w:rsidR="0057505F" w:rsidRPr="0057505F">
        <w:rPr>
          <w:color w:val="auto"/>
          <w:sz w:val="22"/>
          <w:szCs w:val="22"/>
        </w:rPr>
        <w:t xml:space="preserve"> objective of the co-channel coexistence</w:t>
      </w:r>
      <w:r>
        <w:rPr>
          <w:color w:val="auto"/>
          <w:sz w:val="22"/>
          <w:szCs w:val="22"/>
        </w:rPr>
        <w:t xml:space="preserve"> on sidelink</w:t>
      </w:r>
      <w:r w:rsidRPr="00613452">
        <w:rPr>
          <w:color w:val="auto"/>
          <w:sz w:val="22"/>
          <w:szCs w:val="22"/>
        </w:rPr>
        <w:t>.</w:t>
      </w:r>
    </w:p>
    <w:p w14:paraId="577AC138" w14:textId="77777777" w:rsidR="004456F4" w:rsidRDefault="004456F4" w:rsidP="004456F4">
      <w:pPr>
        <w:pStyle w:val="Heading1"/>
        <w:rPr>
          <w:b/>
          <w:lang w:val="en-US"/>
        </w:rPr>
      </w:pPr>
      <w:r w:rsidRPr="000E215F">
        <w:rPr>
          <w:lang w:val="en-US"/>
        </w:rPr>
        <w:lastRenderedPageBreak/>
        <w:t xml:space="preserve">Discussion </w:t>
      </w:r>
      <w:r w:rsidRPr="000E215F">
        <w:rPr>
          <w:b/>
          <w:lang w:val="en-US"/>
        </w:rPr>
        <w:t xml:space="preserve"> </w:t>
      </w:r>
    </w:p>
    <w:p w14:paraId="58720151" w14:textId="4C9A52E3" w:rsidR="00700406" w:rsidRPr="00700406" w:rsidRDefault="00427B7A" w:rsidP="00700406">
      <w:pPr>
        <w:spacing w:after="120"/>
        <w:textAlignment w:val="baseline"/>
        <w:rPr>
          <w:sz w:val="22"/>
          <w:szCs w:val="22"/>
        </w:rPr>
      </w:pPr>
      <w:r>
        <w:rPr>
          <w:sz w:val="22"/>
          <w:szCs w:val="22"/>
        </w:rPr>
        <w:t xml:space="preserve">Based on the updated objective of </w:t>
      </w:r>
      <w:r w:rsidRPr="00427B7A">
        <w:rPr>
          <w:color w:val="auto"/>
          <w:sz w:val="22"/>
          <w:szCs w:val="22"/>
        </w:rPr>
        <w:t>co-channel coexistence for LTE sidelink and NR sidelink</w:t>
      </w:r>
      <w:r>
        <w:rPr>
          <w:color w:val="auto"/>
          <w:sz w:val="22"/>
          <w:szCs w:val="22"/>
        </w:rPr>
        <w:t>, resource selection for NR sidelink needs to consider co-existence with LTE</w:t>
      </w:r>
      <w:r w:rsidR="00176153">
        <w:rPr>
          <w:color w:val="auto"/>
          <w:sz w:val="22"/>
          <w:szCs w:val="22"/>
        </w:rPr>
        <w:t xml:space="preserve"> to minimize the impact to LTE V2X</w:t>
      </w:r>
      <w:r w:rsidR="00700406" w:rsidRPr="00700406">
        <w:rPr>
          <w:sz w:val="22"/>
          <w:szCs w:val="22"/>
        </w:rPr>
        <w:t>.</w:t>
      </w:r>
    </w:p>
    <w:p w14:paraId="0D6643EB" w14:textId="22E1ADD1" w:rsidR="000E5599" w:rsidRDefault="00427B7A" w:rsidP="000E5599">
      <w:pPr>
        <w:pStyle w:val="Heading2"/>
      </w:pPr>
      <w:r w:rsidRPr="00427B7A">
        <w:t>NR transmissions</w:t>
      </w:r>
      <w:r w:rsidR="00DB5268">
        <w:t xml:space="preserve"> without HARQ feedback</w:t>
      </w:r>
    </w:p>
    <w:p w14:paraId="250D710F" w14:textId="054FB276" w:rsidR="00DF67F9" w:rsidRDefault="00427B7A" w:rsidP="000E5599">
      <w:pPr>
        <w:spacing w:after="120"/>
        <w:rPr>
          <w:sz w:val="22"/>
          <w:szCs w:val="22"/>
        </w:rPr>
      </w:pPr>
      <w:r>
        <w:rPr>
          <w:sz w:val="22"/>
          <w:szCs w:val="22"/>
        </w:rPr>
        <w:t>With the same numerology, e.g., 15kHz sub-carrier space</w:t>
      </w:r>
      <w:r w:rsidR="004F15C4">
        <w:rPr>
          <w:sz w:val="22"/>
          <w:szCs w:val="22"/>
        </w:rPr>
        <w:t xml:space="preserve"> (SCS)</w:t>
      </w:r>
      <w:r>
        <w:rPr>
          <w:sz w:val="22"/>
          <w:szCs w:val="22"/>
        </w:rPr>
        <w:t xml:space="preserve">, LTE V2X and NR V2X have the same slot </w:t>
      </w:r>
      <w:r w:rsidR="004F15C4">
        <w:rPr>
          <w:sz w:val="22"/>
          <w:szCs w:val="22"/>
        </w:rPr>
        <w:t>boundary</w:t>
      </w:r>
      <w:r>
        <w:rPr>
          <w:sz w:val="22"/>
          <w:szCs w:val="22"/>
        </w:rPr>
        <w:t>, thus the current slot based resource selection</w:t>
      </w:r>
      <w:r w:rsidR="004F15C4">
        <w:rPr>
          <w:sz w:val="22"/>
          <w:szCs w:val="22"/>
        </w:rPr>
        <w:t xml:space="preserve"> for </w:t>
      </w:r>
      <w:r w:rsidR="00176153">
        <w:rPr>
          <w:sz w:val="22"/>
          <w:szCs w:val="22"/>
        </w:rPr>
        <w:t xml:space="preserve">an NR V2X </w:t>
      </w:r>
      <w:r w:rsidR="004F15C4">
        <w:rPr>
          <w:sz w:val="22"/>
          <w:szCs w:val="22"/>
        </w:rPr>
        <w:t>transmission</w:t>
      </w:r>
      <w:r w:rsidR="00176153">
        <w:rPr>
          <w:sz w:val="22"/>
          <w:szCs w:val="22"/>
        </w:rPr>
        <w:t xml:space="preserve"> or retransmission(s) without HARQ feedback</w:t>
      </w:r>
      <w:r w:rsidR="004F15C4">
        <w:rPr>
          <w:sz w:val="22"/>
          <w:szCs w:val="22"/>
        </w:rPr>
        <w:t xml:space="preserve"> may still work </w:t>
      </w:r>
      <w:r w:rsidR="00176153">
        <w:rPr>
          <w:sz w:val="22"/>
          <w:szCs w:val="22"/>
        </w:rPr>
        <w:t>while</w:t>
      </w:r>
      <w:r w:rsidR="004F15C4">
        <w:rPr>
          <w:sz w:val="22"/>
          <w:szCs w:val="22"/>
        </w:rPr>
        <w:t xml:space="preserve"> </w:t>
      </w:r>
      <w:r w:rsidR="00176153">
        <w:rPr>
          <w:sz w:val="22"/>
          <w:szCs w:val="22"/>
        </w:rPr>
        <w:t xml:space="preserve">co-existing with </w:t>
      </w:r>
      <w:r w:rsidR="004F15C4">
        <w:rPr>
          <w:sz w:val="22"/>
          <w:szCs w:val="22"/>
        </w:rPr>
        <w:t>LTE V2X</w:t>
      </w:r>
      <w:r w:rsidR="00176153">
        <w:rPr>
          <w:sz w:val="22"/>
          <w:szCs w:val="22"/>
        </w:rPr>
        <w:t xml:space="preserve"> in a slot</w:t>
      </w:r>
      <w:r w:rsidR="004F15C4">
        <w:rPr>
          <w:sz w:val="22"/>
          <w:szCs w:val="22"/>
        </w:rPr>
        <w:t>.</w:t>
      </w:r>
    </w:p>
    <w:p w14:paraId="19843E33" w14:textId="57DF53D6" w:rsidR="004F15C4" w:rsidRDefault="005F3AA8" w:rsidP="006A4610">
      <w:pPr>
        <w:spacing w:before="120" w:after="240"/>
        <w:textAlignment w:val="baseline"/>
        <w:rPr>
          <w:b/>
          <w:bCs/>
          <w:i/>
          <w:iCs/>
          <w:sz w:val="22"/>
          <w:szCs w:val="22"/>
        </w:rPr>
      </w:pPr>
      <w:r>
        <w:rPr>
          <w:b/>
          <w:bCs/>
          <w:i/>
          <w:iCs/>
          <w:sz w:val="22"/>
          <w:szCs w:val="22"/>
        </w:rPr>
        <w:t>Proposal</w:t>
      </w:r>
      <w:r w:rsidR="000E5599" w:rsidRPr="00630B37">
        <w:rPr>
          <w:b/>
          <w:bCs/>
          <w:i/>
          <w:iCs/>
          <w:sz w:val="22"/>
          <w:szCs w:val="22"/>
        </w:rPr>
        <w:t xml:space="preserve"> </w:t>
      </w:r>
      <w:proofErr w:type="gramStart"/>
      <w:r w:rsidR="000E5599">
        <w:rPr>
          <w:b/>
          <w:bCs/>
          <w:i/>
          <w:iCs/>
          <w:sz w:val="22"/>
          <w:szCs w:val="22"/>
        </w:rPr>
        <w:t>1</w:t>
      </w:r>
      <w:proofErr w:type="gramEnd"/>
      <w:r w:rsidR="000E5599" w:rsidRPr="00630B37">
        <w:rPr>
          <w:b/>
          <w:bCs/>
          <w:i/>
          <w:iCs/>
          <w:sz w:val="22"/>
          <w:szCs w:val="22"/>
        </w:rPr>
        <w:t>.</w:t>
      </w:r>
      <w:r w:rsidR="004F15C4">
        <w:rPr>
          <w:b/>
          <w:bCs/>
          <w:i/>
          <w:iCs/>
          <w:sz w:val="22"/>
          <w:szCs w:val="22"/>
        </w:rPr>
        <w:t xml:space="preserve"> </w:t>
      </w:r>
      <w:r w:rsidR="00176153">
        <w:rPr>
          <w:b/>
          <w:bCs/>
          <w:i/>
          <w:iCs/>
          <w:sz w:val="22"/>
          <w:szCs w:val="22"/>
        </w:rPr>
        <w:t>For the numerology of 15kHz SCS, n</w:t>
      </w:r>
      <w:r w:rsidR="004F15C4">
        <w:rPr>
          <w:b/>
          <w:bCs/>
          <w:i/>
          <w:iCs/>
          <w:sz w:val="22"/>
          <w:szCs w:val="22"/>
        </w:rPr>
        <w:t xml:space="preserve">o RAN2 work </w:t>
      </w:r>
      <w:proofErr w:type="gramStart"/>
      <w:r w:rsidR="00176153">
        <w:rPr>
          <w:b/>
          <w:bCs/>
          <w:i/>
          <w:iCs/>
          <w:sz w:val="22"/>
          <w:szCs w:val="22"/>
        </w:rPr>
        <w:t>is needed</w:t>
      </w:r>
      <w:proofErr w:type="gramEnd"/>
      <w:r w:rsidR="00176153">
        <w:rPr>
          <w:b/>
          <w:bCs/>
          <w:i/>
          <w:iCs/>
          <w:sz w:val="22"/>
          <w:szCs w:val="22"/>
        </w:rPr>
        <w:t xml:space="preserve"> </w:t>
      </w:r>
      <w:r w:rsidR="004F15C4">
        <w:rPr>
          <w:b/>
          <w:bCs/>
          <w:i/>
          <w:iCs/>
          <w:sz w:val="22"/>
          <w:szCs w:val="22"/>
        </w:rPr>
        <w:t xml:space="preserve">on resource selection for </w:t>
      </w:r>
      <w:r w:rsidR="00DB5268">
        <w:rPr>
          <w:b/>
          <w:bCs/>
          <w:i/>
          <w:iCs/>
          <w:sz w:val="22"/>
          <w:szCs w:val="22"/>
        </w:rPr>
        <w:t>NR V2X</w:t>
      </w:r>
      <w:r w:rsidR="004F15C4">
        <w:rPr>
          <w:b/>
          <w:bCs/>
          <w:i/>
          <w:iCs/>
          <w:sz w:val="22"/>
          <w:szCs w:val="22"/>
        </w:rPr>
        <w:t xml:space="preserve"> transmission</w:t>
      </w:r>
      <w:r w:rsidR="00176153">
        <w:rPr>
          <w:b/>
          <w:bCs/>
          <w:i/>
          <w:iCs/>
          <w:sz w:val="22"/>
          <w:szCs w:val="22"/>
        </w:rPr>
        <w:t xml:space="preserve"> or retransmission(</w:t>
      </w:r>
      <w:r w:rsidR="004F15C4">
        <w:rPr>
          <w:b/>
          <w:bCs/>
          <w:i/>
          <w:iCs/>
          <w:sz w:val="22"/>
          <w:szCs w:val="22"/>
        </w:rPr>
        <w:t>s</w:t>
      </w:r>
      <w:r w:rsidR="00176153">
        <w:rPr>
          <w:b/>
          <w:bCs/>
          <w:i/>
          <w:iCs/>
          <w:sz w:val="22"/>
          <w:szCs w:val="22"/>
        </w:rPr>
        <w:t>)</w:t>
      </w:r>
      <w:r w:rsidR="00DB5268">
        <w:rPr>
          <w:b/>
          <w:bCs/>
          <w:i/>
          <w:iCs/>
          <w:sz w:val="22"/>
          <w:szCs w:val="22"/>
        </w:rPr>
        <w:t xml:space="preserve"> without HARQ feedback </w:t>
      </w:r>
      <w:r w:rsidR="00DB5268" w:rsidRPr="005F3AA8">
        <w:rPr>
          <w:b/>
          <w:bCs/>
          <w:i/>
          <w:iCs/>
          <w:sz w:val="22"/>
          <w:szCs w:val="22"/>
        </w:rPr>
        <w:t xml:space="preserve">while co-existing with LTE V2X in a </w:t>
      </w:r>
      <w:r w:rsidR="00A6343D">
        <w:rPr>
          <w:b/>
          <w:bCs/>
          <w:i/>
          <w:iCs/>
          <w:sz w:val="22"/>
          <w:szCs w:val="22"/>
        </w:rPr>
        <w:t>slot</w:t>
      </w:r>
      <w:r w:rsidR="004F15C4">
        <w:rPr>
          <w:b/>
          <w:bCs/>
          <w:i/>
          <w:iCs/>
          <w:sz w:val="22"/>
          <w:szCs w:val="22"/>
        </w:rPr>
        <w:t>.</w:t>
      </w:r>
    </w:p>
    <w:p w14:paraId="6785CF3F" w14:textId="19C0E0E5" w:rsidR="004F15C4" w:rsidRDefault="004F15C4" w:rsidP="004F15C4">
      <w:pPr>
        <w:spacing w:after="120"/>
        <w:rPr>
          <w:sz w:val="22"/>
          <w:szCs w:val="22"/>
        </w:rPr>
      </w:pPr>
      <w:r>
        <w:rPr>
          <w:sz w:val="22"/>
          <w:szCs w:val="22"/>
        </w:rPr>
        <w:t xml:space="preserve">With different numerologies, e.g., 15kHz SCS for LTE and 30kHz </w:t>
      </w:r>
      <w:r w:rsidR="00176153">
        <w:rPr>
          <w:sz w:val="22"/>
          <w:szCs w:val="22"/>
        </w:rPr>
        <w:t xml:space="preserve">SCS </w:t>
      </w:r>
      <w:r>
        <w:rPr>
          <w:sz w:val="22"/>
          <w:szCs w:val="22"/>
        </w:rPr>
        <w:t xml:space="preserve">for NR, LTE V2X and NR V2X have the same </w:t>
      </w:r>
      <w:r w:rsidR="006A4610">
        <w:rPr>
          <w:sz w:val="22"/>
          <w:szCs w:val="22"/>
        </w:rPr>
        <w:t>subframe</w:t>
      </w:r>
      <w:r>
        <w:rPr>
          <w:sz w:val="22"/>
          <w:szCs w:val="22"/>
        </w:rPr>
        <w:t xml:space="preserve"> boundary</w:t>
      </w:r>
      <w:r w:rsidR="006A4610">
        <w:rPr>
          <w:sz w:val="22"/>
          <w:szCs w:val="22"/>
        </w:rPr>
        <w:t xml:space="preserve"> but different slot boundaries. For example, there are two NR slots for each LTE slot, and thus only the odd number NR slots (e.g., the first, third, fifth, </w:t>
      </w:r>
      <w:proofErr w:type="gramStart"/>
      <w:r w:rsidR="006A4610">
        <w:rPr>
          <w:sz w:val="22"/>
          <w:szCs w:val="22"/>
        </w:rPr>
        <w:t>and so on</w:t>
      </w:r>
      <w:proofErr w:type="gramEnd"/>
      <w:r w:rsidR="006A4610">
        <w:rPr>
          <w:sz w:val="22"/>
          <w:szCs w:val="22"/>
        </w:rPr>
        <w:t>) are aligned with LTE</w:t>
      </w:r>
      <w:r w:rsidR="00A6343D">
        <w:rPr>
          <w:sz w:val="22"/>
          <w:szCs w:val="22"/>
        </w:rPr>
        <w:t xml:space="preserve"> </w:t>
      </w:r>
      <w:r w:rsidR="006A4610">
        <w:rPr>
          <w:sz w:val="22"/>
          <w:szCs w:val="22"/>
        </w:rPr>
        <w:t xml:space="preserve">slots. In this </w:t>
      </w:r>
      <w:r w:rsidR="00A6343D">
        <w:rPr>
          <w:sz w:val="22"/>
          <w:szCs w:val="22"/>
        </w:rPr>
        <w:t>regard</w:t>
      </w:r>
      <w:r w:rsidR="006A4610">
        <w:rPr>
          <w:sz w:val="22"/>
          <w:szCs w:val="22"/>
        </w:rPr>
        <w:t xml:space="preserve">, to meet the following requirement </w:t>
      </w:r>
      <w:r w:rsidR="00176153">
        <w:rPr>
          <w:sz w:val="22"/>
          <w:szCs w:val="22"/>
        </w:rPr>
        <w:t xml:space="preserve">described </w:t>
      </w:r>
      <w:r w:rsidR="006A4610">
        <w:rPr>
          <w:sz w:val="22"/>
          <w:szCs w:val="22"/>
        </w:rPr>
        <w:t>in the objective, RAN2 needs to discuss how to support NR V2X transmission</w:t>
      </w:r>
      <w:r w:rsidR="00176153">
        <w:rPr>
          <w:sz w:val="22"/>
          <w:szCs w:val="22"/>
        </w:rPr>
        <w:t xml:space="preserve"> or retransmission(s) without HARQ feedback</w:t>
      </w:r>
      <w:r w:rsidR="006A4610">
        <w:rPr>
          <w:sz w:val="22"/>
          <w:szCs w:val="22"/>
        </w:rPr>
        <w:t xml:space="preserve"> while co-existing with LTE</w:t>
      </w:r>
      <w:r w:rsidR="005F3AA8">
        <w:rPr>
          <w:sz w:val="22"/>
          <w:szCs w:val="22"/>
        </w:rPr>
        <w:t xml:space="preserve"> V2X in a subframe</w:t>
      </w:r>
      <w:r>
        <w:rPr>
          <w:sz w:val="22"/>
          <w:szCs w:val="22"/>
        </w:rPr>
        <w:t>.</w:t>
      </w:r>
    </w:p>
    <w:p w14:paraId="4B334390" w14:textId="684E3F0A" w:rsidR="006A4610" w:rsidRDefault="006A4610" w:rsidP="006A4610">
      <w:pPr>
        <w:spacing w:after="120"/>
        <w:jc w:val="center"/>
        <w:rPr>
          <w:sz w:val="22"/>
          <w:szCs w:val="22"/>
        </w:rPr>
      </w:pPr>
      <w:r w:rsidRPr="006A4610">
        <w:rPr>
          <w:noProof/>
          <w:sz w:val="22"/>
          <w:szCs w:val="22"/>
        </w:rPr>
        <w:drawing>
          <wp:inline distT="0" distB="0" distL="0" distR="0" wp14:anchorId="1CD56370" wp14:editId="4D001D0E">
            <wp:extent cx="4858428" cy="523948"/>
            <wp:effectExtent l="57150" t="57150" r="94615" b="104775"/>
            <wp:docPr id="1" name="Picture 1" descr="A picture containing text, font, line,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font, line, screenshot&#10;&#10;Description automatically generated"/>
                    <pic:cNvPicPr/>
                  </pic:nvPicPr>
                  <pic:blipFill>
                    <a:blip r:embed="rId8"/>
                    <a:stretch>
                      <a:fillRect/>
                    </a:stretch>
                  </pic:blipFill>
                  <pic:spPr>
                    <a:xfrm>
                      <a:off x="0" y="0"/>
                      <a:ext cx="4858428" cy="523948"/>
                    </a:xfrm>
                    <a:prstGeom prst="rect">
                      <a:avLst/>
                    </a:prstGeom>
                    <a:ln>
                      <a:solidFill>
                        <a:srgbClr val="7030A0"/>
                      </a:solidFill>
                    </a:ln>
                    <a:effectLst>
                      <a:outerShdw blurRad="50800" dist="38100" dir="2700000" algn="tl" rotWithShape="0">
                        <a:prstClr val="black">
                          <a:alpha val="40000"/>
                        </a:prstClr>
                      </a:outerShdw>
                    </a:effectLst>
                  </pic:spPr>
                </pic:pic>
              </a:graphicData>
            </a:graphic>
          </wp:inline>
        </w:drawing>
      </w:r>
    </w:p>
    <w:p w14:paraId="77BA7C4F" w14:textId="13C08469" w:rsidR="005F3AA8" w:rsidRDefault="005F3AA8" w:rsidP="005F3AA8">
      <w:pPr>
        <w:spacing w:before="120" w:after="240"/>
        <w:textAlignment w:val="baseline"/>
        <w:rPr>
          <w:b/>
          <w:bCs/>
          <w:i/>
          <w:iCs/>
          <w:sz w:val="22"/>
          <w:szCs w:val="22"/>
        </w:rPr>
      </w:pPr>
      <w:r>
        <w:rPr>
          <w:b/>
          <w:bCs/>
          <w:i/>
          <w:iCs/>
          <w:sz w:val="22"/>
          <w:szCs w:val="22"/>
        </w:rPr>
        <w:t>Proposal</w:t>
      </w:r>
      <w:r w:rsidRPr="00630B37">
        <w:rPr>
          <w:b/>
          <w:bCs/>
          <w:i/>
          <w:iCs/>
          <w:sz w:val="22"/>
          <w:szCs w:val="22"/>
        </w:rPr>
        <w:t xml:space="preserve"> </w:t>
      </w:r>
      <w:proofErr w:type="gramStart"/>
      <w:r>
        <w:rPr>
          <w:b/>
          <w:bCs/>
          <w:i/>
          <w:iCs/>
          <w:sz w:val="22"/>
          <w:szCs w:val="22"/>
        </w:rPr>
        <w:t>2</w:t>
      </w:r>
      <w:proofErr w:type="gramEnd"/>
      <w:r w:rsidRPr="00630B37">
        <w:rPr>
          <w:b/>
          <w:bCs/>
          <w:i/>
          <w:iCs/>
          <w:sz w:val="22"/>
          <w:szCs w:val="22"/>
        </w:rPr>
        <w:t>.</w:t>
      </w:r>
      <w:r>
        <w:rPr>
          <w:b/>
          <w:bCs/>
          <w:i/>
          <w:iCs/>
          <w:sz w:val="22"/>
          <w:szCs w:val="22"/>
        </w:rPr>
        <w:t xml:space="preserve"> </w:t>
      </w:r>
      <w:r w:rsidR="00176153">
        <w:rPr>
          <w:b/>
          <w:bCs/>
          <w:i/>
          <w:iCs/>
          <w:sz w:val="22"/>
          <w:szCs w:val="22"/>
        </w:rPr>
        <w:t xml:space="preserve">For the numerology of 30kHz SCS, </w:t>
      </w:r>
      <w:r w:rsidRPr="005F3AA8">
        <w:rPr>
          <w:b/>
          <w:bCs/>
          <w:i/>
          <w:iCs/>
          <w:sz w:val="22"/>
          <w:szCs w:val="22"/>
        </w:rPr>
        <w:t>RAN2 needs to discuss how to support NR V2X transmission</w:t>
      </w:r>
      <w:r w:rsidR="00176153">
        <w:rPr>
          <w:b/>
          <w:bCs/>
          <w:i/>
          <w:iCs/>
          <w:sz w:val="22"/>
          <w:szCs w:val="22"/>
        </w:rPr>
        <w:t xml:space="preserve"> or retransmission(s) without HARQ feedback</w:t>
      </w:r>
      <w:r w:rsidR="00DB5268">
        <w:rPr>
          <w:b/>
          <w:bCs/>
          <w:i/>
          <w:iCs/>
          <w:sz w:val="22"/>
          <w:szCs w:val="22"/>
        </w:rPr>
        <w:t xml:space="preserve"> </w:t>
      </w:r>
      <w:r w:rsidRPr="005F3AA8">
        <w:rPr>
          <w:b/>
          <w:bCs/>
          <w:i/>
          <w:iCs/>
          <w:sz w:val="22"/>
          <w:szCs w:val="22"/>
        </w:rPr>
        <w:t>while co-existing with LTE V2X in a subframe</w:t>
      </w:r>
      <w:r>
        <w:rPr>
          <w:b/>
          <w:bCs/>
          <w:i/>
          <w:iCs/>
          <w:sz w:val="22"/>
          <w:szCs w:val="22"/>
        </w:rPr>
        <w:t>.</w:t>
      </w:r>
    </w:p>
    <w:p w14:paraId="15736F75" w14:textId="29E153AD" w:rsidR="000E5599" w:rsidRPr="00630B37" w:rsidRDefault="000E5599" w:rsidP="000E5599">
      <w:pPr>
        <w:spacing w:after="0"/>
        <w:textAlignment w:val="baseline"/>
        <w:rPr>
          <w:b/>
          <w:bCs/>
          <w:i/>
          <w:iCs/>
          <w:sz w:val="22"/>
          <w:szCs w:val="22"/>
        </w:rPr>
      </w:pPr>
    </w:p>
    <w:p w14:paraId="6F576ED3" w14:textId="7B51F306" w:rsidR="001F11A3" w:rsidRDefault="005F3AA8" w:rsidP="005F3AA8">
      <w:pPr>
        <w:pStyle w:val="Heading2"/>
      </w:pPr>
      <w:r w:rsidRPr="00427B7A">
        <w:t>NR transmissions</w:t>
      </w:r>
      <w:r w:rsidR="00DB5268">
        <w:t xml:space="preserve"> with HARQ feedback</w:t>
      </w:r>
    </w:p>
    <w:p w14:paraId="0BFCF205" w14:textId="37B5CF11" w:rsidR="00711043" w:rsidRDefault="005F3AA8" w:rsidP="00A75A54">
      <w:pPr>
        <w:spacing w:after="120"/>
        <w:rPr>
          <w:sz w:val="22"/>
          <w:szCs w:val="22"/>
        </w:rPr>
      </w:pPr>
      <w:r>
        <w:rPr>
          <w:sz w:val="22"/>
          <w:szCs w:val="22"/>
        </w:rPr>
        <w:t>LTE V2X supports only blind retransmissions, but NR V2X supports both</w:t>
      </w:r>
      <w:r w:rsidR="00711043">
        <w:rPr>
          <w:sz w:val="22"/>
          <w:szCs w:val="22"/>
        </w:rPr>
        <w:t xml:space="preserve"> </w:t>
      </w:r>
      <w:r>
        <w:rPr>
          <w:sz w:val="22"/>
          <w:szCs w:val="22"/>
        </w:rPr>
        <w:t>blind retransmissions and HARQ feedback retransmission</w:t>
      </w:r>
      <w:r w:rsidR="00176153">
        <w:rPr>
          <w:sz w:val="22"/>
          <w:szCs w:val="22"/>
        </w:rPr>
        <w:t>s</w:t>
      </w:r>
      <w:r>
        <w:rPr>
          <w:sz w:val="22"/>
          <w:szCs w:val="22"/>
        </w:rPr>
        <w:t>.</w:t>
      </w:r>
      <w:r w:rsidR="00711043">
        <w:rPr>
          <w:sz w:val="22"/>
          <w:szCs w:val="22"/>
        </w:rPr>
        <w:t xml:space="preserve"> To minimize NR V2X HARQ feedback </w:t>
      </w:r>
      <w:r w:rsidR="00AF65FB">
        <w:rPr>
          <w:sz w:val="22"/>
          <w:szCs w:val="22"/>
        </w:rPr>
        <w:t xml:space="preserve">transmission </w:t>
      </w:r>
      <w:r w:rsidR="00711043">
        <w:rPr>
          <w:sz w:val="22"/>
          <w:szCs w:val="22"/>
        </w:rPr>
        <w:t xml:space="preserve">impact to </w:t>
      </w:r>
      <w:r w:rsidR="00AF65FB">
        <w:rPr>
          <w:sz w:val="22"/>
          <w:szCs w:val="22"/>
        </w:rPr>
        <w:t xml:space="preserve">an </w:t>
      </w:r>
      <w:r w:rsidR="00711043">
        <w:rPr>
          <w:sz w:val="22"/>
          <w:szCs w:val="22"/>
        </w:rPr>
        <w:t xml:space="preserve">LTE V2X transmission (e.g., the PSFCH transmitted at the end of a slot shared with </w:t>
      </w:r>
      <w:r w:rsidR="00AF65FB">
        <w:rPr>
          <w:sz w:val="22"/>
          <w:szCs w:val="22"/>
        </w:rPr>
        <w:t xml:space="preserve">an </w:t>
      </w:r>
      <w:r w:rsidR="00711043">
        <w:rPr>
          <w:sz w:val="22"/>
          <w:szCs w:val="22"/>
        </w:rPr>
        <w:t>LTE V2X</w:t>
      </w:r>
      <w:r w:rsidR="00AF65FB">
        <w:rPr>
          <w:sz w:val="22"/>
          <w:szCs w:val="22"/>
        </w:rPr>
        <w:t xml:space="preserve"> transmission</w:t>
      </w:r>
      <w:r w:rsidR="00711043">
        <w:rPr>
          <w:sz w:val="22"/>
          <w:szCs w:val="22"/>
        </w:rPr>
        <w:t xml:space="preserve">), the following requirement </w:t>
      </w:r>
      <w:proofErr w:type="gramStart"/>
      <w:r w:rsidR="00711043">
        <w:rPr>
          <w:sz w:val="22"/>
          <w:szCs w:val="22"/>
        </w:rPr>
        <w:t>is outlined</w:t>
      </w:r>
      <w:proofErr w:type="gramEnd"/>
      <w:r w:rsidR="00711043">
        <w:rPr>
          <w:sz w:val="22"/>
          <w:szCs w:val="22"/>
        </w:rPr>
        <w:t xml:space="preserve"> in the objective also.</w:t>
      </w:r>
    </w:p>
    <w:p w14:paraId="6350777A" w14:textId="1A3675D1" w:rsidR="00242D1E" w:rsidRDefault="00711043" w:rsidP="00711043">
      <w:pPr>
        <w:spacing w:after="120"/>
        <w:jc w:val="center"/>
        <w:rPr>
          <w:sz w:val="22"/>
          <w:szCs w:val="22"/>
        </w:rPr>
      </w:pPr>
      <w:r w:rsidRPr="00711043">
        <w:rPr>
          <w:noProof/>
          <w:sz w:val="22"/>
          <w:szCs w:val="22"/>
        </w:rPr>
        <w:drawing>
          <wp:inline distT="0" distB="0" distL="0" distR="0" wp14:anchorId="27B7DE56" wp14:editId="55ADDD66">
            <wp:extent cx="4906060" cy="543001"/>
            <wp:effectExtent l="57150" t="57150" r="85090" b="104775"/>
            <wp:docPr id="2" name="Picture 2" descr="A picture containing tex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font, line&#10;&#10;Description automatically generated"/>
                    <pic:cNvPicPr/>
                  </pic:nvPicPr>
                  <pic:blipFill>
                    <a:blip r:embed="rId9"/>
                    <a:stretch>
                      <a:fillRect/>
                    </a:stretch>
                  </pic:blipFill>
                  <pic:spPr>
                    <a:xfrm>
                      <a:off x="0" y="0"/>
                      <a:ext cx="4906060" cy="543001"/>
                    </a:xfrm>
                    <a:prstGeom prst="rect">
                      <a:avLst/>
                    </a:prstGeom>
                    <a:ln>
                      <a:solidFill>
                        <a:srgbClr val="7030A0"/>
                      </a:solidFill>
                    </a:ln>
                    <a:effectLst>
                      <a:outerShdw blurRad="50800" dist="38100" dir="2700000" algn="tl" rotWithShape="0">
                        <a:prstClr val="black">
                          <a:alpha val="40000"/>
                        </a:prstClr>
                      </a:outerShdw>
                    </a:effectLst>
                  </pic:spPr>
                </pic:pic>
              </a:graphicData>
            </a:graphic>
          </wp:inline>
        </w:drawing>
      </w:r>
    </w:p>
    <w:p w14:paraId="0A1F4540" w14:textId="7D24D7D6" w:rsidR="004D27A7" w:rsidRPr="00711043" w:rsidRDefault="00711043" w:rsidP="00711043">
      <w:pPr>
        <w:spacing w:after="120"/>
        <w:rPr>
          <w:sz w:val="22"/>
          <w:szCs w:val="22"/>
        </w:rPr>
      </w:pPr>
      <w:r w:rsidRPr="00711043">
        <w:rPr>
          <w:sz w:val="22"/>
          <w:szCs w:val="22"/>
        </w:rPr>
        <w:t>To avoid</w:t>
      </w:r>
      <w:r>
        <w:rPr>
          <w:sz w:val="22"/>
          <w:szCs w:val="22"/>
        </w:rPr>
        <w:t xml:space="preserve"> NR V2X HARQ feedback</w:t>
      </w:r>
      <w:r w:rsidR="00AF65FB">
        <w:rPr>
          <w:sz w:val="22"/>
          <w:szCs w:val="22"/>
        </w:rPr>
        <w:t xml:space="preserve"> transmission</w:t>
      </w:r>
      <w:r>
        <w:rPr>
          <w:sz w:val="22"/>
          <w:szCs w:val="22"/>
        </w:rPr>
        <w:t xml:space="preserve"> impact to </w:t>
      </w:r>
      <w:r w:rsidR="00AF65FB">
        <w:rPr>
          <w:sz w:val="22"/>
          <w:szCs w:val="22"/>
        </w:rPr>
        <w:t xml:space="preserve">an </w:t>
      </w:r>
      <w:r>
        <w:rPr>
          <w:sz w:val="22"/>
          <w:szCs w:val="22"/>
        </w:rPr>
        <w:t>LTE V2X</w:t>
      </w:r>
      <w:r w:rsidR="00AF65FB">
        <w:rPr>
          <w:sz w:val="22"/>
          <w:szCs w:val="22"/>
        </w:rPr>
        <w:t xml:space="preserve"> transmission</w:t>
      </w:r>
      <w:r>
        <w:rPr>
          <w:sz w:val="22"/>
          <w:szCs w:val="22"/>
        </w:rPr>
        <w:t xml:space="preserve">, </w:t>
      </w:r>
      <w:r w:rsidR="00AF65FB">
        <w:rPr>
          <w:sz w:val="22"/>
          <w:szCs w:val="22"/>
        </w:rPr>
        <w:t>a</w:t>
      </w:r>
      <w:r>
        <w:rPr>
          <w:sz w:val="22"/>
          <w:szCs w:val="22"/>
        </w:rPr>
        <w:t xml:space="preserve"> simple solution is that the HARQ feedback </w:t>
      </w:r>
      <w:proofErr w:type="gramStart"/>
      <w:r>
        <w:rPr>
          <w:sz w:val="22"/>
          <w:szCs w:val="22"/>
        </w:rPr>
        <w:t>is disabled</w:t>
      </w:r>
      <w:proofErr w:type="gramEnd"/>
      <w:r>
        <w:rPr>
          <w:sz w:val="22"/>
          <w:szCs w:val="22"/>
        </w:rPr>
        <w:t xml:space="preserve"> </w:t>
      </w:r>
      <w:r w:rsidR="00AF65FB">
        <w:rPr>
          <w:sz w:val="22"/>
          <w:szCs w:val="22"/>
        </w:rPr>
        <w:t xml:space="preserve">for an NR V2X retransmission </w:t>
      </w:r>
      <w:r>
        <w:rPr>
          <w:sz w:val="22"/>
          <w:szCs w:val="22"/>
        </w:rPr>
        <w:t xml:space="preserve">while sharing a slot with </w:t>
      </w:r>
      <w:r w:rsidR="00AF65FB">
        <w:rPr>
          <w:sz w:val="22"/>
          <w:szCs w:val="22"/>
        </w:rPr>
        <w:t xml:space="preserve">an </w:t>
      </w:r>
      <w:r>
        <w:rPr>
          <w:sz w:val="22"/>
          <w:szCs w:val="22"/>
        </w:rPr>
        <w:t>LTE V2X transmission.</w:t>
      </w:r>
    </w:p>
    <w:p w14:paraId="79396BF7" w14:textId="17807202" w:rsidR="00A75A54" w:rsidRPr="007E196D" w:rsidRDefault="00DB5268" w:rsidP="007E196D">
      <w:pPr>
        <w:spacing w:before="120" w:after="240"/>
        <w:rPr>
          <w:b/>
          <w:bCs/>
          <w:i/>
          <w:iCs/>
          <w:sz w:val="22"/>
          <w:szCs w:val="22"/>
        </w:rPr>
      </w:pPr>
      <w:r>
        <w:rPr>
          <w:b/>
          <w:bCs/>
          <w:i/>
          <w:iCs/>
          <w:sz w:val="22"/>
          <w:szCs w:val="22"/>
        </w:rPr>
        <w:t>Proposal</w:t>
      </w:r>
      <w:r w:rsidRPr="00630B37">
        <w:rPr>
          <w:b/>
          <w:bCs/>
          <w:i/>
          <w:iCs/>
          <w:sz w:val="22"/>
          <w:szCs w:val="22"/>
        </w:rPr>
        <w:t xml:space="preserve"> </w:t>
      </w:r>
      <w:proofErr w:type="gramStart"/>
      <w:r>
        <w:rPr>
          <w:b/>
          <w:bCs/>
          <w:i/>
          <w:iCs/>
          <w:sz w:val="22"/>
          <w:szCs w:val="22"/>
        </w:rPr>
        <w:t>3</w:t>
      </w:r>
      <w:proofErr w:type="gramEnd"/>
      <w:r w:rsidRPr="00630B37">
        <w:rPr>
          <w:b/>
          <w:bCs/>
          <w:i/>
          <w:iCs/>
          <w:sz w:val="22"/>
          <w:szCs w:val="22"/>
        </w:rPr>
        <w:t>.</w:t>
      </w:r>
      <w:r>
        <w:rPr>
          <w:b/>
          <w:bCs/>
          <w:i/>
          <w:iCs/>
          <w:sz w:val="22"/>
          <w:szCs w:val="22"/>
        </w:rPr>
        <w:t xml:space="preserve"> </w:t>
      </w:r>
      <w:r w:rsidRPr="005F3AA8">
        <w:rPr>
          <w:b/>
          <w:bCs/>
          <w:i/>
          <w:iCs/>
          <w:sz w:val="22"/>
          <w:szCs w:val="22"/>
        </w:rPr>
        <w:t xml:space="preserve">RAN2 needs to discuss how to </w:t>
      </w:r>
      <w:r>
        <w:rPr>
          <w:b/>
          <w:bCs/>
          <w:i/>
          <w:iCs/>
          <w:sz w:val="22"/>
          <w:szCs w:val="22"/>
        </w:rPr>
        <w:t xml:space="preserve">disable </w:t>
      </w:r>
      <w:r w:rsidR="00AF65FB">
        <w:rPr>
          <w:b/>
          <w:bCs/>
          <w:i/>
          <w:iCs/>
          <w:sz w:val="22"/>
          <w:szCs w:val="22"/>
        </w:rPr>
        <w:t xml:space="preserve">NR V2X </w:t>
      </w:r>
      <w:r>
        <w:rPr>
          <w:b/>
          <w:bCs/>
          <w:i/>
          <w:iCs/>
          <w:sz w:val="22"/>
          <w:szCs w:val="22"/>
        </w:rPr>
        <w:t xml:space="preserve">HARQ feedback </w:t>
      </w:r>
      <w:r w:rsidR="00AF65FB">
        <w:rPr>
          <w:b/>
          <w:bCs/>
          <w:i/>
          <w:iCs/>
          <w:sz w:val="22"/>
          <w:szCs w:val="22"/>
        </w:rPr>
        <w:t xml:space="preserve">for retransmission(s) </w:t>
      </w:r>
      <w:r>
        <w:rPr>
          <w:b/>
          <w:bCs/>
          <w:i/>
          <w:iCs/>
          <w:sz w:val="22"/>
          <w:szCs w:val="22"/>
        </w:rPr>
        <w:t xml:space="preserve">if the feedback transmission overlaps with </w:t>
      </w:r>
      <w:r w:rsidR="00AF65FB">
        <w:rPr>
          <w:b/>
          <w:bCs/>
          <w:i/>
          <w:iCs/>
          <w:sz w:val="22"/>
          <w:szCs w:val="22"/>
        </w:rPr>
        <w:t xml:space="preserve">an </w:t>
      </w:r>
      <w:r>
        <w:rPr>
          <w:b/>
          <w:bCs/>
          <w:i/>
          <w:iCs/>
          <w:sz w:val="22"/>
          <w:szCs w:val="22"/>
        </w:rPr>
        <w:t>LTE V2X transmission in a slot.</w:t>
      </w:r>
    </w:p>
    <w:p w14:paraId="61EC8F59" w14:textId="652747F4" w:rsidR="004D27A7" w:rsidRPr="00A75A54" w:rsidRDefault="00DB5268" w:rsidP="00A75A54">
      <w:pPr>
        <w:spacing w:after="120"/>
        <w:rPr>
          <w:sz w:val="22"/>
          <w:szCs w:val="22"/>
          <w:lang w:eastAsia="zh-CN"/>
        </w:rPr>
      </w:pPr>
      <w:r>
        <w:rPr>
          <w:sz w:val="22"/>
          <w:szCs w:val="22"/>
        </w:rPr>
        <w:t xml:space="preserve">If </w:t>
      </w:r>
      <w:r w:rsidR="00AF65FB">
        <w:rPr>
          <w:sz w:val="22"/>
          <w:szCs w:val="22"/>
        </w:rPr>
        <w:t xml:space="preserve">NR V2X </w:t>
      </w:r>
      <w:r>
        <w:rPr>
          <w:sz w:val="22"/>
          <w:szCs w:val="22"/>
        </w:rPr>
        <w:t xml:space="preserve">HARQ feedback cannot be dynamically disabled based on </w:t>
      </w:r>
      <w:r w:rsidR="007E196D">
        <w:rPr>
          <w:sz w:val="22"/>
          <w:szCs w:val="22"/>
        </w:rPr>
        <w:t>that a</w:t>
      </w:r>
      <w:r>
        <w:rPr>
          <w:sz w:val="22"/>
          <w:szCs w:val="22"/>
        </w:rPr>
        <w:t xml:space="preserve"> </w:t>
      </w:r>
      <w:r w:rsidR="007E196D">
        <w:rPr>
          <w:sz w:val="22"/>
          <w:szCs w:val="22"/>
        </w:rPr>
        <w:t xml:space="preserve">HARQ </w:t>
      </w:r>
      <w:r>
        <w:rPr>
          <w:sz w:val="22"/>
          <w:szCs w:val="22"/>
        </w:rPr>
        <w:t>feedback overlap</w:t>
      </w:r>
      <w:r w:rsidR="007E196D">
        <w:rPr>
          <w:sz w:val="22"/>
          <w:szCs w:val="22"/>
        </w:rPr>
        <w:t>s</w:t>
      </w:r>
      <w:r>
        <w:rPr>
          <w:sz w:val="22"/>
          <w:szCs w:val="22"/>
        </w:rPr>
        <w:t xml:space="preserve"> with a</w:t>
      </w:r>
      <w:r w:rsidR="007E196D">
        <w:rPr>
          <w:sz w:val="22"/>
          <w:szCs w:val="22"/>
        </w:rPr>
        <w:t>n</w:t>
      </w:r>
      <w:r>
        <w:rPr>
          <w:sz w:val="22"/>
          <w:szCs w:val="22"/>
        </w:rPr>
        <w:t xml:space="preserve"> LTE</w:t>
      </w:r>
      <w:r w:rsidR="00AF65FB">
        <w:rPr>
          <w:sz w:val="22"/>
          <w:szCs w:val="22"/>
        </w:rPr>
        <w:t xml:space="preserve"> V2X</w:t>
      </w:r>
      <w:r>
        <w:rPr>
          <w:sz w:val="22"/>
          <w:szCs w:val="22"/>
        </w:rPr>
        <w:t xml:space="preserve"> transmission, then resource selection needs to consider how to allocate </w:t>
      </w:r>
      <w:r w:rsidR="007E196D">
        <w:rPr>
          <w:sz w:val="22"/>
          <w:szCs w:val="22"/>
        </w:rPr>
        <w:t xml:space="preserve">the resources for NR initial transmission and associated </w:t>
      </w:r>
      <w:r w:rsidR="00A6343D">
        <w:rPr>
          <w:sz w:val="22"/>
          <w:szCs w:val="22"/>
        </w:rPr>
        <w:t xml:space="preserve">HARQ feedback based </w:t>
      </w:r>
      <w:r>
        <w:rPr>
          <w:sz w:val="22"/>
          <w:szCs w:val="22"/>
        </w:rPr>
        <w:t>retransmission</w:t>
      </w:r>
      <w:r w:rsidR="007E196D">
        <w:rPr>
          <w:sz w:val="22"/>
          <w:szCs w:val="22"/>
        </w:rPr>
        <w:t xml:space="preserve">(s) to avoid the overlapping between </w:t>
      </w:r>
      <w:r w:rsidR="00AF65FB">
        <w:rPr>
          <w:sz w:val="22"/>
          <w:szCs w:val="22"/>
        </w:rPr>
        <w:t xml:space="preserve">an </w:t>
      </w:r>
      <w:r w:rsidR="007E196D">
        <w:rPr>
          <w:sz w:val="22"/>
          <w:szCs w:val="22"/>
        </w:rPr>
        <w:t>NR V2X HARQ feedback transmission and a</w:t>
      </w:r>
      <w:r w:rsidR="00AF65FB">
        <w:rPr>
          <w:sz w:val="22"/>
          <w:szCs w:val="22"/>
        </w:rPr>
        <w:t>n</w:t>
      </w:r>
      <w:r w:rsidR="007E196D">
        <w:rPr>
          <w:sz w:val="22"/>
          <w:szCs w:val="22"/>
        </w:rPr>
        <w:t xml:space="preserve"> LTE</w:t>
      </w:r>
      <w:r w:rsidR="00AF65FB">
        <w:rPr>
          <w:sz w:val="22"/>
          <w:szCs w:val="22"/>
        </w:rPr>
        <w:t xml:space="preserve"> V2X</w:t>
      </w:r>
      <w:r w:rsidR="007E196D">
        <w:rPr>
          <w:sz w:val="22"/>
          <w:szCs w:val="22"/>
        </w:rPr>
        <w:t xml:space="preserve"> transmission in a slot.</w:t>
      </w:r>
      <w:r>
        <w:rPr>
          <w:sz w:val="22"/>
          <w:szCs w:val="22"/>
        </w:rPr>
        <w:t xml:space="preserve"> </w:t>
      </w:r>
    </w:p>
    <w:p w14:paraId="24B8313A" w14:textId="2F004B23" w:rsidR="007E196D" w:rsidRPr="007E196D" w:rsidRDefault="007E196D" w:rsidP="007E196D">
      <w:pPr>
        <w:spacing w:before="120" w:after="240"/>
        <w:rPr>
          <w:b/>
          <w:bCs/>
          <w:i/>
          <w:iCs/>
          <w:sz w:val="22"/>
          <w:szCs w:val="22"/>
        </w:rPr>
      </w:pPr>
      <w:r>
        <w:rPr>
          <w:b/>
          <w:bCs/>
          <w:i/>
          <w:iCs/>
          <w:sz w:val="22"/>
          <w:szCs w:val="22"/>
        </w:rPr>
        <w:lastRenderedPageBreak/>
        <w:t>Proposal</w:t>
      </w:r>
      <w:r w:rsidRPr="00630B37">
        <w:rPr>
          <w:b/>
          <w:bCs/>
          <w:i/>
          <w:iCs/>
          <w:sz w:val="22"/>
          <w:szCs w:val="22"/>
        </w:rPr>
        <w:t xml:space="preserve"> </w:t>
      </w:r>
      <w:proofErr w:type="gramStart"/>
      <w:r>
        <w:rPr>
          <w:b/>
          <w:bCs/>
          <w:i/>
          <w:iCs/>
          <w:sz w:val="22"/>
          <w:szCs w:val="22"/>
        </w:rPr>
        <w:t>4</w:t>
      </w:r>
      <w:proofErr w:type="gramEnd"/>
      <w:r w:rsidRPr="00630B37">
        <w:rPr>
          <w:b/>
          <w:bCs/>
          <w:i/>
          <w:iCs/>
          <w:sz w:val="22"/>
          <w:szCs w:val="22"/>
        </w:rPr>
        <w:t>.</w:t>
      </w:r>
      <w:r>
        <w:rPr>
          <w:b/>
          <w:bCs/>
          <w:i/>
          <w:iCs/>
          <w:sz w:val="22"/>
          <w:szCs w:val="22"/>
        </w:rPr>
        <w:t xml:space="preserve"> </w:t>
      </w:r>
      <w:r w:rsidR="00AF65FB">
        <w:rPr>
          <w:b/>
          <w:bCs/>
          <w:i/>
          <w:iCs/>
          <w:sz w:val="22"/>
          <w:szCs w:val="22"/>
        </w:rPr>
        <w:t xml:space="preserve">if NR V2X HARQ feedback cannot be dynamically disabled, </w:t>
      </w:r>
      <w:r w:rsidRPr="005F3AA8">
        <w:rPr>
          <w:b/>
          <w:bCs/>
          <w:i/>
          <w:iCs/>
          <w:sz w:val="22"/>
          <w:szCs w:val="22"/>
        </w:rPr>
        <w:t xml:space="preserve">RAN2 needs to discuss how to </w:t>
      </w:r>
      <w:r>
        <w:rPr>
          <w:b/>
          <w:bCs/>
          <w:i/>
          <w:iCs/>
          <w:sz w:val="22"/>
          <w:szCs w:val="22"/>
        </w:rPr>
        <w:t>avoid the overlapping between a</w:t>
      </w:r>
      <w:r w:rsidR="00AF65FB">
        <w:rPr>
          <w:b/>
          <w:bCs/>
          <w:i/>
          <w:iCs/>
          <w:sz w:val="22"/>
          <w:szCs w:val="22"/>
        </w:rPr>
        <w:t>n</w:t>
      </w:r>
      <w:r>
        <w:rPr>
          <w:b/>
          <w:bCs/>
          <w:i/>
          <w:iCs/>
          <w:sz w:val="22"/>
          <w:szCs w:val="22"/>
        </w:rPr>
        <w:t xml:space="preserve"> NR HARQ feedback transmission </w:t>
      </w:r>
      <w:r w:rsidR="00AF65FB">
        <w:rPr>
          <w:b/>
          <w:bCs/>
          <w:i/>
          <w:iCs/>
          <w:sz w:val="22"/>
          <w:szCs w:val="22"/>
        </w:rPr>
        <w:t>and</w:t>
      </w:r>
      <w:r>
        <w:rPr>
          <w:b/>
          <w:bCs/>
          <w:i/>
          <w:iCs/>
          <w:sz w:val="22"/>
          <w:szCs w:val="22"/>
        </w:rPr>
        <w:t xml:space="preserve"> an LTE transmission</w:t>
      </w:r>
      <w:r w:rsidR="00AF65FB">
        <w:rPr>
          <w:b/>
          <w:bCs/>
          <w:i/>
          <w:iCs/>
          <w:sz w:val="22"/>
          <w:szCs w:val="22"/>
        </w:rPr>
        <w:t xml:space="preserve"> in a slot</w:t>
      </w:r>
      <w:r w:rsidR="009559BC">
        <w:rPr>
          <w:b/>
          <w:bCs/>
          <w:i/>
          <w:iCs/>
          <w:sz w:val="22"/>
          <w:szCs w:val="22"/>
        </w:rPr>
        <w:t>.</w:t>
      </w:r>
      <w:r>
        <w:rPr>
          <w:b/>
          <w:bCs/>
          <w:i/>
          <w:iCs/>
          <w:sz w:val="22"/>
          <w:szCs w:val="22"/>
        </w:rPr>
        <w:t xml:space="preserve"> </w:t>
      </w:r>
    </w:p>
    <w:p w14:paraId="034395A0" w14:textId="77777777" w:rsidR="00440C2B" w:rsidRPr="00692DEB" w:rsidRDefault="00440C2B" w:rsidP="00440C2B">
      <w:pPr>
        <w:pStyle w:val="Heading1"/>
        <w:rPr>
          <w:b/>
          <w:lang w:val="en-US"/>
        </w:rPr>
      </w:pPr>
      <w:r>
        <w:rPr>
          <w:lang w:val="en-US"/>
        </w:rPr>
        <w:t>Conclusion</w:t>
      </w:r>
    </w:p>
    <w:p w14:paraId="69A45B4C" w14:textId="630C3ACE" w:rsidR="006E363D" w:rsidRPr="00584367" w:rsidRDefault="008E65BF" w:rsidP="006E363D">
      <w:pPr>
        <w:rPr>
          <w:color w:val="auto"/>
          <w:sz w:val="22"/>
          <w:szCs w:val="22"/>
        </w:rPr>
      </w:pPr>
      <w:r w:rsidRPr="00DB0F72">
        <w:rPr>
          <w:color w:val="000000" w:themeColor="text1"/>
          <w:sz w:val="22"/>
          <w:szCs w:val="22"/>
        </w:rPr>
        <w:t xml:space="preserve">In this contribution, we </w:t>
      </w:r>
      <w:bookmarkStart w:id="3" w:name="_Hlk92772570"/>
      <w:r w:rsidR="003A2ABD" w:rsidRPr="006E363D">
        <w:rPr>
          <w:color w:val="000000" w:themeColor="text1"/>
          <w:sz w:val="22"/>
          <w:szCs w:val="22"/>
        </w:rPr>
        <w:t>discuss</w:t>
      </w:r>
      <w:r w:rsidR="00F26D1D" w:rsidRPr="006E363D">
        <w:rPr>
          <w:color w:val="000000" w:themeColor="text1"/>
          <w:sz w:val="22"/>
          <w:szCs w:val="22"/>
        </w:rPr>
        <w:t>ed</w:t>
      </w:r>
      <w:r w:rsidR="003A2ABD" w:rsidRPr="006E363D">
        <w:rPr>
          <w:color w:val="000000" w:themeColor="text1"/>
          <w:sz w:val="22"/>
          <w:szCs w:val="22"/>
        </w:rPr>
        <w:t xml:space="preserve"> </w:t>
      </w:r>
      <w:bookmarkEnd w:id="3"/>
      <w:r w:rsidR="006E363D">
        <w:rPr>
          <w:color w:val="auto"/>
          <w:sz w:val="22"/>
          <w:szCs w:val="22"/>
        </w:rPr>
        <w:t xml:space="preserve">possible RAN2 work to support </w:t>
      </w:r>
      <w:r w:rsidR="006E363D" w:rsidRPr="0057505F">
        <w:rPr>
          <w:color w:val="auto"/>
          <w:sz w:val="22"/>
          <w:szCs w:val="22"/>
        </w:rPr>
        <w:t xml:space="preserve">co-channel coexistence for LTE </w:t>
      </w:r>
      <w:r w:rsidR="006E363D">
        <w:rPr>
          <w:color w:val="auto"/>
          <w:sz w:val="22"/>
          <w:szCs w:val="22"/>
        </w:rPr>
        <w:t>V2X</w:t>
      </w:r>
      <w:r w:rsidR="006E363D" w:rsidRPr="0057505F">
        <w:rPr>
          <w:color w:val="auto"/>
          <w:sz w:val="22"/>
          <w:szCs w:val="22"/>
        </w:rPr>
        <w:t xml:space="preserve"> and NR </w:t>
      </w:r>
      <w:r w:rsidR="006E363D">
        <w:rPr>
          <w:color w:val="auto"/>
          <w:sz w:val="22"/>
          <w:szCs w:val="22"/>
        </w:rPr>
        <w:t>V2X and</w:t>
      </w:r>
      <w:r w:rsidR="006E363D">
        <w:rPr>
          <w:color w:val="000000" w:themeColor="text1"/>
          <w:sz w:val="22"/>
          <w:szCs w:val="22"/>
        </w:rPr>
        <w:t xml:space="preserve"> concluded </w:t>
      </w:r>
      <w:r w:rsidR="006E363D" w:rsidRPr="00DB0F72">
        <w:rPr>
          <w:color w:val="000000" w:themeColor="text1"/>
          <w:sz w:val="22"/>
          <w:szCs w:val="22"/>
        </w:rPr>
        <w:t>with the following proposals.</w:t>
      </w:r>
    </w:p>
    <w:p w14:paraId="08A1A213" w14:textId="2C34401F" w:rsidR="006E363D" w:rsidRPr="00A6343D" w:rsidRDefault="00A6343D" w:rsidP="006E363D">
      <w:pPr>
        <w:spacing w:before="120" w:after="240"/>
        <w:textAlignment w:val="baseline"/>
        <w:rPr>
          <w:sz w:val="22"/>
          <w:szCs w:val="22"/>
        </w:rPr>
      </w:pPr>
      <w:r w:rsidRPr="00A6343D">
        <w:rPr>
          <w:b/>
          <w:bCs/>
          <w:sz w:val="22"/>
          <w:szCs w:val="22"/>
        </w:rPr>
        <w:t xml:space="preserve">Proposal </w:t>
      </w:r>
      <w:proofErr w:type="gramStart"/>
      <w:r w:rsidRPr="00A6343D">
        <w:rPr>
          <w:b/>
          <w:bCs/>
          <w:sz w:val="22"/>
          <w:szCs w:val="22"/>
        </w:rPr>
        <w:t>1</w:t>
      </w:r>
      <w:proofErr w:type="gramEnd"/>
      <w:r w:rsidRPr="00A6343D">
        <w:rPr>
          <w:sz w:val="22"/>
          <w:szCs w:val="22"/>
        </w:rPr>
        <w:t xml:space="preserve">. For the numerology of 15kHz SCS, no RAN2 work </w:t>
      </w:r>
      <w:proofErr w:type="gramStart"/>
      <w:r w:rsidRPr="00A6343D">
        <w:rPr>
          <w:sz w:val="22"/>
          <w:szCs w:val="22"/>
        </w:rPr>
        <w:t>is needed</w:t>
      </w:r>
      <w:proofErr w:type="gramEnd"/>
      <w:r w:rsidRPr="00A6343D">
        <w:rPr>
          <w:sz w:val="22"/>
          <w:szCs w:val="22"/>
        </w:rPr>
        <w:t xml:space="preserve"> on resource selection for NR V2X transmission or retransmission(s) without HARQ feedback while co-existing with LTE V2X in a slot.</w:t>
      </w:r>
    </w:p>
    <w:p w14:paraId="0EFCB79B" w14:textId="77777777" w:rsidR="00A6343D" w:rsidRPr="00A6343D" w:rsidRDefault="00A6343D" w:rsidP="00A6343D">
      <w:pPr>
        <w:spacing w:before="120" w:after="240"/>
        <w:textAlignment w:val="baseline"/>
        <w:rPr>
          <w:sz w:val="22"/>
          <w:szCs w:val="22"/>
        </w:rPr>
      </w:pPr>
      <w:r w:rsidRPr="00A6343D">
        <w:rPr>
          <w:b/>
          <w:bCs/>
          <w:sz w:val="22"/>
          <w:szCs w:val="22"/>
        </w:rPr>
        <w:t xml:space="preserve">Proposal </w:t>
      </w:r>
      <w:proofErr w:type="gramStart"/>
      <w:r w:rsidRPr="00A6343D">
        <w:rPr>
          <w:b/>
          <w:bCs/>
          <w:sz w:val="22"/>
          <w:szCs w:val="22"/>
        </w:rPr>
        <w:t>2</w:t>
      </w:r>
      <w:proofErr w:type="gramEnd"/>
      <w:r w:rsidRPr="00A6343D">
        <w:rPr>
          <w:sz w:val="22"/>
          <w:szCs w:val="22"/>
        </w:rPr>
        <w:t>. For the numerology of 30kHz SCS, RAN2 needs to discuss how to support NR V2X transmission or retransmission(s) without HARQ feedback while co-existing with LTE V2X in a subframe.</w:t>
      </w:r>
    </w:p>
    <w:p w14:paraId="2FB5989F" w14:textId="77777777" w:rsidR="00A6343D" w:rsidRPr="00A6343D" w:rsidRDefault="00A6343D" w:rsidP="00A6343D">
      <w:pPr>
        <w:spacing w:before="120" w:after="240"/>
        <w:rPr>
          <w:sz w:val="22"/>
          <w:szCs w:val="22"/>
        </w:rPr>
      </w:pPr>
      <w:r w:rsidRPr="00A6343D">
        <w:rPr>
          <w:b/>
          <w:bCs/>
          <w:sz w:val="22"/>
          <w:szCs w:val="22"/>
        </w:rPr>
        <w:t xml:space="preserve">Proposal </w:t>
      </w:r>
      <w:proofErr w:type="gramStart"/>
      <w:r w:rsidRPr="00A6343D">
        <w:rPr>
          <w:b/>
          <w:bCs/>
          <w:sz w:val="22"/>
          <w:szCs w:val="22"/>
        </w:rPr>
        <w:t>3</w:t>
      </w:r>
      <w:proofErr w:type="gramEnd"/>
      <w:r w:rsidRPr="00A6343D">
        <w:rPr>
          <w:sz w:val="22"/>
          <w:szCs w:val="22"/>
        </w:rPr>
        <w:t>. RAN2 needs to discuss how to disable NR V2X HARQ feedback for retransmission(s) if the feedback transmission overlaps with an LTE V2X transmission in a slot.</w:t>
      </w:r>
    </w:p>
    <w:p w14:paraId="543101D0" w14:textId="77777777" w:rsidR="00A6343D" w:rsidRPr="00A6343D" w:rsidRDefault="00A6343D" w:rsidP="00A6343D">
      <w:pPr>
        <w:spacing w:before="120" w:after="240"/>
        <w:rPr>
          <w:sz w:val="22"/>
          <w:szCs w:val="22"/>
        </w:rPr>
      </w:pPr>
      <w:r w:rsidRPr="00A6343D">
        <w:rPr>
          <w:b/>
          <w:bCs/>
          <w:sz w:val="22"/>
          <w:szCs w:val="22"/>
        </w:rPr>
        <w:t xml:space="preserve">Proposal </w:t>
      </w:r>
      <w:proofErr w:type="gramStart"/>
      <w:r w:rsidRPr="00A6343D">
        <w:rPr>
          <w:b/>
          <w:bCs/>
          <w:sz w:val="22"/>
          <w:szCs w:val="22"/>
        </w:rPr>
        <w:t>4</w:t>
      </w:r>
      <w:proofErr w:type="gramEnd"/>
      <w:r w:rsidRPr="00A6343D">
        <w:rPr>
          <w:sz w:val="22"/>
          <w:szCs w:val="22"/>
        </w:rPr>
        <w:t xml:space="preserve">. if NR V2X HARQ feedback cannot be dynamically disabled, RAN2 needs to discuss how to avoid the overlapping between an NR HARQ feedback transmission and an LTE transmission in a slot. </w:t>
      </w:r>
    </w:p>
    <w:p w14:paraId="084538FD" w14:textId="77777777" w:rsidR="00C20C06" w:rsidRPr="00692DEB" w:rsidRDefault="004B3D91" w:rsidP="005B4F84">
      <w:pPr>
        <w:pStyle w:val="Heading1"/>
        <w:rPr>
          <w:lang w:val="en-US"/>
        </w:rPr>
      </w:pPr>
      <w:r w:rsidRPr="00692DEB">
        <w:rPr>
          <w:lang w:val="en-US"/>
        </w:rPr>
        <w:t>References</w:t>
      </w:r>
    </w:p>
    <w:p w14:paraId="09A92EEF" w14:textId="49ECC6EC" w:rsidR="000E5599" w:rsidRDefault="00542F23" w:rsidP="00F26D1D">
      <w:pPr>
        <w:pStyle w:val="ZT"/>
        <w:framePr w:wrap="auto" w:hAnchor="text" w:yAlign="inline"/>
        <w:spacing w:after="120" w:line="240" w:lineRule="auto"/>
        <w:jc w:val="left"/>
        <w:rPr>
          <w:rFonts w:ascii="Times New Roman" w:hAnsi="Times New Roman"/>
          <w:b w:val="0"/>
          <w:bCs/>
          <w:color w:val="000000"/>
          <w:sz w:val="22"/>
          <w:szCs w:val="22"/>
          <w:lang w:val="en-US"/>
        </w:rPr>
      </w:pPr>
      <w:bookmarkStart w:id="4" w:name="_Hlk115357799"/>
      <w:r>
        <w:rPr>
          <w:rFonts w:ascii="Times New Roman" w:hAnsi="Times New Roman"/>
          <w:b w:val="0"/>
          <w:bCs/>
          <w:color w:val="000000"/>
          <w:sz w:val="22"/>
          <w:szCs w:val="22"/>
          <w:lang w:val="en-US"/>
        </w:rPr>
        <w:t xml:space="preserve">[1] </w:t>
      </w:r>
      <w:r w:rsidR="00700406" w:rsidRPr="00700406">
        <w:rPr>
          <w:rFonts w:ascii="Times New Roman" w:hAnsi="Times New Roman"/>
          <w:b w:val="0"/>
          <w:bCs/>
          <w:color w:val="000000"/>
          <w:sz w:val="22"/>
          <w:szCs w:val="22"/>
          <w:lang w:val="en-US"/>
        </w:rPr>
        <w:t>RP-230077</w:t>
      </w:r>
      <w:r w:rsidR="004456F4" w:rsidRPr="00220D7D">
        <w:rPr>
          <w:rFonts w:ascii="Times New Roman" w:hAnsi="Times New Roman"/>
          <w:b w:val="0"/>
          <w:bCs/>
          <w:color w:val="000000"/>
          <w:sz w:val="22"/>
          <w:szCs w:val="22"/>
          <w:lang w:val="en-US"/>
        </w:rPr>
        <w:t xml:space="preserve"> </w:t>
      </w:r>
      <w:r w:rsidR="004456F4">
        <w:rPr>
          <w:rFonts w:ascii="Times New Roman" w:hAnsi="Times New Roman"/>
          <w:b w:val="0"/>
          <w:bCs/>
          <w:color w:val="000000"/>
          <w:sz w:val="22"/>
          <w:szCs w:val="22"/>
          <w:lang w:val="en-US"/>
        </w:rPr>
        <w:t>“</w:t>
      </w:r>
      <w:r w:rsidR="00700406" w:rsidRPr="00700406">
        <w:rPr>
          <w:rFonts w:ascii="Times New Roman" w:hAnsi="Times New Roman"/>
          <w:b w:val="0"/>
          <w:bCs/>
          <w:color w:val="000000"/>
          <w:sz w:val="22"/>
          <w:szCs w:val="22"/>
          <w:lang w:val="en-US"/>
        </w:rPr>
        <w:t>WID revision: NR sidelink evolution</w:t>
      </w:r>
      <w:r w:rsidR="004456F4">
        <w:rPr>
          <w:rFonts w:ascii="Times New Roman" w:hAnsi="Times New Roman"/>
          <w:b w:val="0"/>
          <w:bCs/>
          <w:color w:val="000000"/>
          <w:sz w:val="22"/>
          <w:szCs w:val="22"/>
          <w:lang w:val="en-US"/>
        </w:rPr>
        <w:t>”</w:t>
      </w:r>
      <w:r w:rsidR="004456F4" w:rsidRPr="00B65CF0">
        <w:rPr>
          <w:rFonts w:ascii="Times New Roman" w:hAnsi="Times New Roman"/>
          <w:b w:val="0"/>
          <w:bCs/>
          <w:color w:val="000000"/>
          <w:sz w:val="22"/>
          <w:szCs w:val="22"/>
          <w:lang w:val="en-US"/>
        </w:rPr>
        <w:t xml:space="preserve">, </w:t>
      </w:r>
      <w:r w:rsidR="004456F4" w:rsidRPr="003B29C6">
        <w:rPr>
          <w:rFonts w:ascii="Times New Roman" w:hAnsi="Times New Roman"/>
          <w:b w:val="0"/>
          <w:bCs/>
          <w:color w:val="000000"/>
          <w:sz w:val="22"/>
          <w:szCs w:val="22"/>
          <w:lang w:val="en-US"/>
        </w:rPr>
        <w:t>3GPP TSG RAN Meeting #9</w:t>
      </w:r>
      <w:r w:rsidR="00700406">
        <w:rPr>
          <w:rFonts w:ascii="Times New Roman" w:hAnsi="Times New Roman"/>
          <w:b w:val="0"/>
          <w:bCs/>
          <w:color w:val="000000"/>
          <w:sz w:val="22"/>
          <w:szCs w:val="22"/>
          <w:lang w:val="en-US"/>
        </w:rPr>
        <w:t xml:space="preserve">9, </w:t>
      </w:r>
      <w:r w:rsidR="00700406" w:rsidRPr="00700406">
        <w:rPr>
          <w:rFonts w:ascii="Times New Roman" w:hAnsi="Times New Roman"/>
          <w:b w:val="0"/>
          <w:bCs/>
          <w:color w:val="000000"/>
          <w:sz w:val="22"/>
          <w:szCs w:val="22"/>
          <w:lang w:val="en-US"/>
        </w:rPr>
        <w:t>Rotterdam, Netherlands, March 20 – 23, 2023</w:t>
      </w:r>
      <w:r w:rsidR="004456F4" w:rsidRPr="00B65CF0">
        <w:rPr>
          <w:rFonts w:ascii="Times New Roman" w:hAnsi="Times New Roman"/>
          <w:b w:val="0"/>
          <w:bCs/>
          <w:color w:val="000000"/>
          <w:sz w:val="22"/>
          <w:szCs w:val="22"/>
          <w:lang w:val="en-US"/>
        </w:rPr>
        <w:t>.</w:t>
      </w:r>
      <w:r w:rsidR="004456F4">
        <w:rPr>
          <w:rFonts w:ascii="Times New Roman" w:hAnsi="Times New Roman"/>
          <w:b w:val="0"/>
          <w:bCs/>
          <w:color w:val="000000"/>
          <w:sz w:val="22"/>
          <w:szCs w:val="22"/>
          <w:lang w:val="en-US"/>
        </w:rPr>
        <w:t xml:space="preserve"> </w:t>
      </w:r>
      <w:bookmarkEnd w:id="4"/>
    </w:p>
    <w:p w14:paraId="76B65D31" w14:textId="77777777" w:rsidR="00C93F57" w:rsidRDefault="00C93F57"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C93F57">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66D32" w14:textId="77777777" w:rsidR="00D133C1" w:rsidRDefault="00D133C1">
      <w:r>
        <w:separator/>
      </w:r>
    </w:p>
    <w:p w14:paraId="79C7ED67" w14:textId="77777777" w:rsidR="00D133C1" w:rsidRDefault="00D133C1"/>
  </w:endnote>
  <w:endnote w:type="continuationSeparator" w:id="0">
    <w:p w14:paraId="3849A90F" w14:textId="77777777" w:rsidR="00D133C1" w:rsidRDefault="00D133C1">
      <w:r>
        <w:continuationSeparator/>
      </w:r>
    </w:p>
    <w:p w14:paraId="7CE76EA0" w14:textId="77777777" w:rsidR="00D133C1" w:rsidRDefault="00D13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proofErr w:type="gramStart"/>
    <w:r>
      <w:rPr>
        <w:rFonts w:ascii="Arial" w:hAnsi="Arial" w:cs="Arial"/>
        <w:b/>
        <w:bCs/>
        <w:sz w:val="18"/>
      </w:rPr>
      <w:t>1</w:t>
    </w:r>
    <w:proofErr w:type="gramEnd"/>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51337" w14:textId="77777777" w:rsidR="00D133C1" w:rsidRDefault="00D133C1">
      <w:r>
        <w:separator/>
      </w:r>
    </w:p>
    <w:p w14:paraId="11CEF096" w14:textId="77777777" w:rsidR="00D133C1" w:rsidRDefault="00D133C1"/>
  </w:footnote>
  <w:footnote w:type="continuationSeparator" w:id="0">
    <w:p w14:paraId="03E71289" w14:textId="77777777" w:rsidR="00D133C1" w:rsidRDefault="00D133C1">
      <w:r>
        <w:continuationSeparator/>
      </w:r>
    </w:p>
    <w:p w14:paraId="52BEBF2D" w14:textId="77777777" w:rsidR="00D133C1" w:rsidRDefault="00D13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2"/>
  </w:num>
  <w:num w:numId="2" w16cid:durableId="1542982269">
    <w:abstractNumId w:val="10"/>
  </w:num>
  <w:num w:numId="3" w16cid:durableId="89743588">
    <w:abstractNumId w:val="5"/>
  </w:num>
  <w:num w:numId="4" w16cid:durableId="545223178">
    <w:abstractNumId w:val="9"/>
  </w:num>
  <w:num w:numId="5" w16cid:durableId="423693691">
    <w:abstractNumId w:val="0"/>
  </w:num>
  <w:num w:numId="6" w16cid:durableId="1419671084">
    <w:abstractNumId w:val="3"/>
  </w:num>
  <w:num w:numId="7" w16cid:durableId="244341172">
    <w:abstractNumId w:val="7"/>
  </w:num>
  <w:num w:numId="8" w16cid:durableId="581263184">
    <w:abstractNumId w:val="8"/>
  </w:num>
  <w:num w:numId="9" w16cid:durableId="807547945">
    <w:abstractNumId w:val="2"/>
  </w:num>
  <w:num w:numId="10" w16cid:durableId="864633928">
    <w:abstractNumId w:val="11"/>
  </w:num>
  <w:num w:numId="11" w16cid:durableId="586351984">
    <w:abstractNumId w:val="6"/>
  </w:num>
  <w:num w:numId="12" w16cid:durableId="543250717">
    <w:abstractNumId w:val="1"/>
  </w:num>
  <w:num w:numId="13" w16cid:durableId="191365527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153"/>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D8F"/>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B7A"/>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C4"/>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505F"/>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AA8"/>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610"/>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6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043"/>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7E7"/>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6D"/>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59BC"/>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43D"/>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5FB"/>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BCA"/>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AD3"/>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3C1"/>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268"/>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C8C"/>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660"/>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2023-05-12T02:42:00Z</dcterms:created>
  <dcterms:modified xsi:type="dcterms:W3CDTF">2023-05-12T06:53:00Z</dcterms:modified>
</cp:coreProperties>
</file>