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E19C8" w14:textId="243184D7" w:rsidR="00A4529D" w:rsidRDefault="0064539F" w:rsidP="0064539F">
      <w:pPr>
        <w:pStyle w:val="Header"/>
        <w:tabs>
          <w:tab w:val="left" w:pos="8370"/>
        </w:tabs>
        <w:spacing w:after="0" w:afterAutospacing="0"/>
        <w:jc w:val="left"/>
        <w:rPr>
          <w:rFonts w:cs="Arial"/>
          <w:iCs/>
          <w:noProof w:val="0"/>
          <w:sz w:val="28"/>
          <w:szCs w:val="28"/>
          <w:lang w:val="en-US"/>
        </w:rPr>
      </w:pPr>
      <w:bookmarkStart w:id="0" w:name="OLE_LINK3"/>
      <w:bookmarkStart w:id="1" w:name="_Hlk110942696"/>
      <w:r>
        <w:rPr>
          <w:rFonts w:cs="Arial"/>
          <w:noProof w:val="0"/>
          <w:sz w:val="28"/>
          <w:szCs w:val="28"/>
          <w:lang w:val="en-US"/>
        </w:rPr>
        <w:t>3GPP TSG RAN WG2</w:t>
      </w:r>
      <w:r w:rsidRPr="00FF4CD0">
        <w:rPr>
          <w:rFonts w:cs="Arial"/>
          <w:noProof w:val="0"/>
          <w:sz w:val="28"/>
          <w:szCs w:val="28"/>
          <w:lang w:val="en-US"/>
        </w:rPr>
        <w:t xml:space="preserve"> </w:t>
      </w:r>
      <w:r>
        <w:rPr>
          <w:rFonts w:cs="Arial"/>
          <w:noProof w:val="0"/>
          <w:sz w:val="28"/>
          <w:szCs w:val="28"/>
          <w:lang w:val="en-US"/>
        </w:rPr>
        <w:t>Meeting #</w:t>
      </w:r>
      <w:r w:rsidR="004B3AFC">
        <w:rPr>
          <w:rFonts w:cs="Arial"/>
          <w:noProof w:val="0"/>
          <w:sz w:val="28"/>
          <w:szCs w:val="28"/>
          <w:lang w:val="en-US"/>
        </w:rPr>
        <w:t>12</w:t>
      </w:r>
      <w:r w:rsidR="00A93D29">
        <w:rPr>
          <w:rFonts w:cs="Arial"/>
          <w:noProof w:val="0"/>
          <w:sz w:val="28"/>
          <w:szCs w:val="28"/>
          <w:lang w:val="en-US"/>
        </w:rPr>
        <w:t>2</w:t>
      </w:r>
      <w:r>
        <w:rPr>
          <w:rFonts w:cs="Arial"/>
          <w:noProof w:val="0"/>
          <w:sz w:val="28"/>
          <w:szCs w:val="28"/>
          <w:lang w:val="en-US"/>
        </w:rPr>
        <w:t xml:space="preserve">                        </w:t>
      </w:r>
      <w:r w:rsidR="00A4529D" w:rsidRPr="00A4529D">
        <w:rPr>
          <w:rFonts w:cs="Arial"/>
          <w:bCs/>
          <w:noProof w:val="0"/>
          <w:sz w:val="28"/>
          <w:szCs w:val="28"/>
        </w:rPr>
        <w:t>R2-</w:t>
      </w:r>
      <w:r w:rsidR="002114E0" w:rsidRPr="002114E0">
        <w:rPr>
          <w:rFonts w:eastAsia="MS Gothic" w:cs="Arial"/>
          <w:bCs/>
          <w:noProof w:val="0"/>
          <w:color w:val="808080"/>
          <w:sz w:val="26"/>
          <w:szCs w:val="26"/>
        </w:rPr>
        <w:t xml:space="preserve"> </w:t>
      </w:r>
      <w:r w:rsidR="00182C7F" w:rsidRPr="00182C7F">
        <w:rPr>
          <w:rFonts w:cs="Arial"/>
          <w:bCs/>
          <w:noProof w:val="0"/>
          <w:sz w:val="28"/>
          <w:szCs w:val="28"/>
        </w:rPr>
        <w:t>2305992</w:t>
      </w:r>
    </w:p>
    <w:p w14:paraId="7E19FD22" w14:textId="7581D7CF" w:rsidR="0064539F" w:rsidRPr="00FB5E4F" w:rsidRDefault="00A93D29" w:rsidP="0064539F">
      <w:pPr>
        <w:pStyle w:val="Header"/>
        <w:tabs>
          <w:tab w:val="left" w:pos="6930"/>
        </w:tabs>
        <w:spacing w:after="0" w:afterAutospacing="0"/>
        <w:rPr>
          <w:rFonts w:cs="Arial"/>
          <w:noProof w:val="0"/>
          <w:sz w:val="28"/>
          <w:szCs w:val="28"/>
          <w:lang w:val="en-US"/>
        </w:rPr>
      </w:pPr>
      <w:r>
        <w:rPr>
          <w:rFonts w:cs="Arial"/>
          <w:noProof w:val="0"/>
          <w:sz w:val="28"/>
          <w:szCs w:val="28"/>
          <w:lang w:val="en-US"/>
        </w:rPr>
        <w:t>May 22</w:t>
      </w:r>
      <w:r w:rsidRPr="00A93D29">
        <w:rPr>
          <w:rFonts w:cs="Arial"/>
          <w:noProof w:val="0"/>
          <w:sz w:val="28"/>
          <w:szCs w:val="28"/>
          <w:vertAlign w:val="superscript"/>
          <w:lang w:val="en-US"/>
        </w:rPr>
        <w:t>nd</w:t>
      </w:r>
      <w:r>
        <w:rPr>
          <w:rFonts w:cs="Arial"/>
          <w:noProof w:val="0"/>
          <w:sz w:val="28"/>
          <w:szCs w:val="28"/>
          <w:lang w:val="en-US"/>
        </w:rPr>
        <w:t xml:space="preserve"> </w:t>
      </w:r>
      <w:r w:rsidR="0064539F">
        <w:rPr>
          <w:rFonts w:cs="Arial"/>
          <w:noProof w:val="0"/>
          <w:sz w:val="28"/>
          <w:szCs w:val="28"/>
          <w:lang w:val="en-US"/>
        </w:rPr>
        <w:t xml:space="preserve">– </w:t>
      </w:r>
      <w:r>
        <w:rPr>
          <w:rFonts w:cs="Arial"/>
          <w:noProof w:val="0"/>
          <w:sz w:val="28"/>
          <w:szCs w:val="28"/>
          <w:lang w:val="en-US"/>
        </w:rPr>
        <w:t>May</w:t>
      </w:r>
      <w:r w:rsidR="00F27FD2">
        <w:rPr>
          <w:rFonts w:cs="Arial"/>
          <w:noProof w:val="0"/>
          <w:sz w:val="28"/>
          <w:szCs w:val="28"/>
          <w:lang w:val="en-US"/>
        </w:rPr>
        <w:t xml:space="preserve"> 26</w:t>
      </w:r>
      <w:r w:rsidR="00F27FD2" w:rsidRPr="00F27FD2">
        <w:rPr>
          <w:rFonts w:cs="Arial"/>
          <w:noProof w:val="0"/>
          <w:sz w:val="28"/>
          <w:szCs w:val="28"/>
          <w:vertAlign w:val="superscript"/>
          <w:lang w:val="en-US"/>
        </w:rPr>
        <w:t>th</w:t>
      </w:r>
      <w:r w:rsidR="0064539F">
        <w:rPr>
          <w:rFonts w:cs="Arial"/>
          <w:noProof w:val="0"/>
          <w:sz w:val="28"/>
          <w:szCs w:val="28"/>
          <w:lang w:val="en-US"/>
        </w:rPr>
        <w:t xml:space="preserve">, </w:t>
      </w:r>
      <w:r w:rsidR="0064539F" w:rsidRPr="00B1121C">
        <w:rPr>
          <w:rFonts w:cs="Arial"/>
          <w:noProof w:val="0"/>
          <w:sz w:val="28"/>
          <w:szCs w:val="28"/>
          <w:lang w:val="en-US"/>
        </w:rPr>
        <w:t>20</w:t>
      </w:r>
      <w:r w:rsidR="0064539F">
        <w:rPr>
          <w:rFonts w:cs="Arial"/>
          <w:noProof w:val="0"/>
          <w:sz w:val="28"/>
          <w:szCs w:val="28"/>
          <w:lang w:val="en-US"/>
        </w:rPr>
        <w:t>2</w:t>
      </w:r>
      <w:r w:rsidR="00255755">
        <w:rPr>
          <w:rFonts w:cs="Arial"/>
          <w:noProof w:val="0"/>
          <w:sz w:val="28"/>
          <w:szCs w:val="28"/>
          <w:lang w:val="en-US"/>
        </w:rPr>
        <w:t>3</w:t>
      </w:r>
      <w:r w:rsidR="0064539F" w:rsidRPr="00FB5E4F">
        <w:t xml:space="preserve"> </w:t>
      </w:r>
      <w:r w:rsidR="0064539F">
        <w:t xml:space="preserve">                           </w:t>
      </w:r>
      <w:r w:rsidR="0064539F">
        <w:rPr>
          <w:rFonts w:cs="Arial"/>
          <w:noProof w:val="0"/>
          <w:sz w:val="28"/>
          <w:szCs w:val="28"/>
          <w:lang w:val="en-US"/>
        </w:rPr>
        <w:tab/>
        <w:t xml:space="preserve">   </w:t>
      </w:r>
    </w:p>
    <w:p w14:paraId="46110A3F" w14:textId="77777777" w:rsidR="0064539F" w:rsidRPr="00442959" w:rsidRDefault="0064539F" w:rsidP="0064539F">
      <w:pPr>
        <w:tabs>
          <w:tab w:val="left" w:pos="1985"/>
        </w:tabs>
        <w:spacing w:after="0" w:afterAutospacing="0"/>
        <w:ind w:left="1985" w:hangingChars="706" w:hanging="1985"/>
        <w:rPr>
          <w:rFonts w:ascii="Arial" w:hAnsi="Arial" w:cs="Arial"/>
          <w:b/>
          <w:sz w:val="28"/>
          <w:szCs w:val="28"/>
          <w:lang w:val="en-US"/>
        </w:rPr>
      </w:pPr>
      <w:bookmarkStart w:id="2"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16C2E755" w14:textId="12991A99" w:rsidR="0064539F" w:rsidRPr="00442959" w:rsidRDefault="0064539F" w:rsidP="0064539F">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926EE" w:rsidRPr="00A926EE">
        <w:rPr>
          <w:rFonts w:ascii="Arial" w:hAnsi="Arial" w:cs="Arial"/>
          <w:b/>
          <w:sz w:val="28"/>
          <w:szCs w:val="28"/>
        </w:rPr>
        <w:t xml:space="preserve">[IoT NTN </w:t>
      </w:r>
      <w:proofErr w:type="spellStart"/>
      <w:r w:rsidR="00A926EE" w:rsidRPr="00A926EE">
        <w:rPr>
          <w:rFonts w:ascii="Arial" w:hAnsi="Arial" w:cs="Arial"/>
          <w:b/>
          <w:sz w:val="28"/>
          <w:szCs w:val="28"/>
        </w:rPr>
        <w:t>Enh</w:t>
      </w:r>
      <w:proofErr w:type="spellEnd"/>
      <w:r w:rsidR="00A926EE" w:rsidRPr="00A926EE">
        <w:rPr>
          <w:rFonts w:ascii="Arial" w:hAnsi="Arial" w:cs="Arial"/>
          <w:b/>
          <w:sz w:val="28"/>
          <w:szCs w:val="28"/>
        </w:rPr>
        <w:t>] GNSS operation enhancements</w:t>
      </w:r>
    </w:p>
    <w:p w14:paraId="4E31768E" w14:textId="4A82C17A" w:rsidR="0064539F" w:rsidRPr="00EF0653" w:rsidRDefault="0064539F" w:rsidP="0064539F">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2114E0">
        <w:rPr>
          <w:rFonts w:ascii="Arial" w:hAnsi="Arial" w:cs="Arial"/>
          <w:b/>
          <w:sz w:val="28"/>
          <w:szCs w:val="28"/>
          <w:lang w:val="pt-BR"/>
        </w:rPr>
        <w:t>7</w:t>
      </w:r>
      <w:r>
        <w:rPr>
          <w:rFonts w:ascii="Arial" w:hAnsi="Arial" w:cs="Arial"/>
          <w:b/>
          <w:sz w:val="28"/>
          <w:szCs w:val="28"/>
          <w:lang w:val="pt-BR"/>
        </w:rPr>
        <w:t>.</w:t>
      </w:r>
      <w:r w:rsidR="00A93D29">
        <w:rPr>
          <w:rFonts w:ascii="Arial" w:hAnsi="Arial" w:cs="Arial"/>
          <w:b/>
          <w:sz w:val="28"/>
          <w:szCs w:val="28"/>
          <w:lang w:val="pt-BR"/>
        </w:rPr>
        <w:t>6</w:t>
      </w:r>
      <w:r>
        <w:rPr>
          <w:rFonts w:ascii="Arial" w:hAnsi="Arial" w:cs="Arial"/>
          <w:b/>
          <w:sz w:val="28"/>
          <w:szCs w:val="28"/>
          <w:lang w:val="pt-BR"/>
        </w:rPr>
        <w:t>.</w:t>
      </w:r>
      <w:r w:rsidR="00A93D29">
        <w:rPr>
          <w:rFonts w:ascii="Arial" w:hAnsi="Arial" w:cs="Arial"/>
          <w:b/>
          <w:sz w:val="28"/>
          <w:szCs w:val="28"/>
          <w:lang w:val="pt-BR"/>
        </w:rPr>
        <w:t>2.2</w:t>
      </w:r>
    </w:p>
    <w:p w14:paraId="5A9DF4C9" w14:textId="77777777" w:rsidR="0064539F" w:rsidRPr="00442959" w:rsidRDefault="0064539F" w:rsidP="0064539F">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Pr>
          <w:rFonts w:ascii="Arial" w:hAnsi="Arial" w:cs="Arial"/>
          <w:b/>
          <w:sz w:val="28"/>
          <w:szCs w:val="28"/>
          <w:lang w:val="en-US"/>
        </w:rPr>
        <w:t xml:space="preserve"> and Decision</w:t>
      </w:r>
    </w:p>
    <w:p w14:paraId="78C49CA1" w14:textId="77777777" w:rsidR="0064539F" w:rsidRDefault="0064539F" w:rsidP="0064539F">
      <w:pPr>
        <w:pStyle w:val="Heading1"/>
        <w:spacing w:before="100" w:beforeAutospacing="1" w:afterLines="0" w:afterAutospacing="1"/>
        <w:rPr>
          <w:lang w:val="en-US"/>
        </w:rPr>
      </w:pPr>
      <w:r w:rsidRPr="00442959">
        <w:rPr>
          <w:lang w:val="en-US"/>
        </w:rPr>
        <w:t>Introduction</w:t>
      </w:r>
      <w:bookmarkEnd w:id="2"/>
    </w:p>
    <w:p w14:paraId="7781CC98" w14:textId="727F3A35" w:rsidR="00CF48E6" w:rsidRPr="00CF48E6" w:rsidRDefault="00CF48E6" w:rsidP="00CF48E6">
      <w:pPr>
        <w:rPr>
          <w:lang w:val="en-US" w:eastAsia="x-none"/>
        </w:rPr>
      </w:pPr>
      <w:r>
        <w:rPr>
          <w:lang w:val="en-US" w:eastAsia="x-none"/>
        </w:rPr>
        <w:t>One of the objectives in Release 18 WID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F48E6" w14:paraId="20FAF121" w14:textId="77777777" w:rsidTr="00CF48E6">
        <w:tc>
          <w:tcPr>
            <w:tcW w:w="9855" w:type="dxa"/>
            <w:tcBorders>
              <w:top w:val="single" w:sz="4" w:space="0" w:color="auto"/>
              <w:left w:val="single" w:sz="4" w:space="0" w:color="auto"/>
              <w:bottom w:val="single" w:sz="4" w:space="0" w:color="auto"/>
              <w:right w:val="single" w:sz="4" w:space="0" w:color="auto"/>
            </w:tcBorders>
            <w:hideMark/>
          </w:tcPr>
          <w:p w14:paraId="4992D4CF" w14:textId="08B562DE" w:rsidR="00CF48E6" w:rsidRDefault="00CF48E6">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w:t>
            </w:r>
            <w:proofErr w:type="spellStart"/>
            <w:r>
              <w:rPr>
                <w:lang w:eastAsia="zh-CN"/>
              </w:rPr>
              <w:t>eMTC</w:t>
            </w:r>
            <w:proofErr w:type="spellEnd"/>
            <w:r>
              <w:rPr>
                <w:lang w:eastAsia="zh-CN"/>
              </w:rPr>
              <w:t xml:space="preserve"> operation is not assumed</w:t>
            </w:r>
            <w:r>
              <w:rPr>
                <w:sz w:val="22"/>
                <w:szCs w:val="22"/>
                <w:lang w:eastAsia="zh-CN"/>
              </w:rPr>
              <w:t>.</w:t>
            </w:r>
          </w:p>
        </w:tc>
      </w:tr>
    </w:tbl>
    <w:p w14:paraId="3341A524" w14:textId="77777777" w:rsidR="00CF48E6" w:rsidRDefault="00CF48E6" w:rsidP="00CF48E6">
      <w:pPr>
        <w:rPr>
          <w:lang w:val="en-US" w:eastAsia="x-none"/>
        </w:rPr>
      </w:pPr>
    </w:p>
    <w:p w14:paraId="3E1F35C2" w14:textId="7E3D1835" w:rsidR="00407E44" w:rsidRDefault="00255755" w:rsidP="00407E44">
      <w:pPr>
        <w:rPr>
          <w:i/>
        </w:rPr>
      </w:pPr>
      <w:r>
        <w:rPr>
          <w:lang w:val="en-US" w:eastAsia="x-none"/>
        </w:rPr>
        <w:t>In RAN2#12</w:t>
      </w:r>
      <w:r w:rsidR="00F27FD2">
        <w:rPr>
          <w:lang w:val="en-US" w:eastAsia="x-none"/>
        </w:rPr>
        <w:t>1</w:t>
      </w:r>
      <w:r w:rsidR="00794760">
        <w:rPr>
          <w:lang w:val="en-US" w:eastAsia="x-none"/>
        </w:rPr>
        <w:t>-bis-e m</w:t>
      </w:r>
      <w:r>
        <w:rPr>
          <w:lang w:val="en-US" w:eastAsia="x-none"/>
        </w:rPr>
        <w:t xml:space="preserve">eeting, </w:t>
      </w:r>
      <w:r w:rsidR="00CF48E6">
        <w:rPr>
          <w:lang w:val="en-US" w:eastAsia="x-none"/>
        </w:rPr>
        <w:t>numerous companies discussed whether IoT NTN devices should move to idle state if GNSS acquisition fails while in GNSS gap measurement</w:t>
      </w:r>
      <w:r w:rsidR="00BA52F0">
        <w:rPr>
          <w:lang w:val="en-US" w:eastAsia="x-none"/>
        </w:rPr>
        <w:t xml:space="preserve"> [1]</w:t>
      </w:r>
      <w:r w:rsidR="00CF48E6">
        <w:rPr>
          <w:lang w:val="en-US" w:eastAsia="x-none"/>
        </w:rPr>
        <w:t xml:space="preserve">. Furthermore, in RAN1, the UE </w:t>
      </w:r>
      <w:r w:rsidR="00CF48E6">
        <w:t>behaviour of GNSS re-acquisition failure was also discussed</w:t>
      </w:r>
      <w:r w:rsidR="00407E44">
        <w:t xml:space="preserve"> based on a previous agreement in RAN1#111</w:t>
      </w:r>
      <w:r w:rsidR="00BA52F0">
        <w:t xml:space="preserve"> [2]</w:t>
      </w:r>
      <w:r w:rsidR="004B3AFC">
        <w:t>:</w:t>
      </w:r>
    </w:p>
    <w:p w14:paraId="6A0AC457" w14:textId="77B12975" w:rsidR="00407E44" w:rsidRDefault="00407E44" w:rsidP="00407E44">
      <w:pPr>
        <w:pStyle w:val="Doc-comment"/>
        <w:pBdr>
          <w:top w:val="single" w:sz="4" w:space="1" w:color="auto"/>
          <w:left w:val="single" w:sz="4" w:space="4" w:color="auto"/>
          <w:bottom w:val="single" w:sz="4" w:space="1" w:color="auto"/>
          <w:right w:val="single" w:sz="4" w:space="4" w:color="auto"/>
        </w:pBdr>
      </w:pPr>
      <w:r>
        <w:t>Agreements:</w:t>
      </w:r>
      <w:r w:rsidRPr="00407E44">
        <w:t xml:space="preserve"> </w:t>
      </w:r>
    </w:p>
    <w:p w14:paraId="6E2DD12C" w14:textId="54696313" w:rsidR="00407E44" w:rsidRPr="00407E44" w:rsidRDefault="00407E44" w:rsidP="00407E44">
      <w:pPr>
        <w:pStyle w:val="Doc-comment"/>
        <w:pBdr>
          <w:top w:val="single" w:sz="4" w:space="1" w:color="auto"/>
          <w:left w:val="single" w:sz="4" w:space="4" w:color="auto"/>
          <w:bottom w:val="single" w:sz="4" w:space="1" w:color="auto"/>
          <w:right w:val="single" w:sz="4" w:space="4" w:color="auto"/>
        </w:pBdr>
        <w:rPr>
          <w:i w:val="0"/>
        </w:rPr>
      </w:pPr>
      <w:r w:rsidRPr="00407E44">
        <w:rPr>
          <w:i w:val="0"/>
        </w:rPr>
        <w:t xml:space="preserve">For GNSS measurement in RRC connected, if </w:t>
      </w:r>
      <w:proofErr w:type="spellStart"/>
      <w:r w:rsidRPr="00407E44">
        <w:rPr>
          <w:i w:val="0"/>
        </w:rPr>
        <w:t>eNB</w:t>
      </w:r>
      <w:proofErr w:type="spellEnd"/>
      <w:r w:rsidRPr="00407E44">
        <w:rPr>
          <w:i w:val="0"/>
        </w:rPr>
        <w:t xml:space="preserve"> </w:t>
      </w:r>
      <w:proofErr w:type="spellStart"/>
      <w:r w:rsidRPr="00407E44">
        <w:rPr>
          <w:i w:val="0"/>
        </w:rPr>
        <w:t>aperiodically</w:t>
      </w:r>
      <w:proofErr w:type="spellEnd"/>
      <w:r w:rsidRPr="00407E44">
        <w:rPr>
          <w:i w:val="0"/>
        </w:rPr>
        <w:t xml:space="preserve"> triggers connected UE to make GNSS measurement, UE can re-acquire GNSS position fix with a </w:t>
      </w:r>
      <w:proofErr w:type="gramStart"/>
      <w:r w:rsidRPr="00407E44">
        <w:rPr>
          <w:i w:val="0"/>
        </w:rPr>
        <w:t>gap</w:t>
      </w:r>
      <w:proofErr w:type="gramEnd"/>
    </w:p>
    <w:p w14:paraId="6EBE8230" w14:textId="77777777" w:rsidR="00407E44" w:rsidRPr="00407E44" w:rsidRDefault="00407E44" w:rsidP="00407E44">
      <w:pPr>
        <w:pStyle w:val="Doc-comment"/>
        <w:pBdr>
          <w:top w:val="single" w:sz="4" w:space="1" w:color="auto"/>
          <w:left w:val="single" w:sz="4" w:space="4" w:color="auto"/>
          <w:bottom w:val="single" w:sz="4" w:space="1" w:color="auto"/>
          <w:right w:val="single" w:sz="4" w:space="4" w:color="auto"/>
        </w:pBdr>
        <w:rPr>
          <w:i w:val="0"/>
        </w:rPr>
      </w:pPr>
      <w:r w:rsidRPr="00407E44">
        <w:rPr>
          <w:i w:val="0"/>
        </w:rPr>
        <w:t>•</w:t>
      </w:r>
      <w:r w:rsidRPr="00407E44">
        <w:rPr>
          <w:i w:val="0"/>
        </w:rPr>
        <w:tab/>
        <w:t>FFS details of gap configuration</w:t>
      </w:r>
    </w:p>
    <w:p w14:paraId="1D95595C" w14:textId="77777777" w:rsidR="00407E44" w:rsidRPr="00407E44" w:rsidRDefault="00407E44" w:rsidP="00407E44">
      <w:pPr>
        <w:pStyle w:val="Doc-comment"/>
        <w:pBdr>
          <w:top w:val="single" w:sz="4" w:space="1" w:color="auto"/>
          <w:left w:val="single" w:sz="4" w:space="4" w:color="auto"/>
          <w:bottom w:val="single" w:sz="4" w:space="1" w:color="auto"/>
          <w:right w:val="single" w:sz="4" w:space="4" w:color="auto"/>
        </w:pBdr>
        <w:rPr>
          <w:i w:val="0"/>
        </w:rPr>
      </w:pPr>
      <w:r w:rsidRPr="00407E44">
        <w:rPr>
          <w:i w:val="0"/>
        </w:rPr>
        <w:t xml:space="preserve">The UE may re-acquire GNSS autonomously (when configured by the network) if UE does not receive </w:t>
      </w:r>
      <w:proofErr w:type="spellStart"/>
      <w:r w:rsidRPr="00407E44">
        <w:rPr>
          <w:i w:val="0"/>
        </w:rPr>
        <w:t>eNB</w:t>
      </w:r>
      <w:proofErr w:type="spellEnd"/>
      <w:r w:rsidRPr="00407E44">
        <w:rPr>
          <w:i w:val="0"/>
        </w:rPr>
        <w:t xml:space="preserve"> trigger to make GNSS </w:t>
      </w:r>
      <w:proofErr w:type="gramStart"/>
      <w:r w:rsidRPr="00407E44">
        <w:rPr>
          <w:i w:val="0"/>
        </w:rPr>
        <w:t>measurement</w:t>
      </w:r>
      <w:proofErr w:type="gramEnd"/>
    </w:p>
    <w:p w14:paraId="3D61D952" w14:textId="0591E3E2" w:rsidR="004B3AFC" w:rsidRDefault="00407E44" w:rsidP="00407E44">
      <w:pPr>
        <w:pStyle w:val="Doc-comment"/>
        <w:pBdr>
          <w:top w:val="single" w:sz="4" w:space="1" w:color="auto"/>
          <w:left w:val="single" w:sz="4" w:space="4" w:color="auto"/>
          <w:bottom w:val="single" w:sz="4" w:space="1" w:color="auto"/>
          <w:right w:val="single" w:sz="4" w:space="4" w:color="auto"/>
        </w:pBdr>
        <w:rPr>
          <w:i w:val="0"/>
        </w:rPr>
      </w:pPr>
      <w:r w:rsidRPr="00407E44">
        <w:rPr>
          <w:i w:val="0"/>
        </w:rPr>
        <w:t>•</w:t>
      </w:r>
      <w:r w:rsidRPr="00407E44">
        <w:rPr>
          <w:i w:val="0"/>
        </w:rPr>
        <w:tab/>
        <w:t>FFS based on configured timing</w:t>
      </w:r>
    </w:p>
    <w:p w14:paraId="3FE4BAE1" w14:textId="77777777" w:rsidR="00407E44" w:rsidRPr="00407E44" w:rsidRDefault="00407E44" w:rsidP="00407E44">
      <w:pPr>
        <w:rPr>
          <w:lang w:eastAsia="en-GB"/>
        </w:rPr>
      </w:pPr>
    </w:p>
    <w:p w14:paraId="57D8C617" w14:textId="09634AF0" w:rsidR="0064539F" w:rsidRPr="00655A69" w:rsidRDefault="0064539F" w:rsidP="0064539F">
      <w:pPr>
        <w:rPr>
          <w:lang w:val="en-US" w:eastAsia="x-none"/>
        </w:rPr>
      </w:pPr>
      <w:r>
        <w:rPr>
          <w:lang w:val="en-US" w:eastAsia="x-none"/>
        </w:rPr>
        <w:t>This paper discusses further considerations</w:t>
      </w:r>
      <w:r w:rsidR="00407E44">
        <w:rPr>
          <w:lang w:val="en-US" w:eastAsia="x-none"/>
        </w:rPr>
        <w:t xml:space="preserve"> on the behavior of IoT NTN devices and GNSS acquisition failures.</w:t>
      </w:r>
      <w:r>
        <w:rPr>
          <w:lang w:val="en-US" w:eastAsia="x-none"/>
        </w:rPr>
        <w:t xml:space="preserve"> </w:t>
      </w:r>
    </w:p>
    <w:p w14:paraId="32344429" w14:textId="77777777" w:rsidR="0064539F" w:rsidRDefault="0064539F" w:rsidP="0064539F">
      <w:pPr>
        <w:pStyle w:val="Heading1"/>
        <w:spacing w:before="100" w:beforeAutospacing="1" w:afterLines="0" w:afterAutospacing="1"/>
        <w:rPr>
          <w:lang w:val="en-US" w:eastAsia="ja-JP"/>
        </w:rPr>
      </w:pPr>
      <w:r>
        <w:rPr>
          <w:lang w:val="en-US" w:eastAsia="ja-JP"/>
        </w:rPr>
        <w:t>Discussion</w:t>
      </w:r>
    </w:p>
    <w:p w14:paraId="1A27B0A3" w14:textId="5E10D828" w:rsidR="0064539F" w:rsidRDefault="00351EA7" w:rsidP="0064539F">
      <w:pPr>
        <w:pStyle w:val="Heading2"/>
      </w:pPr>
      <w:r>
        <w:t xml:space="preserve">2.1    </w:t>
      </w:r>
      <w:r w:rsidR="00A926EE">
        <w:t>GNSS and IoT NTN</w:t>
      </w:r>
    </w:p>
    <w:p w14:paraId="0F5AAE06" w14:textId="77777777" w:rsidR="004E5609" w:rsidRDefault="00DE09A4" w:rsidP="005C35D4">
      <w:r>
        <w:t xml:space="preserve">In previous RAN2 meeting, </w:t>
      </w:r>
      <w:r w:rsidR="00A926EE">
        <w:t>one of the email discussions focused on behaviour of UE if GNSS acquisition fails during GNSS measurement gap</w:t>
      </w:r>
      <w:r w:rsidR="00C26C84">
        <w:t xml:space="preserve"> [1]</w:t>
      </w:r>
      <w:r w:rsidR="00A926EE">
        <w:t>.</w:t>
      </w:r>
      <w:r w:rsidR="00C26C84">
        <w:t xml:space="preserve">  Majority of the companies agreed that the UE should move to idle mode if the UE GNSS acquisition fails</w:t>
      </w:r>
      <w:r w:rsidR="009E4D62">
        <w:t xml:space="preserve"> while other companies stated that the UE perform another GNSS acquisition while still in GNSS measurement gap.</w:t>
      </w:r>
    </w:p>
    <w:p w14:paraId="451173AE" w14:textId="65671A92" w:rsidR="00DF1C08" w:rsidRDefault="00CB1816" w:rsidP="005C35D4">
      <w:r>
        <w:lastRenderedPageBreak/>
        <w:t>RAN1</w:t>
      </w:r>
      <w:r w:rsidR="004E5609">
        <w:t xml:space="preserve"> </w:t>
      </w:r>
      <w:r w:rsidR="00407E44">
        <w:t>is</w:t>
      </w:r>
      <w:r w:rsidR="004E5609">
        <w:t xml:space="preserve"> also discussing</w:t>
      </w:r>
      <w:r>
        <w:t xml:space="preserve"> the use of autonomous GNSS re-acquisition.  While no agreements have been made with autonomous GNSS re-acquisition, the </w:t>
      </w:r>
      <w:r w:rsidR="00D67836">
        <w:t xml:space="preserve">behaviour of </w:t>
      </w:r>
      <w:r w:rsidR="00407E44">
        <w:t>UE after GNSS re-acquisition</w:t>
      </w:r>
      <w:r w:rsidR="00D67836">
        <w:t xml:space="preserve"> should be discussed, specifically if the GNSS re-acquisition fails.  </w:t>
      </w:r>
      <w:r w:rsidR="004E5609">
        <w:t xml:space="preserve"> </w:t>
      </w:r>
    </w:p>
    <w:p w14:paraId="306A1C73" w14:textId="28DC128D" w:rsidR="00BA259D" w:rsidRDefault="008059B7" w:rsidP="005C35D4">
      <w:r>
        <w:t>The primary purpose of GNSS acquisition is to maintain connection mode between NTN satellites and IoT NTN devices.  One method is to use GNSS gap measurement configured by the network.  Another possible method is UE autonomously</w:t>
      </w:r>
      <w:r w:rsidR="00BA259D">
        <w:t xml:space="preserve"> re-acquire GNSS measurement</w:t>
      </w:r>
      <w:r w:rsidR="00541442">
        <w:t xml:space="preserve"> also configured by the network</w:t>
      </w:r>
      <w:r w:rsidR="00BA259D">
        <w:t xml:space="preserve">.  </w:t>
      </w:r>
    </w:p>
    <w:p w14:paraId="276E2A5B" w14:textId="5377257D" w:rsidR="009E4D62" w:rsidRDefault="00BA259D" w:rsidP="005C35D4">
      <w:r>
        <w:t xml:space="preserve">If autonomous measurement is implemented, </w:t>
      </w:r>
      <w:r w:rsidR="00541442">
        <w:t>the UE may fail to obtain GNSS values.  Furthermore, if the GNSS validity timer also expired, then attempting multiple GNSS acquisitions may still not result in a successful GNSS measurement.</w:t>
      </w:r>
    </w:p>
    <w:p w14:paraId="21CF5BEF" w14:textId="2F5F9073" w:rsidR="00541442" w:rsidRPr="000525EF" w:rsidRDefault="00541442" w:rsidP="00541442">
      <w:pPr>
        <w:rPr>
          <w:b/>
          <w:bCs/>
        </w:rPr>
      </w:pPr>
      <w:r>
        <w:rPr>
          <w:b/>
          <w:bCs/>
        </w:rPr>
        <w:t>Observation</w:t>
      </w:r>
      <w:r w:rsidR="0002181B">
        <w:rPr>
          <w:b/>
          <w:bCs/>
        </w:rPr>
        <w:t xml:space="preserve"> 1</w:t>
      </w:r>
      <w:r w:rsidRPr="009838DA">
        <w:rPr>
          <w:b/>
          <w:bCs/>
        </w:rPr>
        <w:t>:</w:t>
      </w:r>
      <w:r>
        <w:rPr>
          <w:b/>
          <w:bCs/>
        </w:rPr>
        <w:t xml:space="preserve"> </w:t>
      </w:r>
      <w:r w:rsidR="004058D2">
        <w:rPr>
          <w:b/>
          <w:bCs/>
        </w:rPr>
        <w:t>For IoT NTN devices, UE may need to obtain GNSS values but at times, the acquisition may fail</w:t>
      </w:r>
      <w:r w:rsidR="00BA52F0">
        <w:rPr>
          <w:b/>
          <w:bCs/>
        </w:rPr>
        <w:t>.</w:t>
      </w:r>
    </w:p>
    <w:p w14:paraId="02B18F7D" w14:textId="79ED2919" w:rsidR="009E4D62" w:rsidRDefault="0002181B" w:rsidP="005C35D4">
      <w:r>
        <w:t>Battery</w:t>
      </w:r>
      <w:r w:rsidR="00AB3832">
        <w:t xml:space="preserve"> con</w:t>
      </w:r>
      <w:r>
        <w:t>servation</w:t>
      </w:r>
      <w:r w:rsidR="00AB3832">
        <w:t xml:space="preserve"> is vital for any IoT devices.  </w:t>
      </w:r>
      <w:r>
        <w:t xml:space="preserve">Power consumption is higher in connected state versus idle mode. In addition, GPS also utilizes high battery power. If the autonomous GNSS measurement fails and the GNSS validity duration already expired, then the UE should move to idle state instead of remaining in connected mode and attempt additional GPS fixes.  </w:t>
      </w:r>
    </w:p>
    <w:p w14:paraId="6BAC8ED4" w14:textId="6B04B9FA" w:rsidR="0002181B" w:rsidRDefault="0002181B" w:rsidP="0002181B">
      <w:pPr>
        <w:rPr>
          <w:b/>
          <w:bCs/>
        </w:rPr>
      </w:pPr>
      <w:r>
        <w:t>P</w:t>
      </w:r>
      <w:r w:rsidRPr="009838DA">
        <w:rPr>
          <w:b/>
          <w:bCs/>
        </w:rPr>
        <w:t>roposal</w:t>
      </w:r>
      <w:r>
        <w:rPr>
          <w:b/>
          <w:bCs/>
        </w:rPr>
        <w:t xml:space="preserve"> 1</w:t>
      </w:r>
      <w:r w:rsidRPr="009838DA">
        <w:rPr>
          <w:b/>
          <w:bCs/>
        </w:rPr>
        <w:t xml:space="preserve">: </w:t>
      </w:r>
      <w:r>
        <w:rPr>
          <w:b/>
          <w:bCs/>
        </w:rPr>
        <w:t xml:space="preserve">If </w:t>
      </w:r>
      <w:r w:rsidR="00BA52F0">
        <w:rPr>
          <w:b/>
          <w:bCs/>
        </w:rPr>
        <w:t xml:space="preserve">UE </w:t>
      </w:r>
      <w:r>
        <w:rPr>
          <w:b/>
          <w:bCs/>
        </w:rPr>
        <w:t>autonomous GNSS acquisition</w:t>
      </w:r>
      <w:r w:rsidR="00BA52F0">
        <w:rPr>
          <w:b/>
          <w:bCs/>
        </w:rPr>
        <w:t xml:space="preserve"> (as configured by the network) fails and the GNSS validity timer expired, the UE should move to idle mode.</w:t>
      </w:r>
    </w:p>
    <w:p w14:paraId="6D504E2B" w14:textId="34778560" w:rsidR="00300728" w:rsidRDefault="00300728" w:rsidP="00300728">
      <w:pPr>
        <w:pStyle w:val="Heading1"/>
        <w:spacing w:after="180"/>
      </w:pPr>
      <w:r>
        <w:t>Conclusions</w:t>
      </w:r>
    </w:p>
    <w:p w14:paraId="1B37B3B2" w14:textId="77777777" w:rsidR="00BA52F0" w:rsidRPr="000525EF" w:rsidRDefault="00BA52F0" w:rsidP="00BA52F0">
      <w:pPr>
        <w:rPr>
          <w:b/>
          <w:bCs/>
        </w:rPr>
      </w:pPr>
      <w:r>
        <w:rPr>
          <w:b/>
          <w:bCs/>
        </w:rPr>
        <w:t>Observation 1</w:t>
      </w:r>
      <w:r w:rsidRPr="009838DA">
        <w:rPr>
          <w:b/>
          <w:bCs/>
        </w:rPr>
        <w:t>:</w:t>
      </w:r>
      <w:r>
        <w:rPr>
          <w:b/>
          <w:bCs/>
        </w:rPr>
        <w:t xml:space="preserve"> For IoT NTN devices, UE may need to obtain GNSS values but at times, the acquisition may fail.</w:t>
      </w:r>
    </w:p>
    <w:p w14:paraId="5B7CF065" w14:textId="77777777" w:rsidR="00BA52F0" w:rsidRDefault="00BA52F0" w:rsidP="00BA52F0">
      <w:pPr>
        <w:rPr>
          <w:b/>
          <w:bCs/>
        </w:rPr>
      </w:pPr>
      <w:r>
        <w:t>P</w:t>
      </w:r>
      <w:r w:rsidRPr="009838DA">
        <w:rPr>
          <w:b/>
          <w:bCs/>
        </w:rPr>
        <w:t>roposal</w:t>
      </w:r>
      <w:r>
        <w:rPr>
          <w:b/>
          <w:bCs/>
        </w:rPr>
        <w:t xml:space="preserve"> 1</w:t>
      </w:r>
      <w:r w:rsidRPr="009838DA">
        <w:rPr>
          <w:b/>
          <w:bCs/>
        </w:rPr>
        <w:t xml:space="preserve">: </w:t>
      </w:r>
      <w:r>
        <w:rPr>
          <w:b/>
          <w:bCs/>
        </w:rPr>
        <w:t>If UE autonomous GNSS acquisition (as configured by the network) fails and the GNSS validity timer expired, the UE should move to idle mode.</w:t>
      </w:r>
    </w:p>
    <w:p w14:paraId="00FED2E1" w14:textId="77777777" w:rsidR="00300728" w:rsidRPr="000525EF" w:rsidRDefault="00300728" w:rsidP="00300728">
      <w:pPr>
        <w:rPr>
          <w:b/>
          <w:bCs/>
        </w:rPr>
      </w:pPr>
    </w:p>
    <w:p w14:paraId="68448013" w14:textId="04DCAFA6" w:rsidR="00300728" w:rsidRDefault="00300728" w:rsidP="00300728">
      <w:pPr>
        <w:pStyle w:val="Heading1"/>
        <w:spacing w:after="180"/>
      </w:pPr>
      <w:r>
        <w:t>References</w:t>
      </w:r>
    </w:p>
    <w:p w14:paraId="7B7B4FDB" w14:textId="41464F86" w:rsidR="00CB048C" w:rsidRDefault="00A926EE" w:rsidP="00CB048C">
      <w:pPr>
        <w:pStyle w:val="textintend2"/>
        <w:widowControl w:val="0"/>
        <w:spacing w:before="100" w:beforeAutospacing="1" w:after="100" w:afterAutospacing="1"/>
        <w:ind w:left="418" w:hanging="418"/>
      </w:pPr>
      <w:r>
        <w:t>RAN2#121-bis-e R2-2304244</w:t>
      </w:r>
    </w:p>
    <w:bookmarkEnd w:id="1"/>
    <w:p w14:paraId="2647CAA0" w14:textId="735C36A1" w:rsidR="00BA52F0" w:rsidRPr="00BA52F0" w:rsidRDefault="00BA52F0" w:rsidP="00E43217">
      <w:pPr>
        <w:pStyle w:val="textintend2"/>
        <w:widowControl w:val="0"/>
        <w:spacing w:before="100" w:beforeAutospacing="1" w:after="100" w:afterAutospacing="1"/>
        <w:ind w:left="418" w:hanging="418"/>
      </w:pPr>
      <w:r w:rsidRPr="00037353">
        <w:rPr>
          <w:rFonts w:cs="Arial"/>
        </w:rPr>
        <w:t>Draft Report of 3GPP TSG RAN WG1 #11</w:t>
      </w:r>
      <w:r>
        <w:rPr>
          <w:rFonts w:cs="Arial"/>
        </w:rPr>
        <w:t>1</w:t>
      </w:r>
    </w:p>
    <w:p w14:paraId="08FB39ED" w14:textId="2B351273" w:rsidR="00300728" w:rsidRDefault="00300728" w:rsidP="00BA52F0">
      <w:pPr>
        <w:pStyle w:val="textintend2"/>
        <w:widowControl w:val="0"/>
        <w:numPr>
          <w:ilvl w:val="0"/>
          <w:numId w:val="0"/>
        </w:numPr>
        <w:spacing w:before="100" w:beforeAutospacing="1" w:after="100" w:afterAutospacing="1"/>
        <w:ind w:left="418"/>
      </w:pPr>
    </w:p>
    <w:sectPr w:rsidR="00300728">
      <w:footerReference w:type="default" r:id="rId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76EC4" w14:textId="77777777" w:rsidR="00EC0D0C" w:rsidRDefault="00EC0D0C">
      <w:pPr>
        <w:spacing w:after="0"/>
      </w:pPr>
      <w:r>
        <w:separator/>
      </w:r>
    </w:p>
  </w:endnote>
  <w:endnote w:type="continuationSeparator" w:id="0">
    <w:p w14:paraId="0D0DF576" w14:textId="77777777" w:rsidR="00EC0D0C" w:rsidRDefault="00EC0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D6DC5" w14:textId="77777777" w:rsidR="002A12A6" w:rsidRDefault="002A12A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EB9A3" w14:textId="77777777" w:rsidR="00EC0D0C" w:rsidRDefault="00EC0D0C">
      <w:pPr>
        <w:spacing w:after="0"/>
      </w:pPr>
      <w:r>
        <w:separator/>
      </w:r>
    </w:p>
  </w:footnote>
  <w:footnote w:type="continuationSeparator" w:id="0">
    <w:p w14:paraId="33D03B19" w14:textId="77777777" w:rsidR="00EC0D0C" w:rsidRDefault="00EC0D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F572FD"/>
    <w:multiLevelType w:val="hybridMultilevel"/>
    <w:tmpl w:val="80800BCA"/>
    <w:lvl w:ilvl="0" w:tplc="33243A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BC10F5"/>
    <w:multiLevelType w:val="hybridMultilevel"/>
    <w:tmpl w:val="288E3B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D550ECAC"/>
    <w:lvl w:ilvl="0">
      <w:start w:val="1"/>
      <w:numFmt w:val="decimal"/>
      <w:pStyle w:val="Heading1"/>
      <w:lvlText w:val="%1."/>
      <w:lvlJc w:val="left"/>
      <w:pPr>
        <w:tabs>
          <w:tab w:val="num" w:pos="709"/>
        </w:tabs>
        <w:ind w:left="709"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num w:numId="1" w16cid:durableId="899554680">
    <w:abstractNumId w:val="8"/>
  </w:num>
  <w:num w:numId="2" w16cid:durableId="9714403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4062466">
    <w:abstractNumId w:val="7"/>
  </w:num>
  <w:num w:numId="4" w16cid:durableId="1596356204">
    <w:abstractNumId w:val="3"/>
  </w:num>
  <w:num w:numId="5" w16cid:durableId="1711614563">
    <w:abstractNumId w:val="5"/>
  </w:num>
  <w:num w:numId="6" w16cid:durableId="429816776">
    <w:abstractNumId w:val="2"/>
  </w:num>
  <w:num w:numId="7" w16cid:durableId="1743722608">
    <w:abstractNumId w:val="6"/>
  </w:num>
  <w:num w:numId="8" w16cid:durableId="1106345469">
    <w:abstractNumId w:val="4"/>
  </w:num>
  <w:num w:numId="9" w16cid:durableId="431437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39F"/>
    <w:rsid w:val="0002181B"/>
    <w:rsid w:val="00040013"/>
    <w:rsid w:val="000525EF"/>
    <w:rsid w:val="00080EB0"/>
    <w:rsid w:val="0014031C"/>
    <w:rsid w:val="001708DD"/>
    <w:rsid w:val="00182C7F"/>
    <w:rsid w:val="001F449E"/>
    <w:rsid w:val="002114E0"/>
    <w:rsid w:val="0021381E"/>
    <w:rsid w:val="0022179F"/>
    <w:rsid w:val="00221CC7"/>
    <w:rsid w:val="002263D7"/>
    <w:rsid w:val="00237892"/>
    <w:rsid w:val="00243970"/>
    <w:rsid w:val="00255124"/>
    <w:rsid w:val="00255755"/>
    <w:rsid w:val="00275701"/>
    <w:rsid w:val="00285CC3"/>
    <w:rsid w:val="002A12A6"/>
    <w:rsid w:val="002A71E3"/>
    <w:rsid w:val="002B6874"/>
    <w:rsid w:val="002D4F29"/>
    <w:rsid w:val="002E6FFA"/>
    <w:rsid w:val="00300728"/>
    <w:rsid w:val="00340DAE"/>
    <w:rsid w:val="00351EA7"/>
    <w:rsid w:val="00360E3A"/>
    <w:rsid w:val="0037426E"/>
    <w:rsid w:val="003E1C1A"/>
    <w:rsid w:val="003F3C7F"/>
    <w:rsid w:val="003F7360"/>
    <w:rsid w:val="004058D2"/>
    <w:rsid w:val="00405EDD"/>
    <w:rsid w:val="00407E44"/>
    <w:rsid w:val="004A130C"/>
    <w:rsid w:val="004B1361"/>
    <w:rsid w:val="004B3AFC"/>
    <w:rsid w:val="004C6A05"/>
    <w:rsid w:val="004D321D"/>
    <w:rsid w:val="004E5609"/>
    <w:rsid w:val="0050674C"/>
    <w:rsid w:val="0052060B"/>
    <w:rsid w:val="00523478"/>
    <w:rsid w:val="00541442"/>
    <w:rsid w:val="005418BA"/>
    <w:rsid w:val="00541C6D"/>
    <w:rsid w:val="005C09D4"/>
    <w:rsid w:val="005C35D4"/>
    <w:rsid w:val="005D478F"/>
    <w:rsid w:val="005F1EB6"/>
    <w:rsid w:val="006038C2"/>
    <w:rsid w:val="006105F4"/>
    <w:rsid w:val="00611489"/>
    <w:rsid w:val="00633C2F"/>
    <w:rsid w:val="0064539F"/>
    <w:rsid w:val="00653958"/>
    <w:rsid w:val="0066561A"/>
    <w:rsid w:val="006C1AFD"/>
    <w:rsid w:val="006E5821"/>
    <w:rsid w:val="007145F6"/>
    <w:rsid w:val="00754488"/>
    <w:rsid w:val="0075479A"/>
    <w:rsid w:val="00774C12"/>
    <w:rsid w:val="00790859"/>
    <w:rsid w:val="00794760"/>
    <w:rsid w:val="007B7034"/>
    <w:rsid w:val="007F2F31"/>
    <w:rsid w:val="007F63DD"/>
    <w:rsid w:val="008059B7"/>
    <w:rsid w:val="00810E74"/>
    <w:rsid w:val="008210BA"/>
    <w:rsid w:val="008247E6"/>
    <w:rsid w:val="00830910"/>
    <w:rsid w:val="00854A49"/>
    <w:rsid w:val="00857B40"/>
    <w:rsid w:val="0086692D"/>
    <w:rsid w:val="00885A0F"/>
    <w:rsid w:val="008A42C8"/>
    <w:rsid w:val="008D02B1"/>
    <w:rsid w:val="008E18DF"/>
    <w:rsid w:val="009052F5"/>
    <w:rsid w:val="009209C2"/>
    <w:rsid w:val="00921EE1"/>
    <w:rsid w:val="0098366D"/>
    <w:rsid w:val="0099061E"/>
    <w:rsid w:val="00991BDF"/>
    <w:rsid w:val="009B52AF"/>
    <w:rsid w:val="009C402E"/>
    <w:rsid w:val="009E4D62"/>
    <w:rsid w:val="00A047BE"/>
    <w:rsid w:val="00A314D1"/>
    <w:rsid w:val="00A4529D"/>
    <w:rsid w:val="00A67D60"/>
    <w:rsid w:val="00A83179"/>
    <w:rsid w:val="00A926EE"/>
    <w:rsid w:val="00A93D29"/>
    <w:rsid w:val="00AB3832"/>
    <w:rsid w:val="00AE2A19"/>
    <w:rsid w:val="00B31B15"/>
    <w:rsid w:val="00B66FC1"/>
    <w:rsid w:val="00B72FF8"/>
    <w:rsid w:val="00B82549"/>
    <w:rsid w:val="00B93DA0"/>
    <w:rsid w:val="00BA259D"/>
    <w:rsid w:val="00BA52F0"/>
    <w:rsid w:val="00BA53B6"/>
    <w:rsid w:val="00BB1DBC"/>
    <w:rsid w:val="00BC684B"/>
    <w:rsid w:val="00BD0F83"/>
    <w:rsid w:val="00C26C84"/>
    <w:rsid w:val="00C53AD4"/>
    <w:rsid w:val="00CA76F4"/>
    <w:rsid w:val="00CB048C"/>
    <w:rsid w:val="00CB1816"/>
    <w:rsid w:val="00CE11AD"/>
    <w:rsid w:val="00CF48E6"/>
    <w:rsid w:val="00D050C3"/>
    <w:rsid w:val="00D63340"/>
    <w:rsid w:val="00D668BB"/>
    <w:rsid w:val="00D67836"/>
    <w:rsid w:val="00D74670"/>
    <w:rsid w:val="00DE09A4"/>
    <w:rsid w:val="00DF0882"/>
    <w:rsid w:val="00DF1C08"/>
    <w:rsid w:val="00DF30E7"/>
    <w:rsid w:val="00E43217"/>
    <w:rsid w:val="00E531F6"/>
    <w:rsid w:val="00E57B16"/>
    <w:rsid w:val="00E964D8"/>
    <w:rsid w:val="00EC0D0C"/>
    <w:rsid w:val="00EE1962"/>
    <w:rsid w:val="00EE4DCF"/>
    <w:rsid w:val="00F242D6"/>
    <w:rsid w:val="00F27FD2"/>
    <w:rsid w:val="00F44A99"/>
    <w:rsid w:val="00FC6279"/>
    <w:rsid w:val="00FC79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B0AE0"/>
  <w15:docId w15:val="{C2DF7DB8-D131-4CCA-8576-4F2A1151A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39F"/>
    <w:pPr>
      <w:snapToGrid w:val="0"/>
      <w:spacing w:after="100" w:afterAutospacing="1" w:line="240" w:lineRule="auto"/>
      <w:jc w:val="both"/>
    </w:pPr>
    <w:rPr>
      <w:rFonts w:ascii="Times New Roman" w:eastAsia="MS Gothic" w:hAnsi="Times New Roman" w:cs="Times New Roman"/>
      <w:sz w:val="24"/>
      <w:szCs w:val="20"/>
      <w:lang w:val="en-GB" w:eastAsia="ja-JP"/>
    </w:rPr>
  </w:style>
  <w:style w:type="paragraph" w:styleId="Heading1">
    <w:name w:val="heading 1"/>
    <w:aliases w:val="H1,h1,app heading 1,l1,Memo Heading 1,h11,h12,h13,h14,h15,h16"/>
    <w:basedOn w:val="Normal"/>
    <w:next w:val="Normal"/>
    <w:link w:val="Heading1Char"/>
    <w:qFormat/>
    <w:rsid w:val="0064539F"/>
    <w:pPr>
      <w:keepNext/>
      <w:numPr>
        <w:numId w:val="1"/>
      </w:numPr>
      <w:tabs>
        <w:tab w:val="left" w:pos="0"/>
      </w:tabs>
      <w:spacing w:before="240" w:afterLines="50" w:afterAutospacing="0"/>
      <w:outlineLvl w:val="0"/>
    </w:pPr>
    <w:rPr>
      <w:rFonts w:ascii="Arial" w:hAnsi="Arial"/>
      <w:b/>
      <w:kern w:val="28"/>
      <w:sz w:val="32"/>
      <w:lang w:eastAsia="x-none"/>
    </w:rPr>
  </w:style>
  <w:style w:type="paragraph" w:styleId="Heading2">
    <w:name w:val="heading 2"/>
    <w:aliases w:val="DO NOT USE_h2,h2,h21,H2,Head2A,2,UNDERRUBRIK 1-2,H2 Char,h2 Char"/>
    <w:basedOn w:val="Normal"/>
    <w:next w:val="Normal"/>
    <w:link w:val="Heading2Char1"/>
    <w:autoRedefine/>
    <w:qFormat/>
    <w:rsid w:val="0064539F"/>
    <w:pPr>
      <w:keepNext/>
      <w:spacing w:before="240"/>
      <w:outlineLvl w:val="1"/>
    </w:pPr>
    <w:rPr>
      <w:rFonts w:ascii="Arial" w:eastAsia="MS Mincho" w:hAnsi="Arial"/>
      <w:b/>
      <w:sz w:val="28"/>
      <w:szCs w:val="28"/>
      <w:lang w:eastAsia="x-none"/>
    </w:rPr>
  </w:style>
  <w:style w:type="paragraph" w:styleId="Heading3">
    <w:name w:val="heading 3"/>
    <w:aliases w:val="Underrubrik2,H3,no break,Memo Heading 3"/>
    <w:basedOn w:val="Normal"/>
    <w:next w:val="Normal"/>
    <w:link w:val="Heading3Char"/>
    <w:qFormat/>
    <w:rsid w:val="0064539F"/>
    <w:pPr>
      <w:keepNext/>
      <w:numPr>
        <w:ilvl w:val="2"/>
        <w:numId w:val="1"/>
      </w:numPr>
      <w:spacing w:before="240" w:after="60"/>
      <w:outlineLvl w:val="2"/>
    </w:pPr>
    <w:rPr>
      <w:rFonts w:ascii="Arial" w:hAnsi="Arial"/>
      <w:b/>
    </w:rPr>
  </w:style>
  <w:style w:type="paragraph" w:styleId="Heading4">
    <w:name w:val="heading 4"/>
    <w:aliases w:val="h4"/>
    <w:basedOn w:val="Normal"/>
    <w:next w:val="Normal"/>
    <w:link w:val="Heading4Char"/>
    <w:qFormat/>
    <w:rsid w:val="0064539F"/>
    <w:pPr>
      <w:keepNext/>
      <w:numPr>
        <w:ilvl w:val="3"/>
        <w:numId w:val="1"/>
      </w:numPr>
      <w:jc w:val="right"/>
      <w:outlineLvl w:val="3"/>
    </w:pPr>
    <w:rPr>
      <w:rFonts w:ascii="Arial" w:hAnsi="Arial"/>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rsid w:val="0064539F"/>
    <w:rPr>
      <w:rFonts w:ascii="Arial" w:eastAsia="MS Gothic" w:hAnsi="Arial" w:cs="Times New Roman"/>
      <w:b/>
      <w:kern w:val="28"/>
      <w:sz w:val="32"/>
      <w:szCs w:val="20"/>
      <w:lang w:val="en-GB" w:eastAsia="x-none"/>
    </w:rPr>
  </w:style>
  <w:style w:type="character" w:customStyle="1" w:styleId="Heading2Char">
    <w:name w:val="Heading 2 Char"/>
    <w:basedOn w:val="DefaultParagraphFont"/>
    <w:uiPriority w:val="9"/>
    <w:semiHidden/>
    <w:rsid w:val="0064539F"/>
    <w:rPr>
      <w:rFonts w:asciiTheme="majorHAnsi" w:eastAsiaTheme="majorEastAsia" w:hAnsiTheme="majorHAnsi" w:cstheme="majorBidi"/>
      <w:color w:val="2F5496" w:themeColor="accent1" w:themeShade="BF"/>
      <w:sz w:val="26"/>
      <w:szCs w:val="26"/>
      <w:lang w:val="en-GB" w:eastAsia="ja-JP"/>
    </w:rPr>
  </w:style>
  <w:style w:type="character" w:customStyle="1" w:styleId="Heading3Char">
    <w:name w:val="Heading 3 Char"/>
    <w:aliases w:val="Underrubrik2 Char,H3 Char,no break Char,Memo Heading 3 Char"/>
    <w:basedOn w:val="DefaultParagraphFont"/>
    <w:link w:val="Heading3"/>
    <w:rsid w:val="0064539F"/>
    <w:rPr>
      <w:rFonts w:ascii="Arial" w:eastAsia="MS Gothic" w:hAnsi="Arial" w:cs="Times New Roman"/>
      <w:b/>
      <w:sz w:val="24"/>
      <w:szCs w:val="20"/>
      <w:lang w:val="en-GB" w:eastAsia="ja-JP"/>
    </w:rPr>
  </w:style>
  <w:style w:type="character" w:customStyle="1" w:styleId="Heading4Char">
    <w:name w:val="Heading 4 Char"/>
    <w:aliases w:val="h4 Char"/>
    <w:basedOn w:val="DefaultParagraphFont"/>
    <w:link w:val="Heading4"/>
    <w:rsid w:val="0064539F"/>
    <w:rPr>
      <w:rFonts w:ascii="Arial" w:eastAsia="MS Gothic" w:hAnsi="Arial" w:cs="Times New Roman"/>
      <w:i/>
      <w:sz w:val="24"/>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539F"/>
    <w:pPr>
      <w:widowControl w:val="0"/>
    </w:pPr>
    <w:rPr>
      <w:rFonts w:ascii="Arial" w:eastAsia="MS Mincho"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539F"/>
    <w:rPr>
      <w:rFonts w:ascii="Arial" w:eastAsia="MS Mincho" w:hAnsi="Arial" w:cs="Times New Roman"/>
      <w:b/>
      <w:noProof/>
      <w:sz w:val="18"/>
      <w:szCs w:val="20"/>
      <w:lang w:val="en-GB" w:eastAsia="ja-JP"/>
    </w:rPr>
  </w:style>
  <w:style w:type="character" w:styleId="CommentReference">
    <w:name w:val="annotation reference"/>
    <w:semiHidden/>
    <w:rsid w:val="0064539F"/>
    <w:rPr>
      <w:sz w:val="18"/>
      <w:szCs w:val="18"/>
    </w:rPr>
  </w:style>
  <w:style w:type="paragraph" w:styleId="CommentText">
    <w:name w:val="annotation text"/>
    <w:basedOn w:val="Normal"/>
    <w:link w:val="CommentTextChar"/>
    <w:semiHidden/>
    <w:rsid w:val="0064539F"/>
    <w:pPr>
      <w:jc w:val="left"/>
    </w:pPr>
    <w:rPr>
      <w:lang w:eastAsia="x-none"/>
    </w:rPr>
  </w:style>
  <w:style w:type="character" w:customStyle="1" w:styleId="CommentTextChar">
    <w:name w:val="Comment Text Char"/>
    <w:basedOn w:val="DefaultParagraphFont"/>
    <w:link w:val="CommentText"/>
    <w:semiHidden/>
    <w:rsid w:val="0064539F"/>
    <w:rPr>
      <w:rFonts w:ascii="Times New Roman" w:eastAsia="MS Gothic" w:hAnsi="Times New Roman" w:cs="Times New Roman"/>
      <w:sz w:val="24"/>
      <w:szCs w:val="20"/>
      <w:lang w:val="en-GB" w:eastAsia="x-none"/>
    </w:rPr>
  </w:style>
  <w:style w:type="paragraph" w:styleId="Footer">
    <w:name w:val="footer"/>
    <w:basedOn w:val="Normal"/>
    <w:link w:val="FooterChar"/>
    <w:uiPriority w:val="99"/>
    <w:rsid w:val="0064539F"/>
    <w:pPr>
      <w:tabs>
        <w:tab w:val="center" w:pos="4252"/>
        <w:tab w:val="right" w:pos="8504"/>
      </w:tabs>
    </w:pPr>
    <w:rPr>
      <w:lang w:eastAsia="x-none"/>
    </w:rPr>
  </w:style>
  <w:style w:type="character" w:customStyle="1" w:styleId="FooterChar">
    <w:name w:val="Footer Char"/>
    <w:basedOn w:val="DefaultParagraphFont"/>
    <w:link w:val="Footer"/>
    <w:uiPriority w:val="99"/>
    <w:rsid w:val="0064539F"/>
    <w:rPr>
      <w:rFonts w:ascii="Times New Roman" w:eastAsia="MS Gothic" w:hAnsi="Times New Roman" w:cs="Times New Roman"/>
      <w:sz w:val="24"/>
      <w:szCs w:val="20"/>
      <w:lang w:val="en-GB" w:eastAsia="x-none"/>
    </w:rPr>
  </w:style>
  <w:style w:type="character" w:customStyle="1" w:styleId="Heading2Char1">
    <w:name w:val="Heading 2 Char1"/>
    <w:aliases w:val="DO NOT USE_h2 Char,h2 Char1,h21 Char,H2 Char1,Head2A Char,2 Char,UNDERRUBRIK 1-2 Char,H2 Char Char,h2 Char Char"/>
    <w:link w:val="Heading2"/>
    <w:rsid w:val="0064539F"/>
    <w:rPr>
      <w:rFonts w:ascii="Arial" w:eastAsia="MS Mincho" w:hAnsi="Arial" w:cs="Times New Roman"/>
      <w:b/>
      <w:sz w:val="28"/>
      <w:szCs w:val="28"/>
      <w:lang w:val="en-GB" w:eastAsia="x-none"/>
    </w:rPr>
  </w:style>
  <w:style w:type="paragraph" w:customStyle="1" w:styleId="B1">
    <w:name w:val="B1"/>
    <w:basedOn w:val="List"/>
    <w:link w:val="B1Char1"/>
    <w:qFormat/>
    <w:rsid w:val="0064539F"/>
    <w:pPr>
      <w:overflowPunct w:val="0"/>
      <w:autoSpaceDE w:val="0"/>
      <w:autoSpaceDN w:val="0"/>
      <w:adjustRightInd w:val="0"/>
      <w:snapToGrid/>
      <w:spacing w:after="180" w:afterAutospacing="0"/>
      <w:ind w:left="568" w:hanging="284"/>
      <w:contextualSpacing w:val="0"/>
      <w:jc w:val="left"/>
      <w:textAlignment w:val="baseline"/>
    </w:pPr>
    <w:rPr>
      <w:rFonts w:ascii="Century" w:eastAsia="MS Mincho" w:hAnsi="Century"/>
      <w:sz w:val="20"/>
      <w:lang w:eastAsia="en-GB"/>
    </w:rPr>
  </w:style>
  <w:style w:type="character" w:customStyle="1" w:styleId="B1Char1">
    <w:name w:val="B1 Char1"/>
    <w:link w:val="B1"/>
    <w:rsid w:val="0064539F"/>
    <w:rPr>
      <w:rFonts w:ascii="Century" w:eastAsia="MS Mincho" w:hAnsi="Century" w:cs="Times New Roman"/>
      <w:sz w:val="20"/>
      <w:szCs w:val="20"/>
      <w:lang w:val="en-GB" w:eastAsia="en-GB"/>
    </w:rPr>
  </w:style>
  <w:style w:type="paragraph" w:customStyle="1" w:styleId="B2">
    <w:name w:val="B2"/>
    <w:basedOn w:val="List2"/>
    <w:link w:val="B2Char"/>
    <w:rsid w:val="0064539F"/>
    <w:pPr>
      <w:overflowPunct w:val="0"/>
      <w:autoSpaceDE w:val="0"/>
      <w:autoSpaceDN w:val="0"/>
      <w:adjustRightInd w:val="0"/>
      <w:snapToGrid/>
      <w:spacing w:after="180" w:afterAutospacing="0"/>
      <w:ind w:left="851" w:hanging="284"/>
      <w:contextualSpacing w:val="0"/>
      <w:jc w:val="left"/>
      <w:textAlignment w:val="baseline"/>
    </w:pPr>
    <w:rPr>
      <w:rFonts w:eastAsia="Times New Roman"/>
      <w:sz w:val="20"/>
      <w:lang w:eastAsia="en-GB"/>
    </w:rPr>
  </w:style>
  <w:style w:type="paragraph" w:customStyle="1" w:styleId="textintend2">
    <w:name w:val="text intend 2"/>
    <w:basedOn w:val="Normal"/>
    <w:rsid w:val="0064539F"/>
    <w:pPr>
      <w:numPr>
        <w:numId w:val="2"/>
      </w:numPr>
      <w:overflowPunct w:val="0"/>
      <w:autoSpaceDE w:val="0"/>
      <w:autoSpaceDN w:val="0"/>
      <w:adjustRightInd w:val="0"/>
      <w:snapToGrid/>
      <w:spacing w:after="120" w:afterAutospacing="0"/>
      <w:textAlignment w:val="baseline"/>
    </w:pPr>
    <w:rPr>
      <w:rFonts w:eastAsia="MS Mincho"/>
      <w:lang w:val="en-US" w:eastAsia="en-GB"/>
    </w:rPr>
  </w:style>
  <w:style w:type="character" w:customStyle="1" w:styleId="B2Char">
    <w:name w:val="B2 Char"/>
    <w:link w:val="B2"/>
    <w:qFormat/>
    <w:rsid w:val="0064539F"/>
    <w:rPr>
      <w:rFonts w:ascii="Times New Roman" w:eastAsia="Times New Roman" w:hAnsi="Times New Roman" w:cs="Times New Roman"/>
      <w:sz w:val="20"/>
      <w:szCs w:val="20"/>
      <w:lang w:val="en-GB" w:eastAsia="en-GB"/>
    </w:rPr>
  </w:style>
  <w:style w:type="character" w:customStyle="1" w:styleId="maintextChar">
    <w:name w:val="main text Char"/>
    <w:link w:val="maintext"/>
    <w:qFormat/>
    <w:locked/>
    <w:rsid w:val="0064539F"/>
    <w:rPr>
      <w:rFonts w:ascii="Calibri" w:eastAsia="Malgun Gothic" w:hAnsi="Calibri" w:cs="Batang"/>
      <w:lang w:eastAsia="ko-KR"/>
    </w:rPr>
  </w:style>
  <w:style w:type="paragraph" w:customStyle="1" w:styleId="maintext">
    <w:name w:val="main text"/>
    <w:basedOn w:val="Normal"/>
    <w:link w:val="maintextChar"/>
    <w:qFormat/>
    <w:rsid w:val="0064539F"/>
    <w:pPr>
      <w:snapToGrid/>
      <w:spacing w:before="60" w:after="60" w:afterAutospacing="0" w:line="288" w:lineRule="auto"/>
      <w:ind w:firstLineChars="200" w:firstLine="200"/>
    </w:pPr>
    <w:rPr>
      <w:rFonts w:ascii="Calibri" w:eastAsia="Malgun Gothic" w:hAnsi="Calibri" w:cs="Batang"/>
      <w:sz w:val="22"/>
      <w:szCs w:val="22"/>
      <w:lang w:val="en-US" w:eastAsia="ko-KR"/>
    </w:rPr>
  </w:style>
  <w:style w:type="paragraph" w:styleId="List">
    <w:name w:val="List"/>
    <w:basedOn w:val="Normal"/>
    <w:uiPriority w:val="99"/>
    <w:semiHidden/>
    <w:unhideWhenUsed/>
    <w:rsid w:val="0064539F"/>
    <w:pPr>
      <w:ind w:left="360" w:hanging="360"/>
      <w:contextualSpacing/>
    </w:pPr>
  </w:style>
  <w:style w:type="paragraph" w:styleId="List2">
    <w:name w:val="List 2"/>
    <w:basedOn w:val="Normal"/>
    <w:uiPriority w:val="99"/>
    <w:semiHidden/>
    <w:unhideWhenUsed/>
    <w:rsid w:val="0064539F"/>
    <w:pPr>
      <w:ind w:left="720" w:hanging="360"/>
      <w:contextualSpacing/>
    </w:pPr>
  </w:style>
  <w:style w:type="paragraph" w:customStyle="1" w:styleId="References">
    <w:name w:val="References"/>
    <w:basedOn w:val="Normal"/>
    <w:rsid w:val="00921EE1"/>
    <w:pPr>
      <w:numPr>
        <w:numId w:val="5"/>
      </w:numPr>
      <w:autoSpaceDE w:val="0"/>
      <w:autoSpaceDN w:val="0"/>
      <w:spacing w:after="60" w:afterAutospacing="0"/>
    </w:pPr>
    <w:rPr>
      <w:rFonts w:eastAsia="SimSun"/>
      <w:sz w:val="20"/>
      <w:szCs w:val="16"/>
      <w:lang w:val="en-US" w:eastAsia="en-US"/>
    </w:rPr>
  </w:style>
  <w:style w:type="paragraph" w:customStyle="1" w:styleId="Comments">
    <w:name w:val="Comments"/>
    <w:basedOn w:val="Normal"/>
    <w:link w:val="CommentsChar"/>
    <w:qFormat/>
    <w:rsid w:val="004B3AFC"/>
    <w:pPr>
      <w:snapToGrid/>
      <w:spacing w:before="40" w:after="0" w:afterAutospacing="0"/>
      <w:jc w:val="left"/>
    </w:pPr>
    <w:rPr>
      <w:rFonts w:ascii="Arial" w:eastAsia="MS Mincho" w:hAnsi="Arial"/>
      <w:i/>
      <w:noProof/>
      <w:sz w:val="18"/>
      <w:szCs w:val="24"/>
      <w:lang w:eastAsia="en-GB"/>
    </w:rPr>
  </w:style>
  <w:style w:type="character" w:customStyle="1" w:styleId="CommentsChar">
    <w:name w:val="Comments Char"/>
    <w:link w:val="Comments"/>
    <w:qFormat/>
    <w:rsid w:val="004B3AFC"/>
    <w:rPr>
      <w:rFonts w:ascii="Arial" w:eastAsia="MS Mincho" w:hAnsi="Arial" w:cs="Times New Roman"/>
      <w:i/>
      <w:noProof/>
      <w:sz w:val="18"/>
      <w:szCs w:val="24"/>
      <w:lang w:val="en-GB" w:eastAsia="en-GB"/>
    </w:rPr>
  </w:style>
  <w:style w:type="paragraph" w:customStyle="1" w:styleId="ComeBack">
    <w:name w:val="ComeBack"/>
    <w:basedOn w:val="Normal"/>
    <w:next w:val="Normal"/>
    <w:rsid w:val="004B3AFC"/>
    <w:pPr>
      <w:numPr>
        <w:numId w:val="6"/>
      </w:numPr>
      <w:snapToGrid/>
      <w:spacing w:after="0" w:afterAutospacing="0"/>
      <w:jc w:val="left"/>
    </w:pPr>
    <w:rPr>
      <w:rFonts w:ascii="Arial" w:eastAsia="MS Mincho" w:hAnsi="Arial"/>
      <w:sz w:val="20"/>
      <w:szCs w:val="24"/>
      <w:lang w:eastAsia="en-GB"/>
    </w:rPr>
  </w:style>
  <w:style w:type="paragraph" w:customStyle="1" w:styleId="Doc-comment">
    <w:name w:val="Doc-comment"/>
    <w:basedOn w:val="Normal"/>
    <w:next w:val="Normal"/>
    <w:qFormat/>
    <w:rsid w:val="004B3AFC"/>
    <w:pPr>
      <w:tabs>
        <w:tab w:val="left" w:pos="1622"/>
      </w:tabs>
      <w:snapToGrid/>
      <w:spacing w:after="0" w:afterAutospacing="0"/>
      <w:ind w:left="1622" w:hanging="363"/>
      <w:jc w:val="left"/>
    </w:pPr>
    <w:rPr>
      <w:rFonts w:ascii="Arial" w:eastAsia="MS Mincho" w:hAnsi="Arial"/>
      <w:i/>
      <w:sz w:val="20"/>
      <w:szCs w:val="24"/>
      <w:lang w:eastAsia="en-GB"/>
    </w:rPr>
  </w:style>
  <w:style w:type="paragraph" w:styleId="ListParagraph">
    <w:name w:val="List Paragraph"/>
    <w:basedOn w:val="Normal"/>
    <w:uiPriority w:val="34"/>
    <w:qFormat/>
    <w:rsid w:val="0052060B"/>
    <w:pPr>
      <w:ind w:left="720"/>
      <w:contextualSpacing/>
    </w:pPr>
  </w:style>
  <w:style w:type="character" w:customStyle="1" w:styleId="Doc-text2Char">
    <w:name w:val="Doc-text2 Char"/>
    <w:link w:val="Doc-text2"/>
    <w:qFormat/>
    <w:locked/>
    <w:rsid w:val="00FC7934"/>
    <w:rPr>
      <w:rFonts w:ascii="Arial" w:eastAsia="MS Mincho" w:hAnsi="Arial" w:cs="Arial"/>
      <w:szCs w:val="24"/>
    </w:rPr>
  </w:style>
  <w:style w:type="paragraph" w:customStyle="1" w:styleId="Doc-text2">
    <w:name w:val="Doc-text2"/>
    <w:basedOn w:val="Normal"/>
    <w:link w:val="Doc-text2Char"/>
    <w:qFormat/>
    <w:rsid w:val="00FC7934"/>
    <w:pPr>
      <w:tabs>
        <w:tab w:val="left" w:pos="1622"/>
      </w:tabs>
      <w:snapToGrid/>
      <w:spacing w:after="0" w:afterAutospacing="0"/>
      <w:ind w:left="1622" w:hanging="363"/>
      <w:jc w:val="left"/>
    </w:pPr>
    <w:rPr>
      <w:rFonts w:ascii="Arial" w:eastAsia="MS Mincho" w:hAnsi="Arial" w:cs="Arial"/>
      <w:sz w:val="22"/>
      <w:szCs w:val="24"/>
      <w:lang w:val="en-US" w:eastAsia="en-US"/>
    </w:rPr>
  </w:style>
  <w:style w:type="paragraph" w:styleId="Caption">
    <w:name w:val="caption"/>
    <w:basedOn w:val="Normal"/>
    <w:next w:val="Normal"/>
    <w:uiPriority w:val="35"/>
    <w:unhideWhenUsed/>
    <w:qFormat/>
    <w:rsid w:val="00D63340"/>
    <w:pPr>
      <w:spacing w:after="200"/>
    </w:pPr>
    <w:rPr>
      <w:i/>
      <w:iCs/>
      <w:color w:val="44546A" w:themeColor="text2"/>
      <w:sz w:val="18"/>
      <w:szCs w:val="18"/>
    </w:rPr>
  </w:style>
  <w:style w:type="paragraph" w:styleId="BodyText">
    <w:name w:val="Body Text"/>
    <w:basedOn w:val="Normal"/>
    <w:link w:val="BodyTextChar"/>
    <w:semiHidden/>
    <w:unhideWhenUsed/>
    <w:rsid w:val="00CF48E6"/>
    <w:pPr>
      <w:overflowPunct w:val="0"/>
      <w:autoSpaceDE w:val="0"/>
      <w:autoSpaceDN w:val="0"/>
      <w:adjustRightInd w:val="0"/>
      <w:snapToGrid/>
      <w:spacing w:after="120" w:afterAutospacing="0"/>
    </w:pPr>
    <w:rPr>
      <w:rFonts w:ascii="Arial" w:eastAsia="SimSun" w:hAnsi="Arial"/>
      <w:sz w:val="20"/>
      <w:lang w:eastAsia="zh-CN"/>
    </w:rPr>
  </w:style>
  <w:style w:type="character" w:customStyle="1" w:styleId="BodyTextChar">
    <w:name w:val="Body Text Char"/>
    <w:basedOn w:val="DefaultParagraphFont"/>
    <w:link w:val="BodyText"/>
    <w:semiHidden/>
    <w:rsid w:val="00CF48E6"/>
    <w:rPr>
      <w:rFonts w:ascii="Arial" w:eastAsia="SimSun" w:hAnsi="Arial" w:cs="Times New Roman"/>
      <w:sz w:val="20"/>
      <w:szCs w:val="20"/>
      <w:lang w:val="en-GB" w:eastAsia="zh-CN"/>
    </w:rPr>
  </w:style>
  <w:style w:type="character" w:customStyle="1" w:styleId="B1Char">
    <w:name w:val="B1 Char"/>
    <w:qFormat/>
    <w:locked/>
    <w:rsid w:val="00CF48E6"/>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214464">
      <w:bodyDiv w:val="1"/>
      <w:marLeft w:val="0"/>
      <w:marRight w:val="0"/>
      <w:marTop w:val="0"/>
      <w:marBottom w:val="0"/>
      <w:divBdr>
        <w:top w:val="none" w:sz="0" w:space="0" w:color="auto"/>
        <w:left w:val="none" w:sz="0" w:space="0" w:color="auto"/>
        <w:bottom w:val="none" w:sz="0" w:space="0" w:color="auto"/>
        <w:right w:val="none" w:sz="0" w:space="0" w:color="auto"/>
      </w:divBdr>
    </w:div>
    <w:div w:id="1921136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Sugiyama, Ed</dc:creator>
  <cp:keywords/>
  <dc:description/>
  <cp:lastModifiedBy>Sugiyama, Ed</cp:lastModifiedBy>
  <cp:revision>2</cp:revision>
  <dcterms:created xsi:type="dcterms:W3CDTF">2023-05-11T21:46:00Z</dcterms:created>
  <dcterms:modified xsi:type="dcterms:W3CDTF">2023-05-11T21:46:00Z</dcterms:modified>
</cp:coreProperties>
</file>