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EEE1F" w14:textId="6608BC44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 WG2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#1</w:t>
      </w:r>
      <w:r w:rsidR="003D0A03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064330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R2-2</w:t>
      </w:r>
      <w:r w:rsidR="003D0A03">
        <w:rPr>
          <w:rFonts w:ascii="Arial" w:eastAsia="MS Mincho" w:hAnsi="Arial"/>
          <w:b/>
          <w:sz w:val="24"/>
          <w:szCs w:val="24"/>
          <w:lang w:eastAsia="x-none"/>
        </w:rPr>
        <w:t>3</w:t>
      </w:r>
      <w:r w:rsidR="00DA451B">
        <w:rPr>
          <w:rFonts w:ascii="Arial" w:eastAsia="MS Mincho" w:hAnsi="Arial"/>
          <w:b/>
          <w:sz w:val="24"/>
          <w:szCs w:val="24"/>
          <w:lang w:eastAsia="x-none"/>
        </w:rPr>
        <w:t>05865</w:t>
      </w:r>
    </w:p>
    <w:p w14:paraId="7791F180" w14:textId="1473DFB9" w:rsidR="00A32E79" w:rsidRPr="00A32E79" w:rsidRDefault="00064330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Incheon, Korea</w:t>
      </w:r>
      <w:r w:rsidR="00A32E79"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22</w:t>
      </w:r>
      <w:r w:rsidR="00F84150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0B0985"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="00F84150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May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 w:rsidR="003D0A03">
        <w:rPr>
          <w:rFonts w:ascii="Arial" w:eastAsia="MS Mincho" w:hAnsi="Arial"/>
          <w:b/>
          <w:sz w:val="24"/>
          <w:szCs w:val="24"/>
          <w:lang w:eastAsia="x-none"/>
        </w:rPr>
        <w:t>3</w:t>
      </w:r>
    </w:p>
    <w:p w14:paraId="34EABE53" w14:textId="77777777" w:rsidR="00A32E79" w:rsidRPr="00A32E79" w:rsidRDefault="00A32E79" w:rsidP="00A32E79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p w14:paraId="2C9455B0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color w:val="FF0000"/>
          <w:sz w:val="24"/>
          <w:szCs w:val="24"/>
          <w:lang w:eastAsia="zh-TW"/>
        </w:rPr>
      </w:pPr>
    </w:p>
    <w:p w14:paraId="51A80B1E" w14:textId="32EB5268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Agenda Item: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DA451B">
        <w:rPr>
          <w:rFonts w:ascii="Arial" w:eastAsia="PMingLiU" w:hAnsi="Arial" w:cs="Arial"/>
          <w:b/>
          <w:sz w:val="24"/>
          <w:szCs w:val="24"/>
          <w:lang w:eastAsia="zh-CN"/>
        </w:rPr>
        <w:t>7.24.2</w:t>
      </w:r>
    </w:p>
    <w:p w14:paraId="36BF50FF" w14:textId="2F952558" w:rsidR="00A32E79" w:rsidRPr="00A32E79" w:rsidRDefault="00A32E79" w:rsidP="00012B9A">
      <w:pPr>
        <w:tabs>
          <w:tab w:val="left" w:pos="1701"/>
          <w:tab w:val="right" w:pos="9639"/>
        </w:tabs>
        <w:spacing w:after="240"/>
        <w:ind w:left="1699" w:hanging="1699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Source: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MediaTek Inc.</w:t>
      </w:r>
    </w:p>
    <w:p w14:paraId="64930AF8" w14:textId="229933D5" w:rsidR="00A32E79" w:rsidRPr="00A32E79" w:rsidRDefault="00A32E79" w:rsidP="00540CBB">
      <w:pPr>
        <w:tabs>
          <w:tab w:val="left" w:pos="1701"/>
        </w:tabs>
        <w:overflowPunct/>
        <w:autoSpaceDE/>
        <w:autoSpaceDN/>
        <w:adjustRightInd/>
        <w:spacing w:after="0"/>
        <w:ind w:left="1710" w:hanging="171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Title: 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EC4D1B">
        <w:rPr>
          <w:rFonts w:ascii="Arial" w:eastAsia="PMingLiU" w:hAnsi="Arial" w:cs="Arial"/>
          <w:b/>
          <w:sz w:val="24"/>
          <w:szCs w:val="24"/>
          <w:lang w:eastAsia="zh-CN"/>
        </w:rPr>
        <w:t>Downlink positioning performance results for remote UEs out of coverage</w:t>
      </w:r>
    </w:p>
    <w:p w14:paraId="7818BF1B" w14:textId="77777777" w:rsidR="00A32E79" w:rsidRPr="00A32E79" w:rsidRDefault="00A32E79" w:rsidP="00A32E79">
      <w:pPr>
        <w:tabs>
          <w:tab w:val="left" w:pos="1701"/>
        </w:tabs>
        <w:overflowPunct/>
        <w:autoSpaceDE/>
        <w:autoSpaceDN/>
        <w:adjustRightInd/>
        <w:spacing w:after="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</w:p>
    <w:p w14:paraId="6868680A" w14:textId="0D5465E8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Document for: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EC4D1B">
        <w:rPr>
          <w:rFonts w:ascii="Arial" w:eastAsia="PMingLiU" w:hAnsi="Arial" w:cs="Arial"/>
          <w:b/>
          <w:sz w:val="24"/>
          <w:szCs w:val="24"/>
          <w:lang w:eastAsia="zh-CN"/>
        </w:rPr>
        <w:t>Information</w:t>
      </w:r>
    </w:p>
    <w:p w14:paraId="086C43F1" w14:textId="1ED206EC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1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Introduction</w:t>
      </w:r>
      <w:bookmarkStart w:id="8" w:name="OLE_LINK39"/>
      <w:bookmarkStart w:id="9" w:name="OLE_LINK38"/>
      <w:bookmarkStart w:id="10" w:name="OLE_LINK37"/>
    </w:p>
    <w:p w14:paraId="26C3859C" w14:textId="1897C7DB" w:rsidR="007F5A36" w:rsidRDefault="00307B09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This document presents some performance results showing that downlink positioning is not greatly degraded when used with a remote UE out of direct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Uu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coverage</w:t>
      </w:r>
      <w:r w:rsidR="00A407B0">
        <w:rPr>
          <w:rFonts w:ascii="Calibri" w:eastAsia="PMingLiU" w:hAnsi="Calibri"/>
          <w:sz w:val="22"/>
          <w:szCs w:val="22"/>
          <w:lang w:eastAsia="zh-TW"/>
        </w:rPr>
        <w:t>.</w:t>
      </w:r>
      <w:r>
        <w:rPr>
          <w:rFonts w:ascii="Calibri" w:eastAsia="PMingLiU" w:hAnsi="Calibri"/>
          <w:sz w:val="22"/>
          <w:szCs w:val="22"/>
          <w:lang w:eastAsia="zh-TW"/>
        </w:rPr>
        <w:t xml:space="preserve">  It is intended as a companion paper providing background information for the evaluation of the proposals in [1].</w:t>
      </w:r>
    </w:p>
    <w:p w14:paraId="443E6F95" w14:textId="055BD3D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bookmarkStart w:id="11" w:name="OLE_LINK41"/>
      <w:bookmarkStart w:id="12" w:name="OLE_LINK24"/>
      <w:bookmarkStart w:id="13" w:name="OLE_LINK17"/>
      <w:bookmarkStart w:id="14" w:name="OLE_LINK16"/>
      <w:bookmarkEnd w:id="8"/>
      <w:bookmarkEnd w:id="9"/>
      <w:bookmarkEnd w:id="10"/>
      <w:r>
        <w:rPr>
          <w:rFonts w:ascii="Arial" w:eastAsia="PMingLiU" w:hAnsi="Arial" w:cs="Arial"/>
          <w:sz w:val="36"/>
          <w:lang w:eastAsia="en-US"/>
        </w:rPr>
        <w:t>2</w:t>
      </w:r>
      <w:r>
        <w:rPr>
          <w:rFonts w:ascii="Arial" w:eastAsia="PMingLiU" w:hAnsi="Arial" w:cs="Arial"/>
          <w:sz w:val="36"/>
          <w:lang w:eastAsia="en-US"/>
        </w:rPr>
        <w:tab/>
      </w:r>
      <w:r w:rsidR="005E0904">
        <w:rPr>
          <w:rFonts w:ascii="Arial" w:eastAsia="PMingLiU" w:hAnsi="Arial" w:cs="Arial"/>
          <w:sz w:val="36"/>
          <w:lang w:eastAsia="en-US"/>
        </w:rPr>
        <w:t>Discussion</w:t>
      </w:r>
    </w:p>
    <w:p w14:paraId="5D62D866" w14:textId="2779D93A" w:rsidR="00F06CE7" w:rsidRDefault="00F06CE7" w:rsidP="00F06CE7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2.1</w:t>
      </w:r>
      <w:r>
        <w:rPr>
          <w:rFonts w:eastAsia="PMingLiU"/>
          <w:lang w:eastAsia="zh-TW"/>
        </w:rPr>
        <w:tab/>
      </w:r>
      <w:r w:rsidR="00307B09">
        <w:rPr>
          <w:rFonts w:eastAsia="PMingLiU"/>
          <w:lang w:eastAsia="zh-TW"/>
        </w:rPr>
        <w:t>Assumptions</w:t>
      </w:r>
    </w:p>
    <w:p w14:paraId="117E5E7A" w14:textId="644D82BD" w:rsidR="00A407B0" w:rsidRDefault="00307B09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The results below are derived from the well-known 19-cell layout used for simulations in RAN1</w:t>
      </w:r>
      <w:r w:rsidR="00316F2C">
        <w:rPr>
          <w:rFonts w:ascii="Calibri" w:eastAsia="PMingLiU" w:hAnsi="Calibri"/>
          <w:sz w:val="22"/>
          <w:szCs w:val="22"/>
          <w:lang w:eastAsia="zh-TW"/>
        </w:rPr>
        <w:t>.</w:t>
      </w:r>
      <w:r>
        <w:rPr>
          <w:rFonts w:ascii="Calibri" w:eastAsia="PMingLiU" w:hAnsi="Calibri"/>
          <w:sz w:val="22"/>
          <w:szCs w:val="22"/>
          <w:lang w:eastAsia="zh-TW"/>
        </w:rPr>
        <w:t xml:space="preserve">  The assumed environment is shown in figure 1.</w:t>
      </w:r>
    </w:p>
    <w:p w14:paraId="4A3EEBC5" w14:textId="77777777" w:rsidR="00307B09" w:rsidRDefault="00307B09" w:rsidP="00307B09">
      <w:pPr>
        <w:keepNext/>
        <w:overflowPunct/>
        <w:autoSpaceDE/>
        <w:autoSpaceDN/>
        <w:adjustRightInd/>
        <w:spacing w:after="240"/>
        <w:jc w:val="center"/>
        <w:textAlignment w:val="auto"/>
      </w:pPr>
      <w:r w:rsidRPr="00307B09">
        <w:rPr>
          <w:rFonts w:eastAsia="PMingLiU"/>
          <w:noProof/>
        </w:rPr>
        <w:drawing>
          <wp:inline distT="0" distB="0" distL="0" distR="0" wp14:anchorId="189BB00F" wp14:editId="4D0943F2">
            <wp:extent cx="3885442" cy="3810000"/>
            <wp:effectExtent l="0" t="0" r="0" b="0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913" cy="3820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D7C4F" w14:textId="5E9AB0E9" w:rsidR="00307B09" w:rsidRDefault="00307B09" w:rsidP="00307B09">
      <w:pPr>
        <w:pStyle w:val="Caption"/>
        <w:jc w:val="center"/>
        <w:rPr>
          <w:rFonts w:ascii="Calibri" w:eastAsia="PMingLiU" w:hAnsi="Calibri"/>
          <w:sz w:val="22"/>
          <w:szCs w:val="22"/>
          <w:lang w:eastAsia="zh-TW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13F79">
        <w:rPr>
          <w:noProof/>
        </w:rPr>
        <w:t>1</w:t>
      </w:r>
      <w:r>
        <w:fldChar w:fldCharType="end"/>
      </w:r>
      <w:r>
        <w:t>: Diagram of simulation setting</w:t>
      </w:r>
    </w:p>
    <w:p w14:paraId="6FB13876" w14:textId="769F4188" w:rsidR="00307B09" w:rsidRDefault="00307B09" w:rsidP="00307B0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lastRenderedPageBreak/>
        <w:t>We compare a UE in direct service (located at site 0: blue in the figure) with a UE served by site 0 but located at site 2 (green in the figure), using the same assistance data.  The assistance data provide configurations for the 19 cells shown, but the UE at site 2 is offset from the centre of the diagram and experiences a different radio environment for DL-PRS reception compared to the UE at the nominal centre.</w:t>
      </w:r>
    </w:p>
    <w:p w14:paraId="56A20700" w14:textId="051EB5BA" w:rsidR="00307B09" w:rsidRDefault="00307B09" w:rsidP="00307B0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The UEs perform DL-TDOA positioning, with no sync error assumed between base stations and with the LOS link selected for position calculation.  The ISD in figure 1 is normalised to 1; the results in the next section assume a street canyon scenario with an ISD of 200 m.</w:t>
      </w:r>
    </w:p>
    <w:p w14:paraId="7E1E372F" w14:textId="487506E0" w:rsidR="00F06CE7" w:rsidRPr="00F06CE7" w:rsidRDefault="00F06CE7" w:rsidP="00F06CE7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2.2</w:t>
      </w:r>
      <w:r>
        <w:rPr>
          <w:rFonts w:eastAsia="PMingLiU"/>
          <w:lang w:eastAsia="zh-TW"/>
        </w:rPr>
        <w:tab/>
      </w:r>
      <w:r w:rsidR="00307B09">
        <w:rPr>
          <w:rFonts w:eastAsia="PMingLiU"/>
          <w:lang w:eastAsia="zh-TW"/>
        </w:rPr>
        <w:t>Results</w:t>
      </w:r>
    </w:p>
    <w:p w14:paraId="52FD56D5" w14:textId="18A0F035" w:rsidR="002300CB" w:rsidRDefault="00307B09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The simulation results are shown in figure 2</w:t>
      </w:r>
      <w:r w:rsidR="002300CB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6A5C89B3" w14:textId="77777777" w:rsidR="00307B09" w:rsidRDefault="00307B09" w:rsidP="00307B09">
      <w:pPr>
        <w:keepNext/>
        <w:overflowPunct/>
        <w:autoSpaceDE/>
        <w:autoSpaceDN/>
        <w:adjustRightInd/>
        <w:spacing w:after="240"/>
        <w:jc w:val="center"/>
        <w:textAlignment w:val="auto"/>
      </w:pPr>
      <w:r w:rsidRPr="00307B09">
        <w:rPr>
          <w:rFonts w:eastAsia="PMingLiU"/>
          <w:noProof/>
        </w:rPr>
        <w:drawing>
          <wp:inline distT="0" distB="0" distL="0" distR="0" wp14:anchorId="2EC57AB9" wp14:editId="3D21F09F">
            <wp:extent cx="4010025" cy="3032671"/>
            <wp:effectExtent l="0" t="0" r="0" b="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825" cy="3043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0CB83" w14:textId="464F9E56" w:rsidR="00307B09" w:rsidRDefault="00307B09" w:rsidP="00307B09">
      <w:pPr>
        <w:pStyle w:val="Caption"/>
        <w:jc w:val="center"/>
        <w:rPr>
          <w:rFonts w:ascii="Calibri" w:eastAsia="PMingLiU" w:hAnsi="Calibri"/>
          <w:sz w:val="22"/>
          <w:szCs w:val="22"/>
          <w:lang w:eastAsia="zh-TW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13F79">
        <w:rPr>
          <w:noProof/>
        </w:rPr>
        <w:t>2</w:t>
      </w:r>
      <w:r>
        <w:fldChar w:fldCharType="end"/>
      </w:r>
      <w:r>
        <w:t>: Results of DL-TDOA positioning</w:t>
      </w:r>
    </w:p>
    <w:p w14:paraId="712BE164" w14:textId="5459D30F" w:rsidR="00307B09" w:rsidRDefault="00307B09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With no compensation for the choice of assistance data, the remote UE experiences a degradation of positioning on the order of 0.5 m at the 90% level.</w:t>
      </w:r>
    </w:p>
    <w:p w14:paraId="6D095886" w14:textId="6799B704" w:rsidR="00B13F79" w:rsidRDefault="00B13F79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The results above do not assume an actual coverage hole at site 2, which could distort the performance of positioning especially for the remote UE.  However, disabling DL-PRS transmission at site 2 makes only a very small difference in the positioning accuracy</w:t>
      </w:r>
      <w:r w:rsidR="00827D41">
        <w:rPr>
          <w:rFonts w:ascii="Calibri" w:eastAsia="PMingLiU" w:hAnsi="Calibri"/>
          <w:sz w:val="22"/>
          <w:szCs w:val="22"/>
          <w:lang w:eastAsia="zh-TW"/>
        </w:rPr>
        <w:t xml:space="preserve"> (0.04 m at the 90% level, and less than a 2% increase in the chance of experiencing an error of 4 m or above)</w:t>
      </w:r>
      <w:r>
        <w:rPr>
          <w:rFonts w:ascii="Calibri" w:eastAsia="PMingLiU" w:hAnsi="Calibri"/>
          <w:sz w:val="22"/>
          <w:szCs w:val="22"/>
          <w:lang w:eastAsia="zh-TW"/>
        </w:rPr>
        <w:t>, as shown in figure 3.</w:t>
      </w:r>
    </w:p>
    <w:p w14:paraId="19032308" w14:textId="77777777" w:rsidR="00B13F79" w:rsidRDefault="00B13F79" w:rsidP="00B13F79">
      <w:pPr>
        <w:keepNext/>
        <w:overflowPunct/>
        <w:autoSpaceDE/>
        <w:autoSpaceDN/>
        <w:adjustRightInd/>
        <w:spacing w:after="240"/>
        <w:jc w:val="center"/>
        <w:textAlignment w:val="auto"/>
      </w:pPr>
      <w:r w:rsidRPr="00B13F79">
        <w:rPr>
          <w:rFonts w:eastAsia="PMingLiU"/>
          <w:noProof/>
        </w:rPr>
        <w:lastRenderedPageBreak/>
        <w:drawing>
          <wp:inline distT="0" distB="0" distL="0" distR="0" wp14:anchorId="037519E1" wp14:editId="710A05D9">
            <wp:extent cx="3628167" cy="2705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081" cy="2712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EB70E" w14:textId="72C22A7E" w:rsidR="00B13F79" w:rsidRDefault="00B13F79" w:rsidP="00B13F79">
      <w:pPr>
        <w:pStyle w:val="Caption"/>
        <w:jc w:val="center"/>
        <w:rPr>
          <w:rFonts w:ascii="Calibri" w:eastAsia="PMingLiU" w:hAnsi="Calibri"/>
          <w:sz w:val="22"/>
          <w:szCs w:val="22"/>
          <w:lang w:eastAsia="zh-TW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: Remote UE positioning performance with and without coverage at site 2</w:t>
      </w:r>
    </w:p>
    <w:p w14:paraId="220A45DF" w14:textId="1DED0676" w:rsidR="00307B09" w:rsidRPr="002300CB" w:rsidRDefault="00307B09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Note that, with enhancements to the assistance data, these performance results could be expected to improve.  If the LMF provides assistance data for additional cells </w:t>
      </w:r>
      <w:r w:rsidR="00B13F79">
        <w:rPr>
          <w:rFonts w:ascii="Calibri" w:eastAsia="PMingLiU" w:hAnsi="Calibri"/>
          <w:sz w:val="22"/>
          <w:szCs w:val="22"/>
          <w:lang w:eastAsia="zh-TW"/>
        </w:rPr>
        <w:t>“</w:t>
      </w:r>
      <w:r>
        <w:rPr>
          <w:rFonts w:ascii="Calibri" w:eastAsia="PMingLiU" w:hAnsi="Calibri"/>
          <w:sz w:val="22"/>
          <w:szCs w:val="22"/>
          <w:lang w:eastAsia="zh-TW"/>
        </w:rPr>
        <w:t>below</w:t>
      </w:r>
      <w:r w:rsidR="00B13F79">
        <w:rPr>
          <w:rFonts w:ascii="Calibri" w:eastAsia="PMingLiU" w:hAnsi="Calibri"/>
          <w:sz w:val="22"/>
          <w:szCs w:val="22"/>
          <w:lang w:eastAsia="zh-TW"/>
        </w:rPr>
        <w:t>” (in the diagram orientation)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ones shown in figure 1, the remote UE can have a significantly increased population of sites from which to measure DL-PRS; this is feasible in case the LMF is provided with a remote UE indication.  Similarly, a network that intended to cater for UEs in relaying environments could expand the number of cells for which it provides assistance data in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; this is a deployment choice, allowing the network to balance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tradeoff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between assistance data size and positioning performance for remote UEs.</w:t>
      </w:r>
    </w:p>
    <w:p w14:paraId="3A88A533" w14:textId="47895ECF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3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Conclusion</w:t>
      </w:r>
      <w:bookmarkEnd w:id="11"/>
      <w:bookmarkEnd w:id="12"/>
      <w:bookmarkEnd w:id="13"/>
      <w:bookmarkEnd w:id="14"/>
    </w:p>
    <w:bookmarkEnd w:id="0"/>
    <w:bookmarkEnd w:id="1"/>
    <w:p w14:paraId="4B7D433D" w14:textId="0B7F7070" w:rsidR="001E3E5E" w:rsidRPr="00083A74" w:rsidRDefault="00307B09" w:rsidP="00415728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This document does not need to be evaluated for a conclusion; it provides background information indicating that downlink positioning performance is not badly degraded for remote UEs out of coverage</w:t>
      </w:r>
      <w:r w:rsidR="00827D41">
        <w:rPr>
          <w:rFonts w:ascii="Calibri" w:eastAsia="PMingLiU" w:hAnsi="Calibri"/>
          <w:sz w:val="22"/>
          <w:szCs w:val="22"/>
          <w:lang w:eastAsia="zh-TW"/>
        </w:rPr>
        <w:t>, even without assuming enhancements to the assistance data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9106AB4" w14:textId="04F0ED46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4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References</w:t>
      </w:r>
    </w:p>
    <w:p w14:paraId="285428AA" w14:textId="762BC9DE" w:rsidR="00A407B0" w:rsidRDefault="007F5A36" w:rsidP="00307B09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>[1]</w:t>
      </w:r>
      <w:r>
        <w:rPr>
          <w:rFonts w:ascii="Calibri" w:eastAsia="PMingLiU" w:hAnsi="Calibri"/>
          <w:sz w:val="22"/>
          <w:szCs w:val="22"/>
          <w:lang w:eastAsia="en-US"/>
        </w:rPr>
        <w:tab/>
        <w:t>R2-</w:t>
      </w:r>
      <w:r w:rsidR="00307B09">
        <w:rPr>
          <w:rFonts w:ascii="Calibri" w:eastAsia="PMingLiU" w:hAnsi="Calibri"/>
          <w:sz w:val="22"/>
          <w:szCs w:val="22"/>
          <w:lang w:eastAsia="en-US"/>
        </w:rPr>
        <w:t>23</w:t>
      </w:r>
      <w:r w:rsidR="004322B1">
        <w:rPr>
          <w:rFonts w:ascii="Calibri" w:eastAsia="PMingLiU" w:hAnsi="Calibri"/>
          <w:sz w:val="22"/>
          <w:szCs w:val="22"/>
          <w:lang w:eastAsia="en-US"/>
        </w:rPr>
        <w:t>5850</w:t>
      </w:r>
      <w:r w:rsidR="00307B09">
        <w:rPr>
          <w:rFonts w:ascii="Calibri" w:eastAsia="PMingLiU" w:hAnsi="Calibri"/>
          <w:sz w:val="22"/>
          <w:szCs w:val="22"/>
          <w:lang w:eastAsia="en-US"/>
        </w:rPr>
        <w:t>, “</w:t>
      </w:r>
      <w:r w:rsidR="00307B09" w:rsidRPr="00307B09">
        <w:rPr>
          <w:rFonts w:ascii="Calibri" w:eastAsia="PMingLiU" w:hAnsi="Calibri"/>
          <w:sz w:val="22"/>
          <w:szCs w:val="22"/>
          <w:lang w:eastAsia="en-US"/>
        </w:rPr>
        <w:t xml:space="preserve">Positioning and </w:t>
      </w:r>
      <w:proofErr w:type="spellStart"/>
      <w:r w:rsidR="00307B09" w:rsidRPr="00307B09">
        <w:rPr>
          <w:rFonts w:ascii="Calibri" w:eastAsia="PMingLiU" w:hAnsi="Calibri"/>
          <w:sz w:val="22"/>
          <w:szCs w:val="22"/>
          <w:lang w:eastAsia="en-US"/>
        </w:rPr>
        <w:t>posSIB</w:t>
      </w:r>
      <w:proofErr w:type="spellEnd"/>
      <w:r w:rsidR="00307B09" w:rsidRPr="00307B09">
        <w:rPr>
          <w:rFonts w:ascii="Calibri" w:eastAsia="PMingLiU" w:hAnsi="Calibri"/>
          <w:sz w:val="22"/>
          <w:szCs w:val="22"/>
          <w:lang w:eastAsia="en-US"/>
        </w:rPr>
        <w:t xml:space="preserve"> forwarding for remote UEs</w:t>
      </w:r>
      <w:r w:rsidR="00307B09">
        <w:rPr>
          <w:rFonts w:ascii="Calibri" w:eastAsia="PMingLiU" w:hAnsi="Calibri"/>
          <w:sz w:val="22"/>
          <w:szCs w:val="22"/>
          <w:lang w:eastAsia="en-US"/>
        </w:rPr>
        <w:t xml:space="preserve">”, MediaTek Inc. / CATT / Huawei / </w:t>
      </w:r>
      <w:proofErr w:type="spellStart"/>
      <w:r w:rsidR="00307B09">
        <w:rPr>
          <w:rFonts w:ascii="Calibri" w:eastAsia="PMingLiU" w:hAnsi="Calibri"/>
          <w:sz w:val="22"/>
          <w:szCs w:val="22"/>
          <w:lang w:eastAsia="en-US"/>
        </w:rPr>
        <w:t>HiSilicon</w:t>
      </w:r>
      <w:proofErr w:type="spellEnd"/>
      <w:r w:rsidR="00307B09">
        <w:rPr>
          <w:rFonts w:ascii="Calibri" w:eastAsia="PMingLiU" w:hAnsi="Calibri"/>
          <w:sz w:val="22"/>
          <w:szCs w:val="22"/>
          <w:lang w:eastAsia="en-US"/>
        </w:rPr>
        <w:t xml:space="preserve"> / Qualcomm Incorporated / Xiaomi / Intel Corporation / vivo, RAN2#122</w:t>
      </w:r>
      <w:bookmarkEnd w:id="2"/>
      <w:bookmarkEnd w:id="3"/>
      <w:bookmarkEnd w:id="4"/>
      <w:bookmarkEnd w:id="5"/>
      <w:bookmarkEnd w:id="6"/>
      <w:bookmarkEnd w:id="7"/>
    </w:p>
    <w:sectPr w:rsidR="00A407B0" w:rsidSect="00307B09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E288E" w14:textId="77777777" w:rsidR="00756A01" w:rsidRDefault="00756A01">
      <w:pPr>
        <w:spacing w:after="0"/>
      </w:pPr>
      <w:r>
        <w:separator/>
      </w:r>
    </w:p>
  </w:endnote>
  <w:endnote w:type="continuationSeparator" w:id="0">
    <w:p w14:paraId="2D24B1B0" w14:textId="77777777" w:rsidR="00756A01" w:rsidRDefault="00756A01">
      <w:pPr>
        <w:spacing w:after="0"/>
      </w:pPr>
      <w:r>
        <w:continuationSeparator/>
      </w:r>
    </w:p>
  </w:endnote>
  <w:endnote w:type="continuationNotice" w:id="1">
    <w:p w14:paraId="5E7C9E95" w14:textId="77777777" w:rsidR="00756A01" w:rsidRDefault="00756A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0481A" w14:textId="77777777" w:rsidR="00756A01" w:rsidRDefault="00756A01">
      <w:pPr>
        <w:spacing w:after="0"/>
      </w:pPr>
      <w:r>
        <w:separator/>
      </w:r>
    </w:p>
  </w:footnote>
  <w:footnote w:type="continuationSeparator" w:id="0">
    <w:p w14:paraId="4B552017" w14:textId="77777777" w:rsidR="00756A01" w:rsidRDefault="00756A01">
      <w:pPr>
        <w:spacing w:after="0"/>
      </w:pPr>
      <w:r>
        <w:continuationSeparator/>
      </w:r>
    </w:p>
  </w:footnote>
  <w:footnote w:type="continuationNotice" w:id="1">
    <w:p w14:paraId="38DAF60E" w14:textId="77777777" w:rsidR="00756A01" w:rsidRDefault="00756A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945646">
    <w:abstractNumId w:val="0"/>
  </w:num>
  <w:num w:numId="2" w16cid:durableId="1876773270">
    <w:abstractNumId w:val="17"/>
  </w:num>
  <w:num w:numId="3" w16cid:durableId="405494934">
    <w:abstractNumId w:val="23"/>
  </w:num>
  <w:num w:numId="4" w16cid:durableId="2098673955">
    <w:abstractNumId w:val="19"/>
  </w:num>
  <w:num w:numId="5" w16cid:durableId="16597252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61522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57880808">
    <w:abstractNumId w:val="7"/>
  </w:num>
  <w:num w:numId="8" w16cid:durableId="1926761672">
    <w:abstractNumId w:val="6"/>
  </w:num>
  <w:num w:numId="9" w16cid:durableId="1264074437">
    <w:abstractNumId w:val="5"/>
  </w:num>
  <w:num w:numId="10" w16cid:durableId="366874342">
    <w:abstractNumId w:val="4"/>
  </w:num>
  <w:num w:numId="11" w16cid:durableId="1196966741">
    <w:abstractNumId w:val="3"/>
  </w:num>
  <w:num w:numId="12" w16cid:durableId="889195906">
    <w:abstractNumId w:val="2"/>
  </w:num>
  <w:num w:numId="13" w16cid:durableId="770666696">
    <w:abstractNumId w:val="1"/>
  </w:num>
  <w:num w:numId="14" w16cid:durableId="26373368">
    <w:abstractNumId w:val="24"/>
  </w:num>
  <w:num w:numId="15" w16cid:durableId="11349117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7372322">
    <w:abstractNumId w:val="12"/>
  </w:num>
  <w:num w:numId="17" w16cid:durableId="319581574">
    <w:abstractNumId w:val="20"/>
  </w:num>
  <w:num w:numId="18" w16cid:durableId="671496083">
    <w:abstractNumId w:val="8"/>
  </w:num>
  <w:num w:numId="19" w16cid:durableId="91249721">
    <w:abstractNumId w:val="9"/>
  </w:num>
  <w:num w:numId="20" w16cid:durableId="265970387">
    <w:abstractNumId w:val="14"/>
  </w:num>
  <w:num w:numId="21" w16cid:durableId="1685325897">
    <w:abstractNumId w:val="16"/>
  </w:num>
  <w:num w:numId="22" w16cid:durableId="1616326705">
    <w:abstractNumId w:val="11"/>
  </w:num>
  <w:num w:numId="23" w16cid:durableId="2003845842">
    <w:abstractNumId w:val="13"/>
  </w:num>
  <w:num w:numId="24" w16cid:durableId="1758012337">
    <w:abstractNumId w:val="18"/>
  </w:num>
  <w:num w:numId="25" w16cid:durableId="61604864">
    <w:abstractNumId w:val="10"/>
  </w:num>
  <w:num w:numId="26" w16cid:durableId="1783725289">
    <w:abstractNumId w:val="22"/>
  </w:num>
  <w:num w:numId="27" w16cid:durableId="943154110">
    <w:abstractNumId w:val="15"/>
  </w:num>
  <w:num w:numId="28" w16cid:durableId="590508564">
    <w:abstractNumId w:val="25"/>
  </w:num>
  <w:num w:numId="29" w16cid:durableId="1333996154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1D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068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B09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2B1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D59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A01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D41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3F79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1B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8AF"/>
    <w:rsid w:val="00E92B30"/>
    <w:rsid w:val="00E92BF7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D1B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004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07B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DEE106-9366-4216-950D-38D68CC1C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519</Words>
  <Characters>2870</Characters>
  <Application>Microsoft Office Word</Application>
  <DocSecurity>0</DocSecurity>
  <Lines>62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3352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(Nathan)</cp:lastModifiedBy>
  <cp:revision>5</cp:revision>
  <cp:lastPrinted>2017-05-08T10:55:00Z</cp:lastPrinted>
  <dcterms:created xsi:type="dcterms:W3CDTF">2023-05-11T15:59:00Z</dcterms:created>
  <dcterms:modified xsi:type="dcterms:W3CDTF">2023-05-11T16:21:00Z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SIP_Label_83bcef13-7cac-433f-ba1d-47a323951816_Enabled">
    <vt:lpwstr>true</vt:lpwstr>
  </property>
  <property fmtid="{D5CDD505-2E9C-101B-9397-08002B2CF9AE}" pid="64" name="MSIP_Label_83bcef13-7cac-433f-ba1d-47a323951816_SetDate">
    <vt:lpwstr>2023-01-13T16:35:57Z</vt:lpwstr>
  </property>
  <property fmtid="{D5CDD505-2E9C-101B-9397-08002B2CF9AE}" pid="65" name="MSIP_Label_83bcef13-7cac-433f-ba1d-47a323951816_Method">
    <vt:lpwstr>Privileged</vt:lpwstr>
  </property>
  <property fmtid="{D5CDD505-2E9C-101B-9397-08002B2CF9AE}" pid="66" name="MSIP_Label_83bcef13-7cac-433f-ba1d-47a323951816_Name">
    <vt:lpwstr>MTK_Unclassified</vt:lpwstr>
  </property>
  <property fmtid="{D5CDD505-2E9C-101B-9397-08002B2CF9AE}" pid="67" name="MSIP_Label_83bcef13-7cac-433f-ba1d-47a323951816_SiteId">
    <vt:lpwstr>a7687ede-7a6b-4ef6-bace-642f677fbe31</vt:lpwstr>
  </property>
  <property fmtid="{D5CDD505-2E9C-101B-9397-08002B2CF9AE}" pid="68" name="MSIP_Label_83bcef13-7cac-433f-ba1d-47a323951816_ActionId">
    <vt:lpwstr>81375998-b284-47ce-a79b-94ec56c71a0e</vt:lpwstr>
  </property>
  <property fmtid="{D5CDD505-2E9C-101B-9397-08002B2CF9AE}" pid="69" name="MSIP_Label_83bcef13-7cac-433f-ba1d-47a323951816_ContentBits">
    <vt:lpwstr>0</vt:lpwstr>
  </property>
</Properties>
</file>