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784E6" w14:textId="3EC7B66F" w:rsidR="00ED70E2" w:rsidRDefault="00ED70E2" w:rsidP="00ED70E2">
      <w:pPr>
        <w:pStyle w:val="3GPPHeader"/>
        <w:spacing w:after="60"/>
        <w:rPr>
          <w:sz w:val="32"/>
          <w:szCs w:val="32"/>
          <w:lang w:val="de-DE"/>
        </w:rPr>
      </w:pPr>
      <w:r>
        <w:rPr>
          <w:lang w:val="de-DE"/>
        </w:rPr>
        <w:t>3GPP TSG-RAN WG2 #122</w:t>
      </w:r>
      <w:r>
        <w:rPr>
          <w:lang w:val="de-DE"/>
        </w:rPr>
        <w:tab/>
      </w:r>
      <w:r>
        <w:rPr>
          <w:sz w:val="32"/>
          <w:szCs w:val="32"/>
          <w:lang w:val="de-DE"/>
        </w:rPr>
        <w:t xml:space="preserve">Tdoc </w:t>
      </w:r>
      <w:r w:rsidR="00C57D6C" w:rsidRPr="00C57D6C">
        <w:rPr>
          <w:sz w:val="32"/>
          <w:szCs w:val="32"/>
          <w:lang w:val="de-DE"/>
        </w:rPr>
        <w:t>R2-2305844</w:t>
      </w:r>
    </w:p>
    <w:p w14:paraId="5E42192F" w14:textId="77777777" w:rsidR="00ED70E2" w:rsidRDefault="00ED70E2" w:rsidP="00ED70E2">
      <w:pPr>
        <w:pStyle w:val="3GPPHeader"/>
      </w:pPr>
      <w:r>
        <w:rPr>
          <w:rFonts w:cs="Arial"/>
          <w:szCs w:val="24"/>
        </w:rPr>
        <w:t xml:space="preserve">Incheon, South Korea, May 22 – 26, 2023       </w:t>
      </w:r>
      <w:r>
        <w:rPr>
          <w:rFonts w:cs="Arial"/>
          <w:bCs/>
          <w:noProof/>
          <w:szCs w:val="24"/>
          <w:lang w:eastAsia="ko-KR"/>
        </w:rPr>
        <w:t xml:space="preserve">            </w:t>
      </w:r>
    </w:p>
    <w:p w14:paraId="0B9CA2F7" w14:textId="0C7EFA23" w:rsidR="00E90E49" w:rsidRPr="00CE0424" w:rsidRDefault="00FB7C1F" w:rsidP="009F5A69">
      <w:pPr>
        <w:pStyle w:val="3GPPHeader"/>
      </w:pPr>
      <w:r>
        <w:tab/>
      </w:r>
    </w:p>
    <w:p w14:paraId="7CE64FCB" w14:textId="06BC0F4B" w:rsidR="00E90E49" w:rsidRPr="00405A94" w:rsidRDefault="00E90E49" w:rsidP="00311702">
      <w:pPr>
        <w:pStyle w:val="3GPPHeader"/>
        <w:rPr>
          <w:sz w:val="22"/>
          <w:szCs w:val="22"/>
          <w:lang w:val="en-US"/>
        </w:rPr>
      </w:pPr>
      <w:r w:rsidRPr="006F6F21">
        <w:rPr>
          <w:sz w:val="22"/>
          <w:szCs w:val="22"/>
          <w:lang w:val="en-US"/>
        </w:rPr>
        <w:t>Agenda Item:</w:t>
      </w:r>
      <w:r w:rsidRPr="006F6F21">
        <w:rPr>
          <w:sz w:val="22"/>
          <w:szCs w:val="22"/>
          <w:lang w:val="en-US"/>
        </w:rPr>
        <w:tab/>
      </w:r>
      <w:r w:rsidR="004C444B" w:rsidRPr="006F6F21">
        <w:rPr>
          <w:sz w:val="22"/>
          <w:szCs w:val="22"/>
          <w:lang w:val="en-US"/>
        </w:rPr>
        <w:t>7</w:t>
      </w:r>
      <w:r w:rsidR="008548BB" w:rsidRPr="006F6F21">
        <w:rPr>
          <w:sz w:val="22"/>
          <w:szCs w:val="22"/>
          <w:lang w:val="en-US"/>
        </w:rPr>
        <w:t>.</w:t>
      </w:r>
      <w:r w:rsidR="004C444B" w:rsidRPr="006F6F21">
        <w:rPr>
          <w:sz w:val="22"/>
          <w:szCs w:val="22"/>
          <w:lang w:val="en-US"/>
        </w:rPr>
        <w:t>25</w:t>
      </w:r>
      <w:r w:rsidR="008548BB" w:rsidRPr="006F6F21">
        <w:rPr>
          <w:sz w:val="22"/>
          <w:szCs w:val="22"/>
          <w:lang w:val="en-US"/>
        </w:rPr>
        <w:t>.</w:t>
      </w:r>
      <w:r w:rsidR="004C444B" w:rsidRPr="006F6F21">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5107CFC" w:rsidR="00E854C4" w:rsidRDefault="003D3C45" w:rsidP="00D546FF">
      <w:pPr>
        <w:pStyle w:val="3GPPHeader"/>
        <w:rPr>
          <w:sz w:val="22"/>
          <w:szCs w:val="22"/>
        </w:rPr>
      </w:pPr>
      <w:r>
        <w:rPr>
          <w:sz w:val="22"/>
          <w:szCs w:val="22"/>
        </w:rPr>
        <w:t>Title:</w:t>
      </w:r>
      <w:r w:rsidR="00E90E49" w:rsidRPr="00CE0424">
        <w:rPr>
          <w:sz w:val="22"/>
          <w:szCs w:val="22"/>
        </w:rPr>
        <w:tab/>
      </w:r>
      <w:r w:rsidR="001B098B">
        <w:rPr>
          <w:sz w:val="22"/>
          <w:szCs w:val="22"/>
        </w:rPr>
        <w:t>F</w:t>
      </w:r>
      <w:r w:rsidR="001B098B" w:rsidRPr="001B098B">
        <w:rPr>
          <w:sz w:val="22"/>
          <w:szCs w:val="22"/>
        </w:rPr>
        <w:t xml:space="preserve">allback compatibility </w:t>
      </w:r>
      <w:r w:rsidR="001B098B">
        <w:rPr>
          <w:sz w:val="22"/>
          <w:szCs w:val="22"/>
        </w:rPr>
        <w:t>for</w:t>
      </w:r>
      <w:r w:rsidR="001B098B" w:rsidRPr="001B098B">
        <w:rPr>
          <w:sz w:val="22"/>
          <w:szCs w:val="22"/>
        </w:rPr>
        <w:t xml:space="preserve"> UL Tx switching Rel-18</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3F5CCE3A" w:rsidR="00BF2EAD" w:rsidRDefault="00104139" w:rsidP="00C801A7">
      <w:pPr>
        <w:pStyle w:val="BodyText"/>
      </w:pPr>
      <w:bookmarkStart w:id="0" w:name="_Ref178064866"/>
      <w:r>
        <w:t xml:space="preserve">This contribution </w:t>
      </w:r>
      <w:r w:rsidR="00F01541">
        <w:t>focus on</w:t>
      </w:r>
      <w:r>
        <w:t xml:space="preserve"> the </w:t>
      </w:r>
      <w:proofErr w:type="gramStart"/>
      <w:r>
        <w:t>particular aspect</w:t>
      </w:r>
      <w:proofErr w:type="gramEnd"/>
      <w:r>
        <w:t xml:space="preserve"> of fallback </w:t>
      </w:r>
      <w:r w:rsidR="00B676F7">
        <w:t>compatibility between the UL Tx switching Rel-18 feature and the Rel-16 and Rel-17 features</w:t>
      </w:r>
      <w:r w:rsidR="00F01541">
        <w:t xml:space="preserve">, also taking into account the LS received from RAN4 </w:t>
      </w:r>
      <w:r w:rsidR="00D5336E">
        <w:t>(</w:t>
      </w:r>
      <w:r w:rsidR="00675837" w:rsidRPr="00675837">
        <w:t>R4-2306623</w:t>
      </w:r>
      <w:r w:rsidR="00D5336E">
        <w:t>)</w:t>
      </w:r>
      <w:r w:rsidR="00B676F7">
        <w:t>.</w:t>
      </w:r>
    </w:p>
    <w:p w14:paraId="6F8B7B1B" w14:textId="3D6A63AC" w:rsidR="006F62CA" w:rsidRPr="003638DC" w:rsidRDefault="001E6463" w:rsidP="003638DC">
      <w:pPr>
        <w:pStyle w:val="Heading1"/>
      </w:pPr>
      <w:r>
        <w:t>2</w:t>
      </w:r>
      <w:r>
        <w:tab/>
      </w:r>
      <w:r w:rsidR="004A2491">
        <w:t>Discussion</w:t>
      </w:r>
    </w:p>
    <w:p w14:paraId="0A9300E8" w14:textId="1CDD4422" w:rsidR="004C0B42" w:rsidRDefault="00F4164A" w:rsidP="00A87FE8">
      <w:pPr>
        <w:jc w:val="both"/>
        <w:rPr>
          <w:rFonts w:ascii="Arial" w:eastAsia="BIZ UDGothic" w:hAnsi="Arial" w:cs="Arial"/>
          <w:szCs w:val="22"/>
        </w:rPr>
      </w:pPr>
      <w:r>
        <w:rPr>
          <w:rFonts w:ascii="Arial" w:eastAsia="BIZ UDGothic" w:hAnsi="Arial" w:cs="Arial"/>
          <w:szCs w:val="22"/>
        </w:rPr>
        <w:t>T</w:t>
      </w:r>
      <w:r w:rsidR="009B1EB1">
        <w:rPr>
          <w:rFonts w:ascii="Arial" w:eastAsia="BIZ UDGothic" w:hAnsi="Arial" w:cs="Arial"/>
          <w:szCs w:val="22"/>
        </w:rPr>
        <w:t>he signaling structure</w:t>
      </w:r>
      <w:r w:rsidR="00052F76">
        <w:rPr>
          <w:rFonts w:ascii="Arial" w:eastAsia="BIZ UDGothic" w:hAnsi="Arial" w:cs="Arial"/>
          <w:szCs w:val="22"/>
        </w:rPr>
        <w:t xml:space="preserve"> for UL Tx switching</w:t>
      </w:r>
      <w:r w:rsidR="006A4642">
        <w:rPr>
          <w:rFonts w:ascii="Arial" w:eastAsia="BIZ UDGothic" w:hAnsi="Arial" w:cs="Arial"/>
          <w:szCs w:val="22"/>
        </w:rPr>
        <w:t xml:space="preserve"> allows the UE to report support of both Rel-16 and Rel-17 features in a single band combination</w:t>
      </w:r>
      <w:r w:rsidR="00F234BB">
        <w:rPr>
          <w:rFonts w:ascii="Arial" w:eastAsia="BIZ UDGothic" w:hAnsi="Arial" w:cs="Arial"/>
          <w:szCs w:val="22"/>
        </w:rPr>
        <w:t>.</w:t>
      </w:r>
      <w:r w:rsidR="00B969CD">
        <w:rPr>
          <w:rFonts w:ascii="Arial" w:eastAsia="BIZ UDGothic" w:hAnsi="Arial" w:cs="Arial"/>
          <w:szCs w:val="22"/>
        </w:rPr>
        <w:t xml:space="preserve"> </w:t>
      </w:r>
    </w:p>
    <w:p w14:paraId="119FFCC2" w14:textId="77777777" w:rsidR="004C0B42" w:rsidRPr="00F43A82" w:rsidRDefault="004C0B42" w:rsidP="004C0B42">
      <w:pPr>
        <w:pStyle w:val="PL"/>
      </w:pPr>
      <w:r w:rsidRPr="00F43A82">
        <w:t xml:space="preserve">BandCombination-UplinkTxSwitch-r16 ::= </w:t>
      </w:r>
      <w:r w:rsidRPr="00F43A82">
        <w:rPr>
          <w:color w:val="993366"/>
        </w:rPr>
        <w:t>SEQUENCE</w:t>
      </w:r>
      <w:r w:rsidRPr="00F43A82">
        <w:t xml:space="preserve"> {</w:t>
      </w:r>
    </w:p>
    <w:p w14:paraId="41B05639" w14:textId="77777777" w:rsidR="004C0B42" w:rsidRPr="00F43A82" w:rsidRDefault="004C0B42" w:rsidP="004C0B42">
      <w:pPr>
        <w:pStyle w:val="PL"/>
      </w:pPr>
      <w:r w:rsidRPr="00F43A82">
        <w:t xml:space="preserve">    bandCombination-r16                 BandCombination,</w:t>
      </w:r>
    </w:p>
    <w:p w14:paraId="24E8A7F1" w14:textId="77777777" w:rsidR="004C0B42" w:rsidRPr="00F43A82" w:rsidRDefault="004C0B42" w:rsidP="004C0B42">
      <w:pPr>
        <w:pStyle w:val="PL"/>
      </w:pPr>
      <w:r w:rsidRPr="00F43A82">
        <w:t xml:space="preserve">    bandCombination-v1540               BandCombination-v1540                      </w:t>
      </w:r>
      <w:r w:rsidRPr="00F43A82">
        <w:rPr>
          <w:color w:val="993366"/>
        </w:rPr>
        <w:t>OPTIONAL</w:t>
      </w:r>
      <w:r w:rsidRPr="00F43A82">
        <w:t>,</w:t>
      </w:r>
    </w:p>
    <w:p w14:paraId="0C7F9D39" w14:textId="77777777" w:rsidR="004C0B42" w:rsidRPr="00F43A82" w:rsidRDefault="004C0B42" w:rsidP="004C0B42">
      <w:pPr>
        <w:pStyle w:val="PL"/>
      </w:pPr>
      <w:r w:rsidRPr="00F43A82">
        <w:t xml:space="preserve">    bandCombination-v1560               BandCombination-v1560                      </w:t>
      </w:r>
      <w:r w:rsidRPr="00F43A82">
        <w:rPr>
          <w:color w:val="993366"/>
        </w:rPr>
        <w:t>OPTIONAL</w:t>
      </w:r>
      <w:r w:rsidRPr="00F43A82">
        <w:t>,</w:t>
      </w:r>
    </w:p>
    <w:p w14:paraId="16BF50ED" w14:textId="77777777" w:rsidR="004C0B42" w:rsidRPr="00F43A82" w:rsidRDefault="004C0B42" w:rsidP="004C0B42">
      <w:pPr>
        <w:pStyle w:val="PL"/>
      </w:pPr>
      <w:r w:rsidRPr="00F43A82">
        <w:t xml:space="preserve">    bandCombination-v1570               BandCombination-v1570                      </w:t>
      </w:r>
      <w:r w:rsidRPr="00F43A82">
        <w:rPr>
          <w:color w:val="993366"/>
        </w:rPr>
        <w:t>OPTIONAL</w:t>
      </w:r>
      <w:r w:rsidRPr="00F43A82">
        <w:t>,</w:t>
      </w:r>
    </w:p>
    <w:p w14:paraId="449056EF" w14:textId="77777777" w:rsidR="004C0B42" w:rsidRPr="00F43A82" w:rsidRDefault="004C0B42" w:rsidP="004C0B42">
      <w:pPr>
        <w:pStyle w:val="PL"/>
      </w:pPr>
      <w:r w:rsidRPr="00F43A82">
        <w:t xml:space="preserve">    bandCombination-v1580               BandCombination-v1580                      </w:t>
      </w:r>
      <w:r w:rsidRPr="00F43A82">
        <w:rPr>
          <w:color w:val="993366"/>
        </w:rPr>
        <w:t>OPTIONAL</w:t>
      </w:r>
      <w:r w:rsidRPr="00F43A82">
        <w:t>,</w:t>
      </w:r>
    </w:p>
    <w:p w14:paraId="7063E98F" w14:textId="77777777" w:rsidR="004C0B42" w:rsidRPr="00F43A82" w:rsidRDefault="004C0B42" w:rsidP="004C0B42">
      <w:pPr>
        <w:pStyle w:val="PL"/>
      </w:pPr>
      <w:r w:rsidRPr="00F43A82">
        <w:t xml:space="preserve">    bandCombination-v1590               BandCombination-v1590                      </w:t>
      </w:r>
      <w:r w:rsidRPr="00F43A82">
        <w:rPr>
          <w:color w:val="993366"/>
        </w:rPr>
        <w:t>OPTIONAL</w:t>
      </w:r>
      <w:r w:rsidRPr="00F43A82">
        <w:t>,</w:t>
      </w:r>
    </w:p>
    <w:p w14:paraId="440411E1" w14:textId="77777777" w:rsidR="004C0B42" w:rsidRPr="00F43A82" w:rsidRDefault="004C0B42" w:rsidP="004C0B42">
      <w:pPr>
        <w:pStyle w:val="PL"/>
      </w:pPr>
      <w:r w:rsidRPr="00F43A82">
        <w:t xml:space="preserve">    bandCombination-v1610               BandCombination-v1610                      </w:t>
      </w:r>
      <w:r w:rsidRPr="00F43A82">
        <w:rPr>
          <w:color w:val="993366"/>
        </w:rPr>
        <w:t>OPTIONAL</w:t>
      </w:r>
      <w:r w:rsidRPr="00F43A82">
        <w:t>,</w:t>
      </w:r>
    </w:p>
    <w:p w14:paraId="6B2EB330" w14:textId="77777777" w:rsidR="004C0B42" w:rsidRPr="00F43A82" w:rsidRDefault="004C0B42" w:rsidP="004C0B42">
      <w:pPr>
        <w:pStyle w:val="PL"/>
      </w:pPr>
      <w:r w:rsidRPr="00F43A82">
        <w:t xml:space="preserve">    supportedBandPairListNR-r16         </w:t>
      </w:r>
      <w:r w:rsidRPr="00F43A82">
        <w:rPr>
          <w:color w:val="993366"/>
        </w:rPr>
        <w:t>SEQUENCE</w:t>
      </w:r>
      <w:r w:rsidRPr="00F43A82">
        <w:t xml:space="preserve"> (</w:t>
      </w:r>
      <w:r w:rsidRPr="00F43A82">
        <w:rPr>
          <w:color w:val="993366"/>
        </w:rPr>
        <w:t>SIZE</w:t>
      </w:r>
      <w:r w:rsidRPr="00F43A82">
        <w:t xml:space="preserve"> (1..maxULTxSwitchingBandPairs))</w:t>
      </w:r>
      <w:r w:rsidRPr="00F43A82">
        <w:rPr>
          <w:color w:val="993366"/>
        </w:rPr>
        <w:t xml:space="preserve"> OF</w:t>
      </w:r>
      <w:r w:rsidRPr="00F43A82">
        <w:t xml:space="preserve"> ULTxSwitchingBandPair-r16,</w:t>
      </w:r>
    </w:p>
    <w:p w14:paraId="799D1918" w14:textId="77777777" w:rsidR="004C0B42" w:rsidRPr="00F43A82" w:rsidRDefault="004C0B42" w:rsidP="004C0B42">
      <w:pPr>
        <w:pStyle w:val="PL"/>
      </w:pPr>
      <w:r w:rsidRPr="00F43A82">
        <w:t xml:space="preserve">    </w:t>
      </w:r>
      <w:r w:rsidRPr="00A130C2">
        <w:rPr>
          <w:highlight w:val="yellow"/>
        </w:rPr>
        <w:t xml:space="preserve">uplinkTxSwitching-OptionSupport-r16 </w:t>
      </w:r>
      <w:r w:rsidRPr="00A130C2">
        <w:rPr>
          <w:color w:val="993366"/>
          <w:highlight w:val="yellow"/>
        </w:rPr>
        <w:t>ENUMERATED</w:t>
      </w:r>
      <w:r w:rsidRPr="00A130C2">
        <w:rPr>
          <w:highlight w:val="yellow"/>
        </w:rPr>
        <w:t xml:space="preserve"> {switchedUL, dualUL, both}      </w:t>
      </w:r>
      <w:r w:rsidRPr="00A130C2">
        <w:rPr>
          <w:color w:val="993366"/>
          <w:highlight w:val="yellow"/>
        </w:rPr>
        <w:t>OPTIONAL</w:t>
      </w:r>
      <w:r w:rsidRPr="00A130C2">
        <w:rPr>
          <w:highlight w:val="yellow"/>
        </w:rPr>
        <w:t>,</w:t>
      </w:r>
    </w:p>
    <w:p w14:paraId="1AD893D9" w14:textId="77777777" w:rsidR="004C0B42" w:rsidRPr="00F43A82" w:rsidRDefault="004C0B42" w:rsidP="004C0B42">
      <w:pPr>
        <w:pStyle w:val="PL"/>
      </w:pPr>
      <w:r w:rsidRPr="00F43A82">
        <w:t xml:space="preserve">    uplinkTxSwitching-PowerBoosting-r16 </w:t>
      </w:r>
      <w:r w:rsidRPr="00F43A82">
        <w:rPr>
          <w:color w:val="993366"/>
        </w:rPr>
        <w:t>ENUMERATED</w:t>
      </w:r>
      <w:r w:rsidRPr="00F43A82">
        <w:t xml:space="preserve"> {supported}                     </w:t>
      </w:r>
      <w:r w:rsidRPr="00F43A82">
        <w:rPr>
          <w:color w:val="993366"/>
        </w:rPr>
        <w:t>OPTIONAL</w:t>
      </w:r>
      <w:r w:rsidRPr="00F43A82">
        <w:t>,</w:t>
      </w:r>
    </w:p>
    <w:p w14:paraId="01ACB57E" w14:textId="77777777" w:rsidR="004C0B42" w:rsidRPr="00F43A82" w:rsidRDefault="004C0B42" w:rsidP="004C0B42">
      <w:pPr>
        <w:pStyle w:val="PL"/>
      </w:pPr>
      <w:r w:rsidRPr="00F43A82">
        <w:t xml:space="preserve">    ...,</w:t>
      </w:r>
    </w:p>
    <w:p w14:paraId="59BB4517" w14:textId="77777777" w:rsidR="004C0B42" w:rsidRPr="00F43A82" w:rsidRDefault="004C0B42" w:rsidP="004C0B42">
      <w:pPr>
        <w:pStyle w:val="PL"/>
      </w:pPr>
      <w:r w:rsidRPr="00F43A82">
        <w:t xml:space="preserve">    [[</w:t>
      </w:r>
    </w:p>
    <w:p w14:paraId="0056648B" w14:textId="77777777" w:rsidR="004C0B42" w:rsidRPr="00F43A82" w:rsidRDefault="004C0B42" w:rsidP="004C0B42">
      <w:pPr>
        <w:pStyle w:val="PL"/>
        <w:rPr>
          <w:color w:val="808080"/>
        </w:rPr>
      </w:pPr>
      <w:r w:rsidRPr="00F43A82">
        <w:t xml:space="preserve">    </w:t>
      </w:r>
      <w:r w:rsidRPr="00F43A82">
        <w:rPr>
          <w:color w:val="808080"/>
        </w:rPr>
        <w:t>-- R4 16-5 UL-MIMO coherence capability for dynamic Tx switching between 3CC 1Tx-2Tx switching</w:t>
      </w:r>
    </w:p>
    <w:p w14:paraId="0D5BE32B" w14:textId="77777777" w:rsidR="004C0B42" w:rsidRPr="00F43A82" w:rsidRDefault="004C0B42" w:rsidP="004C0B42">
      <w:pPr>
        <w:pStyle w:val="PL"/>
      </w:pPr>
      <w:r w:rsidRPr="00F43A82">
        <w:t xml:space="preserve">    uplinkTxSwitching-PUSCH-TransCoherence-r16     </w:t>
      </w:r>
      <w:r w:rsidRPr="00F43A82">
        <w:rPr>
          <w:color w:val="993366"/>
        </w:rPr>
        <w:t>ENUMERATED</w:t>
      </w:r>
      <w:r w:rsidRPr="00F43A82">
        <w:t xml:space="preserve"> {nonCoherent, fullCoherent}   </w:t>
      </w:r>
      <w:r w:rsidRPr="00F43A82">
        <w:rPr>
          <w:color w:val="993366"/>
        </w:rPr>
        <w:t>OPTIONAL</w:t>
      </w:r>
    </w:p>
    <w:p w14:paraId="1926A4B8" w14:textId="77777777" w:rsidR="004C0B42" w:rsidRPr="00F43A82" w:rsidRDefault="004C0B42" w:rsidP="004C0B42">
      <w:pPr>
        <w:pStyle w:val="PL"/>
      </w:pPr>
      <w:r w:rsidRPr="00F43A82">
        <w:t xml:space="preserve">    ]]</w:t>
      </w:r>
    </w:p>
    <w:p w14:paraId="7A89DC3F" w14:textId="77777777" w:rsidR="004C0B42" w:rsidRPr="00F43A82" w:rsidRDefault="004C0B42" w:rsidP="004C0B42">
      <w:pPr>
        <w:pStyle w:val="PL"/>
      </w:pPr>
      <w:r w:rsidRPr="00F43A82">
        <w:t>}</w:t>
      </w:r>
    </w:p>
    <w:p w14:paraId="15D35222" w14:textId="77777777" w:rsidR="004C0B42" w:rsidRPr="00F43A82" w:rsidRDefault="004C0B42" w:rsidP="004C0B42">
      <w:pPr>
        <w:pStyle w:val="PL"/>
      </w:pPr>
    </w:p>
    <w:p w14:paraId="6D314EA6" w14:textId="0C3F73DE" w:rsidR="004C0B42" w:rsidRPr="00A130C2" w:rsidRDefault="004C0B42" w:rsidP="00A130C2">
      <w:pPr>
        <w:rPr>
          <w:rFonts w:ascii="Arial" w:eastAsia="BIZ UDGothic" w:hAnsi="Arial" w:cs="Arial"/>
          <w:szCs w:val="22"/>
        </w:rPr>
      </w:pPr>
    </w:p>
    <w:p w14:paraId="17A31F0F" w14:textId="77777777" w:rsidR="004C0B42" w:rsidRPr="00F43A82" w:rsidRDefault="004C0B42" w:rsidP="004C0B42">
      <w:pPr>
        <w:pStyle w:val="PL"/>
      </w:pPr>
      <w:r w:rsidRPr="00F43A82">
        <w:t xml:space="preserve">BandCombination-UplinkTxSwitch-v1720 ::= </w:t>
      </w:r>
      <w:r w:rsidRPr="00F43A82">
        <w:rPr>
          <w:color w:val="993366"/>
        </w:rPr>
        <w:t>SEQUENCE</w:t>
      </w:r>
      <w:r w:rsidRPr="00F43A82">
        <w:t xml:space="preserve"> {</w:t>
      </w:r>
    </w:p>
    <w:p w14:paraId="67EB3386" w14:textId="77777777" w:rsidR="004C0B42" w:rsidRPr="00F43A82" w:rsidRDefault="004C0B42" w:rsidP="004C0B42">
      <w:pPr>
        <w:pStyle w:val="PL"/>
      </w:pPr>
      <w:r w:rsidRPr="00F43A82">
        <w:t xml:space="preserve">    bandCombination-v1720                    BandCombination-v1720                 </w:t>
      </w:r>
      <w:r w:rsidRPr="00F43A82">
        <w:rPr>
          <w:color w:val="993366"/>
        </w:rPr>
        <w:t>OPTIONAL</w:t>
      </w:r>
      <w:r w:rsidRPr="00F43A82">
        <w:t>,</w:t>
      </w:r>
    </w:p>
    <w:p w14:paraId="45249AE8" w14:textId="77777777" w:rsidR="004C0B42" w:rsidRPr="00F43A82" w:rsidRDefault="004C0B42" w:rsidP="004C0B42">
      <w:pPr>
        <w:pStyle w:val="PL"/>
      </w:pPr>
      <w:r w:rsidRPr="00F43A82">
        <w:t xml:space="preserve">    </w:t>
      </w:r>
      <w:r w:rsidRPr="00A130C2">
        <w:rPr>
          <w:highlight w:val="yellow"/>
        </w:rPr>
        <w:t xml:space="preserve">uplinkTxSwitching-OptionSupport2T2T-r17  </w:t>
      </w:r>
      <w:r w:rsidRPr="00A130C2">
        <w:rPr>
          <w:color w:val="993366"/>
          <w:highlight w:val="yellow"/>
        </w:rPr>
        <w:t>ENUMERATED</w:t>
      </w:r>
      <w:r w:rsidRPr="00A130C2">
        <w:rPr>
          <w:highlight w:val="yellow"/>
        </w:rPr>
        <w:t xml:space="preserve"> {switchedUL, dualUL, both} </w:t>
      </w:r>
      <w:r w:rsidRPr="00A130C2">
        <w:rPr>
          <w:color w:val="993366"/>
          <w:highlight w:val="yellow"/>
        </w:rPr>
        <w:t>OPTIONAL</w:t>
      </w:r>
    </w:p>
    <w:p w14:paraId="2857A075" w14:textId="77777777" w:rsidR="004C0B42" w:rsidRPr="00F43A82" w:rsidRDefault="004C0B42" w:rsidP="004C0B42">
      <w:pPr>
        <w:pStyle w:val="PL"/>
      </w:pPr>
      <w:r w:rsidRPr="00F43A82">
        <w:t>}</w:t>
      </w:r>
    </w:p>
    <w:p w14:paraId="38C836E3" w14:textId="44967343" w:rsidR="009B1EB1" w:rsidRDefault="009B1EB1" w:rsidP="009B1EB1">
      <w:pPr>
        <w:rPr>
          <w:rFonts w:ascii="Arial" w:eastAsia="BIZ UDGothic" w:hAnsi="Arial" w:cs="Arial"/>
          <w:szCs w:val="22"/>
        </w:rPr>
      </w:pPr>
      <w:r>
        <w:rPr>
          <w:rFonts w:ascii="Arial" w:eastAsia="BIZ UDGothic" w:hAnsi="Arial" w:cs="Arial"/>
          <w:szCs w:val="22"/>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D6B67" w:rsidRPr="00E04032" w14:paraId="1D6EACE4" w14:textId="77777777" w:rsidTr="005F2487">
        <w:trPr>
          <w:cantSplit/>
          <w:tblHeader/>
        </w:trPr>
        <w:tc>
          <w:tcPr>
            <w:tcW w:w="6917" w:type="dxa"/>
          </w:tcPr>
          <w:p w14:paraId="0C677A80" w14:textId="77777777" w:rsidR="004D6B67" w:rsidRPr="00E04032" w:rsidRDefault="004D6B67" w:rsidP="005F2487">
            <w:pPr>
              <w:keepNext/>
              <w:keepLines/>
              <w:spacing w:after="0"/>
              <w:rPr>
                <w:rFonts w:ascii="Arial" w:hAnsi="Arial"/>
                <w:b/>
                <w:bCs/>
                <w:i/>
                <w:iCs/>
                <w:sz w:val="18"/>
              </w:rPr>
            </w:pPr>
            <w:r w:rsidRPr="00E04032">
              <w:rPr>
                <w:rFonts w:ascii="Arial" w:hAnsi="Arial"/>
                <w:b/>
                <w:bCs/>
                <w:i/>
                <w:iCs/>
                <w:sz w:val="18"/>
              </w:rPr>
              <w:t>uplinkTxSwitching-</w:t>
            </w:r>
            <w:r w:rsidRPr="00E04032">
              <w:rPr>
                <w:rFonts w:ascii="Arial" w:hAnsi="Arial"/>
                <w:b/>
                <w:bCs/>
                <w:i/>
                <w:iCs/>
                <w:sz w:val="18"/>
                <w:lang w:eastAsia="zh-CN"/>
              </w:rPr>
              <w:t>Option</w:t>
            </w:r>
            <w:r w:rsidRPr="00E04032">
              <w:rPr>
                <w:rFonts w:ascii="Arial" w:hAnsi="Arial"/>
                <w:b/>
                <w:bCs/>
                <w:i/>
                <w:iCs/>
                <w:sz w:val="18"/>
              </w:rPr>
              <w:t>Support2T2T</w:t>
            </w:r>
            <w:r w:rsidRPr="00E04032">
              <w:rPr>
                <w:rFonts w:ascii="Arial" w:hAnsi="Arial" w:cs="Arial"/>
                <w:b/>
                <w:bCs/>
                <w:i/>
                <w:sz w:val="18"/>
                <w:szCs w:val="18"/>
              </w:rPr>
              <w:t>-r17</w:t>
            </w:r>
          </w:p>
          <w:p w14:paraId="78D33A31" w14:textId="77777777" w:rsidR="004D6B67" w:rsidRPr="00E04032" w:rsidRDefault="004D6B67" w:rsidP="005F2487">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option2 as specified in TS 38.214 [12]. The field is mandatory for inter-band UL CA cases where UE supports dynamic UL 2Tx-2Tx switching. </w:t>
            </w:r>
            <w:r w:rsidRPr="005A4CA0">
              <w:rPr>
                <w:rFonts w:cs="Arial"/>
                <w:szCs w:val="18"/>
                <w:highlight w:val="yellow"/>
                <w:lang w:eastAsia="en-GB"/>
              </w:rPr>
              <w:t xml:space="preserve">The UE indicating support of this feature shall indicate support of at least one common switching option between </w:t>
            </w:r>
            <w:r w:rsidRPr="005A4CA0">
              <w:rPr>
                <w:rFonts w:cs="Arial"/>
                <w:i/>
                <w:iCs/>
                <w:szCs w:val="18"/>
                <w:highlight w:val="yellow"/>
                <w:lang w:eastAsia="en-GB"/>
              </w:rPr>
              <w:t>uplinkTxSwitching-OptionSupport2T2T-r17</w:t>
            </w:r>
            <w:r w:rsidRPr="005A4CA0">
              <w:rPr>
                <w:rFonts w:cs="Arial"/>
                <w:szCs w:val="18"/>
                <w:highlight w:val="yellow"/>
                <w:lang w:eastAsia="en-GB"/>
              </w:rPr>
              <w:t xml:space="preserve"> and </w:t>
            </w:r>
            <w:r w:rsidRPr="005A4CA0">
              <w:rPr>
                <w:rFonts w:cs="Arial"/>
                <w:i/>
                <w:iCs/>
                <w:szCs w:val="18"/>
                <w:highlight w:val="yellow"/>
                <w:lang w:eastAsia="en-GB"/>
              </w:rPr>
              <w:t>uplinkTxSwitching-OptionSupport-r16</w:t>
            </w:r>
            <w:r w:rsidRPr="005A4CA0">
              <w:rPr>
                <w:rFonts w:cs="Arial"/>
                <w:szCs w:val="18"/>
                <w:highlight w:val="yellow"/>
                <w:lang w:eastAsia="en-GB"/>
              </w:rPr>
              <w:t>.</w:t>
            </w:r>
          </w:p>
        </w:tc>
        <w:tc>
          <w:tcPr>
            <w:tcW w:w="709" w:type="dxa"/>
          </w:tcPr>
          <w:p w14:paraId="5A6C64C2" w14:textId="77777777" w:rsidR="004D6B67" w:rsidRPr="00E04032" w:rsidRDefault="004D6B67" w:rsidP="005F2487">
            <w:pPr>
              <w:pStyle w:val="TAL"/>
              <w:jc w:val="center"/>
              <w:rPr>
                <w:bCs/>
                <w:iCs/>
                <w:lang w:eastAsia="zh-CN"/>
              </w:rPr>
            </w:pPr>
            <w:r w:rsidRPr="00E04032">
              <w:rPr>
                <w:bCs/>
                <w:iCs/>
                <w:lang w:eastAsia="zh-CN"/>
              </w:rPr>
              <w:t>BC</w:t>
            </w:r>
          </w:p>
        </w:tc>
        <w:tc>
          <w:tcPr>
            <w:tcW w:w="567" w:type="dxa"/>
          </w:tcPr>
          <w:p w14:paraId="0B62432B" w14:textId="77777777" w:rsidR="004D6B67" w:rsidRPr="00E04032" w:rsidRDefault="004D6B67" w:rsidP="005F2487">
            <w:pPr>
              <w:pStyle w:val="TAL"/>
              <w:jc w:val="center"/>
              <w:rPr>
                <w:bCs/>
                <w:iCs/>
                <w:lang w:eastAsia="zh-CN"/>
              </w:rPr>
            </w:pPr>
            <w:r w:rsidRPr="00E04032">
              <w:rPr>
                <w:bCs/>
                <w:iCs/>
                <w:lang w:eastAsia="zh-CN"/>
              </w:rPr>
              <w:t>CY</w:t>
            </w:r>
          </w:p>
        </w:tc>
        <w:tc>
          <w:tcPr>
            <w:tcW w:w="709" w:type="dxa"/>
          </w:tcPr>
          <w:p w14:paraId="53B7702F" w14:textId="77777777" w:rsidR="004D6B67" w:rsidRPr="00E04032" w:rsidRDefault="004D6B67" w:rsidP="005F2487">
            <w:pPr>
              <w:pStyle w:val="TAL"/>
              <w:jc w:val="center"/>
              <w:rPr>
                <w:rFonts w:eastAsia="DengXian"/>
              </w:rPr>
            </w:pPr>
            <w:r w:rsidRPr="00E04032">
              <w:rPr>
                <w:rFonts w:eastAsia="DengXian"/>
              </w:rPr>
              <w:t>N/A</w:t>
            </w:r>
          </w:p>
        </w:tc>
        <w:tc>
          <w:tcPr>
            <w:tcW w:w="728" w:type="dxa"/>
          </w:tcPr>
          <w:p w14:paraId="3F579151" w14:textId="77777777" w:rsidR="004D6B67" w:rsidRPr="00E04032" w:rsidRDefault="004D6B67" w:rsidP="005F2487">
            <w:pPr>
              <w:pStyle w:val="TAL"/>
              <w:jc w:val="center"/>
              <w:rPr>
                <w:lang w:eastAsia="zh-CN"/>
              </w:rPr>
            </w:pPr>
            <w:r w:rsidRPr="00E04032">
              <w:rPr>
                <w:lang w:eastAsia="zh-CN"/>
              </w:rPr>
              <w:t>FR1 only</w:t>
            </w:r>
          </w:p>
        </w:tc>
      </w:tr>
    </w:tbl>
    <w:p w14:paraId="30B5ACE8" w14:textId="77777777" w:rsidR="004D6B67" w:rsidRDefault="004D6B67" w:rsidP="009B1EB1">
      <w:pPr>
        <w:rPr>
          <w:rFonts w:ascii="Arial" w:eastAsia="BIZ UDGothic" w:hAnsi="Arial" w:cs="Arial"/>
          <w:szCs w:val="22"/>
        </w:rPr>
      </w:pPr>
    </w:p>
    <w:p w14:paraId="23294EA3" w14:textId="03900DD9" w:rsidR="003D17FC" w:rsidRDefault="00CC48F3" w:rsidP="00A87FE8">
      <w:pPr>
        <w:jc w:val="both"/>
        <w:rPr>
          <w:rFonts w:ascii="Arial" w:eastAsia="BIZ UDGothic" w:hAnsi="Arial" w:cs="Arial"/>
          <w:szCs w:val="22"/>
        </w:rPr>
      </w:pPr>
      <w:r>
        <w:rPr>
          <w:rFonts w:ascii="Arial" w:eastAsia="BIZ UDGothic" w:hAnsi="Arial" w:cs="Arial"/>
          <w:szCs w:val="22"/>
        </w:rPr>
        <w:t>Following this design for</w:t>
      </w:r>
      <w:r w:rsidR="00F938FF">
        <w:rPr>
          <w:rFonts w:ascii="Arial" w:eastAsia="BIZ UDGothic" w:hAnsi="Arial" w:cs="Arial"/>
          <w:szCs w:val="22"/>
        </w:rPr>
        <w:t xml:space="preserve"> the Rel-18 feature implies that further discussion is needed on how to handle the coexistence of </w:t>
      </w:r>
      <w:r w:rsidR="00F74C41" w:rsidRPr="00F74C41">
        <w:rPr>
          <w:rFonts w:ascii="Arial" w:eastAsia="BIZ UDGothic" w:hAnsi="Arial" w:cs="Arial"/>
          <w:szCs w:val="22"/>
        </w:rPr>
        <w:t xml:space="preserve">Rel-16, Rel-17 and Rel-18 UL Tx switching features. </w:t>
      </w:r>
      <w:r>
        <w:rPr>
          <w:rFonts w:ascii="Arial" w:eastAsia="BIZ UDGothic" w:hAnsi="Arial" w:cs="Arial"/>
          <w:szCs w:val="22"/>
        </w:rPr>
        <w:t xml:space="preserve"> </w:t>
      </w:r>
    </w:p>
    <w:p w14:paraId="4BBB6C2C" w14:textId="18BF351D" w:rsidR="003D17FC" w:rsidRPr="00B45028" w:rsidRDefault="00072C32" w:rsidP="005874A1">
      <w:pPr>
        <w:pStyle w:val="Observation"/>
      </w:pPr>
      <w:bookmarkStart w:id="1" w:name="_Toc134719212"/>
      <w:r>
        <w:lastRenderedPageBreak/>
        <w:t>D</w:t>
      </w:r>
      <w:r w:rsidR="0002789A">
        <w:t>ue to the signaling structure</w:t>
      </w:r>
      <w:r w:rsidR="0085764A">
        <w:t>,</w:t>
      </w:r>
      <w:r w:rsidR="0002789A">
        <w:t xml:space="preserve"> RAN2 should discuss how to handle coexistence of Rel-16, Rel-17 and Rel-18 </w:t>
      </w:r>
      <w:r w:rsidR="00F938FF">
        <w:t xml:space="preserve">UL Tx switching </w:t>
      </w:r>
      <w:r w:rsidR="0002789A">
        <w:t>features.</w:t>
      </w:r>
      <w:bookmarkEnd w:id="1"/>
      <w:r w:rsidR="0002789A">
        <w:t xml:space="preserve"> </w:t>
      </w:r>
    </w:p>
    <w:p w14:paraId="5AEB3746" w14:textId="6474D584" w:rsidR="00802A19" w:rsidRDefault="009B1EB1" w:rsidP="009B1EB1">
      <w:pPr>
        <w:rPr>
          <w:rFonts w:ascii="Arial" w:eastAsia="BIZ UDGothic" w:hAnsi="Arial" w:cs="Arial"/>
          <w:szCs w:val="22"/>
        </w:rPr>
      </w:pPr>
      <w:r>
        <w:rPr>
          <w:rFonts w:ascii="Arial" w:eastAsia="BIZ UDGothic" w:hAnsi="Arial" w:cs="Arial"/>
          <w:szCs w:val="22"/>
        </w:rPr>
        <w:t xml:space="preserve">In </w:t>
      </w:r>
      <w:r w:rsidR="000E07AF">
        <w:rPr>
          <w:rFonts w:ascii="Arial" w:eastAsia="BIZ UDGothic" w:hAnsi="Arial" w:cs="Arial"/>
          <w:szCs w:val="22"/>
        </w:rPr>
        <w:t>the e-mail discussion</w:t>
      </w:r>
      <w:r w:rsidR="00E371BB">
        <w:rPr>
          <w:rFonts w:ascii="Arial" w:eastAsia="BIZ UDGothic" w:hAnsi="Arial" w:cs="Arial"/>
          <w:szCs w:val="22"/>
        </w:rPr>
        <w:t xml:space="preserve"> held after RAN2#121</w:t>
      </w:r>
      <w:r w:rsidR="000E07AF">
        <w:rPr>
          <w:rFonts w:ascii="Arial" w:eastAsia="BIZ UDGothic" w:hAnsi="Arial" w:cs="Arial"/>
          <w:szCs w:val="22"/>
        </w:rPr>
        <w:t xml:space="preserve"> (</w:t>
      </w:r>
      <w:r w:rsidR="000E07AF" w:rsidRPr="000E07AF">
        <w:rPr>
          <w:rFonts w:ascii="Arial" w:eastAsia="BIZ UDGothic" w:hAnsi="Arial" w:cs="Arial"/>
          <w:szCs w:val="22"/>
        </w:rPr>
        <w:t>[Post121][</w:t>
      </w:r>
      <w:proofErr w:type="gramStart"/>
      <w:r w:rsidR="000E07AF" w:rsidRPr="000E07AF">
        <w:rPr>
          <w:rFonts w:ascii="Arial" w:eastAsia="BIZ UDGothic" w:hAnsi="Arial" w:cs="Arial"/>
          <w:szCs w:val="22"/>
        </w:rPr>
        <w:t>045][</w:t>
      </w:r>
      <w:proofErr w:type="gramEnd"/>
      <w:r w:rsidR="000E07AF" w:rsidRPr="000E07AF">
        <w:rPr>
          <w:rFonts w:ascii="Arial" w:eastAsia="BIZ UDGothic" w:hAnsi="Arial" w:cs="Arial"/>
          <w:szCs w:val="22"/>
        </w:rPr>
        <w:t>MCE] UL TX Switching</w:t>
      </w:r>
      <w:r w:rsidR="000E07AF">
        <w:rPr>
          <w:rFonts w:ascii="Arial" w:eastAsia="BIZ UDGothic" w:hAnsi="Arial" w:cs="Arial"/>
          <w:szCs w:val="22"/>
        </w:rPr>
        <w:t>)</w:t>
      </w:r>
      <w:r w:rsidR="00B0096B">
        <w:rPr>
          <w:rFonts w:ascii="Arial" w:eastAsia="BIZ UDGothic" w:hAnsi="Arial" w:cs="Arial"/>
          <w:szCs w:val="22"/>
        </w:rPr>
        <w:t xml:space="preserve">, </w:t>
      </w:r>
      <w:r w:rsidR="008C627F">
        <w:rPr>
          <w:rFonts w:ascii="Arial" w:eastAsia="BIZ UDGothic" w:hAnsi="Arial" w:cs="Arial"/>
          <w:szCs w:val="22"/>
        </w:rPr>
        <w:t>two approaches were suggested:</w:t>
      </w:r>
    </w:p>
    <w:p w14:paraId="0290DEF9" w14:textId="77777777" w:rsidR="003B6163" w:rsidRPr="002377F3" w:rsidRDefault="003B6163" w:rsidP="003B6163">
      <w:pPr>
        <w:ind w:left="1221" w:hangingChars="608" w:hanging="1221"/>
        <w:rPr>
          <w:rFonts w:ascii="Arial" w:hAnsi="Arial" w:cs="Arial"/>
          <w:b/>
          <w:bCs/>
        </w:rPr>
      </w:pPr>
      <w:r w:rsidRPr="002377F3">
        <w:rPr>
          <w:rFonts w:ascii="Arial" w:hAnsi="Arial" w:cs="Arial"/>
          <w:b/>
          <w:bCs/>
        </w:rPr>
        <w:t xml:space="preserve">Approach 1: the 3/4 FeatureSetUplink are reported in one row in FSC for the 3/4 UL bands involved in Rel-18 UL Tx </w:t>
      </w:r>
      <w:proofErr w:type="gramStart"/>
      <w:r w:rsidRPr="002377F3">
        <w:rPr>
          <w:rFonts w:ascii="Arial" w:hAnsi="Arial" w:cs="Arial"/>
          <w:b/>
          <w:bCs/>
        </w:rPr>
        <w:t>switching;</w:t>
      </w:r>
      <w:proofErr w:type="gramEnd"/>
    </w:p>
    <w:p w14:paraId="7DB667DF" w14:textId="710DDCA2" w:rsidR="00802A19" w:rsidRPr="006F5E74" w:rsidRDefault="003B6163" w:rsidP="006F5E74">
      <w:pPr>
        <w:ind w:left="1221" w:hangingChars="608" w:hanging="1221"/>
        <w:rPr>
          <w:rFonts w:ascii="Arial" w:hAnsi="Arial" w:cs="Arial"/>
          <w:b/>
          <w:bCs/>
        </w:rPr>
      </w:pPr>
      <w:r w:rsidRPr="002377F3">
        <w:rPr>
          <w:rFonts w:ascii="Arial" w:hAnsi="Arial" w:cs="Arial"/>
          <w:b/>
          <w:bCs/>
        </w:rPr>
        <w:t xml:space="preserve">Approach 2: the FeatureSets reported for Rel-16/17 Tx switching between 2 bands can be combined to indicate UL capabilities on the 3/4 UL bands for Rel-18 UL Tx </w:t>
      </w:r>
      <w:proofErr w:type="gramStart"/>
      <w:r w:rsidRPr="002377F3">
        <w:rPr>
          <w:rFonts w:ascii="Arial" w:hAnsi="Arial" w:cs="Arial"/>
          <w:b/>
          <w:bCs/>
        </w:rPr>
        <w:t>switching;</w:t>
      </w:r>
      <w:proofErr w:type="gramEnd"/>
    </w:p>
    <w:p w14:paraId="3C3CB0F4" w14:textId="2E061040" w:rsidR="003D17FC" w:rsidRDefault="00110875" w:rsidP="005874A1">
      <w:pPr>
        <w:rPr>
          <w:rFonts w:ascii="Arial" w:eastAsia="BIZ UDGothic" w:hAnsi="Arial" w:cs="Arial"/>
          <w:szCs w:val="22"/>
        </w:rPr>
      </w:pPr>
      <w:r>
        <w:rPr>
          <w:rFonts w:ascii="Arial" w:eastAsia="BIZ UDGothic" w:hAnsi="Arial" w:cs="Arial"/>
          <w:szCs w:val="22"/>
        </w:rPr>
        <w:t>In</w:t>
      </w:r>
      <w:r w:rsidR="00A2045A">
        <w:rPr>
          <w:rFonts w:ascii="Arial" w:eastAsia="BIZ UDGothic" w:hAnsi="Arial" w:cs="Arial"/>
          <w:szCs w:val="22"/>
        </w:rPr>
        <w:t xml:space="preserve"> </w:t>
      </w:r>
      <w:r w:rsidR="009B1EB1">
        <w:rPr>
          <w:rFonts w:ascii="Arial" w:eastAsia="BIZ UDGothic" w:hAnsi="Arial" w:cs="Arial"/>
          <w:szCs w:val="22"/>
        </w:rPr>
        <w:t>38.331, the following is described for the IE FeatureSetCombination:</w:t>
      </w:r>
    </w:p>
    <w:p w14:paraId="08E7E43C" w14:textId="77777777" w:rsidR="003D17FC" w:rsidRPr="00F43A82" w:rsidRDefault="003D17FC" w:rsidP="007C6BFF">
      <w:pPr>
        <w:pStyle w:val="Heading4"/>
        <w:pBdr>
          <w:top w:val="single" w:sz="4" w:space="1" w:color="auto"/>
          <w:left w:val="single" w:sz="4" w:space="4" w:color="auto"/>
          <w:bottom w:val="single" w:sz="4" w:space="1" w:color="auto"/>
          <w:right w:val="single" w:sz="4" w:space="4" w:color="auto"/>
        </w:pBdr>
      </w:pPr>
      <w:bookmarkStart w:id="2" w:name="_Toc60777439"/>
      <w:bookmarkStart w:id="3" w:name="_Toc124713425"/>
      <w:r w:rsidRPr="00F43A82">
        <w:t>–</w:t>
      </w:r>
      <w:r w:rsidRPr="00F43A82">
        <w:tab/>
      </w:r>
      <w:r w:rsidRPr="00F43A82">
        <w:rPr>
          <w:i/>
        </w:rPr>
        <w:t>FeatureSetCombination</w:t>
      </w:r>
      <w:bookmarkEnd w:id="2"/>
      <w:bookmarkEnd w:id="3"/>
    </w:p>
    <w:p w14:paraId="432B79CF"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The IE </w:t>
      </w:r>
      <w:r w:rsidRPr="00F43A82">
        <w:rPr>
          <w:i/>
        </w:rPr>
        <w:t>FeatureSetCombination</w:t>
      </w:r>
      <w:r w:rsidRPr="00F43A82">
        <w:t xml:space="preserve"> is a two-dimensional matrix of </w:t>
      </w:r>
      <w:r w:rsidRPr="00F43A82">
        <w:rPr>
          <w:i/>
        </w:rPr>
        <w:t>FeatureSet</w:t>
      </w:r>
      <w:r w:rsidRPr="00F43A82">
        <w:t xml:space="preserve"> entries.</w:t>
      </w:r>
    </w:p>
    <w:p w14:paraId="75ECD3E3"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Each </w:t>
      </w:r>
      <w:r w:rsidRPr="00F43A82">
        <w:rPr>
          <w:i/>
        </w:rPr>
        <w:t>FeatureSetsPerBand</w:t>
      </w:r>
      <w:r w:rsidRPr="00F43A82">
        <w:t xml:space="preserve"> contains a list of feature sets applicable to the carrier(s) of one band entry of the associated band combination. </w:t>
      </w:r>
      <w:r w:rsidRPr="0099344C">
        <w:rPr>
          <w:highlight w:val="yellow"/>
        </w:rPr>
        <w:t xml:space="preserve">Across the associated bands, the UE shall support the combination of </w:t>
      </w:r>
      <w:r w:rsidRPr="0099344C">
        <w:rPr>
          <w:i/>
          <w:highlight w:val="yellow"/>
        </w:rPr>
        <w:t>FeatureSets</w:t>
      </w:r>
      <w:r w:rsidRPr="0099344C">
        <w:rPr>
          <w:highlight w:val="yellow"/>
        </w:rPr>
        <w:t xml:space="preserve"> at the same position in the </w:t>
      </w:r>
      <w:r w:rsidRPr="0099344C">
        <w:rPr>
          <w:i/>
          <w:highlight w:val="yellow"/>
        </w:rPr>
        <w:t>FeatureSetsPerBand</w:t>
      </w:r>
      <w:r w:rsidRPr="0099344C">
        <w:rPr>
          <w:highlight w:val="yellow"/>
        </w:rPr>
        <w:t>.</w:t>
      </w:r>
      <w:r w:rsidRPr="00F43A82">
        <w:t xml:space="preserve"> All </w:t>
      </w:r>
      <w:r w:rsidRPr="00F43A82">
        <w:rPr>
          <w:i/>
        </w:rPr>
        <w:t>FeatureSetsPerBand</w:t>
      </w:r>
      <w:r w:rsidRPr="00F43A82">
        <w:t xml:space="preserve"> in one </w:t>
      </w:r>
      <w:r w:rsidRPr="00F43A82">
        <w:rPr>
          <w:i/>
        </w:rPr>
        <w:t>FeatureSetCombination</w:t>
      </w:r>
      <w:r w:rsidRPr="00F43A82">
        <w:t xml:space="preserve"> must have the same number of entries.</w:t>
      </w:r>
    </w:p>
    <w:p w14:paraId="19899591" w14:textId="77777777" w:rsidR="003D17FC" w:rsidRPr="00F43A82" w:rsidRDefault="003D17FC" w:rsidP="007C6BFF">
      <w:pPr>
        <w:pBdr>
          <w:top w:val="single" w:sz="4" w:space="1" w:color="auto"/>
          <w:left w:val="single" w:sz="4" w:space="4" w:color="auto"/>
          <w:bottom w:val="single" w:sz="4" w:space="1" w:color="auto"/>
          <w:right w:val="single" w:sz="4" w:space="4" w:color="auto"/>
        </w:pBdr>
      </w:pPr>
      <w:r w:rsidRPr="00F43A82">
        <w:t xml:space="preserve">The number of </w:t>
      </w:r>
      <w:r w:rsidRPr="00F43A82">
        <w:rPr>
          <w:i/>
        </w:rPr>
        <w:t>FeatureSetsPerBand</w:t>
      </w:r>
      <w:r w:rsidRPr="00F43A82">
        <w:t xml:space="preserve"> in the </w:t>
      </w:r>
      <w:r w:rsidRPr="00F43A82">
        <w:rPr>
          <w:i/>
        </w:rPr>
        <w:t>FeatureSetCombination</w:t>
      </w:r>
      <w:r w:rsidRPr="00F43A82">
        <w:t xml:space="preserve"> must be equal to the number of band entries in an associated band combination. The first </w:t>
      </w:r>
      <w:r w:rsidRPr="00F43A82">
        <w:rPr>
          <w:i/>
        </w:rPr>
        <w:t>FeatureSetPerBand</w:t>
      </w:r>
      <w:r w:rsidRPr="00F43A82">
        <w:t xml:space="preserve"> applies to the first band entry of the band combination, and so on.</w:t>
      </w:r>
    </w:p>
    <w:p w14:paraId="415D6D93" w14:textId="559F897A" w:rsidR="007D42DA" w:rsidRDefault="00FC476D" w:rsidP="00A87FE8">
      <w:pPr>
        <w:jc w:val="both"/>
        <w:rPr>
          <w:rFonts w:ascii="Arial" w:eastAsia="BIZ UDGothic" w:hAnsi="Arial" w:cs="Arial"/>
          <w:szCs w:val="22"/>
        </w:rPr>
      </w:pPr>
      <w:r>
        <w:rPr>
          <w:rFonts w:ascii="Arial" w:eastAsia="BIZ UDGothic" w:hAnsi="Arial" w:cs="Arial"/>
          <w:szCs w:val="22"/>
        </w:rPr>
        <w:t xml:space="preserve">The highlighted sentence above states that what the UE supports is derived </w:t>
      </w:r>
      <w:r w:rsidR="00942CDB">
        <w:rPr>
          <w:rFonts w:ascii="Arial" w:eastAsia="BIZ UDGothic" w:hAnsi="Arial" w:cs="Arial"/>
          <w:szCs w:val="22"/>
        </w:rPr>
        <w:t xml:space="preserve">from </w:t>
      </w:r>
      <w:r w:rsidR="00735BC5" w:rsidRPr="00683F3C">
        <w:rPr>
          <w:rFonts w:ascii="Arial" w:eastAsia="BIZ UDGothic" w:hAnsi="Arial" w:cs="Arial"/>
          <w:i/>
          <w:iCs/>
          <w:szCs w:val="22"/>
        </w:rPr>
        <w:t>FeatureSets</w:t>
      </w:r>
      <w:r w:rsidR="00735BC5" w:rsidRPr="00735BC5">
        <w:rPr>
          <w:rFonts w:ascii="Arial" w:eastAsia="BIZ UDGothic" w:hAnsi="Arial" w:cs="Arial"/>
          <w:szCs w:val="22"/>
        </w:rPr>
        <w:t xml:space="preserve"> at the same position in the </w:t>
      </w:r>
      <w:r w:rsidR="00735BC5" w:rsidRPr="00683F3C">
        <w:rPr>
          <w:rFonts w:ascii="Arial" w:eastAsia="BIZ UDGothic" w:hAnsi="Arial" w:cs="Arial"/>
          <w:i/>
          <w:iCs/>
          <w:szCs w:val="22"/>
        </w:rPr>
        <w:t>FeatureSetsPerBand</w:t>
      </w:r>
      <w:r w:rsidR="006C5AC4">
        <w:rPr>
          <w:rFonts w:ascii="Arial" w:eastAsia="BIZ UDGothic" w:hAnsi="Arial" w:cs="Arial"/>
          <w:szCs w:val="22"/>
        </w:rPr>
        <w:t xml:space="preserve">, </w:t>
      </w:r>
      <w:proofErr w:type="gramStart"/>
      <w:r w:rsidR="006C5AC4">
        <w:rPr>
          <w:rFonts w:ascii="Arial" w:eastAsia="BIZ UDGothic" w:hAnsi="Arial" w:cs="Arial"/>
          <w:szCs w:val="22"/>
        </w:rPr>
        <w:t>i.e.</w:t>
      </w:r>
      <w:proofErr w:type="gramEnd"/>
      <w:r w:rsidR="00683F3C">
        <w:rPr>
          <w:rFonts w:ascii="Arial" w:eastAsia="BIZ UDGothic" w:hAnsi="Arial" w:cs="Arial"/>
          <w:szCs w:val="22"/>
        </w:rPr>
        <w:t xml:space="preserve"> a “row of </w:t>
      </w:r>
      <w:r w:rsidR="00683F3C" w:rsidRPr="00F32337">
        <w:rPr>
          <w:rFonts w:ascii="Arial" w:eastAsia="BIZ UDGothic" w:hAnsi="Arial" w:cs="Arial"/>
          <w:i/>
          <w:iCs/>
          <w:szCs w:val="22"/>
        </w:rPr>
        <w:t>FeatureSets</w:t>
      </w:r>
      <w:r w:rsidR="00683F3C">
        <w:rPr>
          <w:rFonts w:ascii="Arial" w:eastAsia="BIZ UDGothic" w:hAnsi="Arial" w:cs="Arial"/>
          <w:szCs w:val="22"/>
        </w:rPr>
        <w:t>” in</w:t>
      </w:r>
      <w:r w:rsidR="006C5AC4">
        <w:rPr>
          <w:rFonts w:ascii="Arial" w:eastAsia="BIZ UDGothic" w:hAnsi="Arial" w:cs="Arial"/>
          <w:szCs w:val="22"/>
        </w:rPr>
        <w:t xml:space="preserve"> </w:t>
      </w:r>
      <w:r w:rsidR="006C5AC4" w:rsidRPr="006C5AC4">
        <w:rPr>
          <w:rFonts w:ascii="Arial" w:eastAsia="BIZ UDGothic" w:hAnsi="Arial" w:cs="Arial"/>
          <w:i/>
          <w:iCs/>
          <w:szCs w:val="22"/>
        </w:rPr>
        <w:t>FeatureSetCombination</w:t>
      </w:r>
      <w:r w:rsidR="006C5AC4">
        <w:rPr>
          <w:rFonts w:ascii="Arial" w:eastAsia="BIZ UDGothic" w:hAnsi="Arial" w:cs="Arial"/>
          <w:szCs w:val="22"/>
        </w:rPr>
        <w:t>.</w:t>
      </w:r>
      <w:r w:rsidR="00683F3C">
        <w:rPr>
          <w:rFonts w:ascii="Arial" w:eastAsia="BIZ UDGothic" w:hAnsi="Arial" w:cs="Arial"/>
          <w:szCs w:val="22"/>
        </w:rPr>
        <w:t xml:space="preserve"> </w:t>
      </w:r>
      <w:r w:rsidR="006935AD">
        <w:rPr>
          <w:rFonts w:ascii="Arial" w:eastAsia="BIZ UDGothic" w:hAnsi="Arial" w:cs="Arial"/>
          <w:szCs w:val="22"/>
        </w:rPr>
        <w:t xml:space="preserve">The approach 2 suggested in the e-mail discussion </w:t>
      </w:r>
      <w:r w:rsidR="00883D0C" w:rsidRPr="00883D0C">
        <w:rPr>
          <w:rFonts w:ascii="Arial" w:eastAsia="BIZ UDGothic" w:hAnsi="Arial" w:cs="Arial"/>
          <w:szCs w:val="22"/>
        </w:rPr>
        <w:t>is not in line with th</w:t>
      </w:r>
      <w:r w:rsidR="00736FE9">
        <w:rPr>
          <w:rFonts w:ascii="Arial" w:eastAsia="BIZ UDGothic" w:hAnsi="Arial" w:cs="Arial"/>
          <w:szCs w:val="22"/>
        </w:rPr>
        <w:t xml:space="preserve">e </w:t>
      </w:r>
      <w:r w:rsidR="00883D0C" w:rsidRPr="00883D0C">
        <w:rPr>
          <w:rFonts w:ascii="Arial" w:eastAsia="BIZ UDGothic" w:hAnsi="Arial" w:cs="Arial"/>
          <w:szCs w:val="22"/>
        </w:rPr>
        <w:t>design of UE capabilities</w:t>
      </w:r>
      <w:r w:rsidR="00D276CD">
        <w:rPr>
          <w:rFonts w:ascii="Arial" w:eastAsia="BIZ UDGothic" w:hAnsi="Arial" w:cs="Arial"/>
          <w:szCs w:val="22"/>
        </w:rPr>
        <w:t xml:space="preserve"> </w:t>
      </w:r>
      <w:r w:rsidR="001950C4">
        <w:rPr>
          <w:rFonts w:ascii="Arial" w:eastAsia="BIZ UDGothic" w:hAnsi="Arial" w:cs="Arial"/>
          <w:szCs w:val="22"/>
        </w:rPr>
        <w:t>since it</w:t>
      </w:r>
      <w:r w:rsidR="00D276CD">
        <w:rPr>
          <w:rFonts w:ascii="Arial" w:eastAsia="BIZ UDGothic" w:hAnsi="Arial" w:cs="Arial"/>
          <w:szCs w:val="22"/>
        </w:rPr>
        <w:t xml:space="preserve"> would require </w:t>
      </w:r>
      <w:r w:rsidR="002C41EE">
        <w:rPr>
          <w:rFonts w:ascii="Arial" w:eastAsia="BIZ UDGothic" w:hAnsi="Arial" w:cs="Arial"/>
          <w:szCs w:val="22"/>
        </w:rPr>
        <w:t xml:space="preserve">that the UE support is derived from two different “row of </w:t>
      </w:r>
      <w:r w:rsidR="002C41EE" w:rsidRPr="00024CA9">
        <w:rPr>
          <w:rFonts w:ascii="Arial" w:eastAsia="BIZ UDGothic" w:hAnsi="Arial" w:cs="Arial"/>
          <w:szCs w:val="22"/>
        </w:rPr>
        <w:t>FeatureSets</w:t>
      </w:r>
      <w:r w:rsidR="002C41EE">
        <w:rPr>
          <w:rFonts w:ascii="Arial" w:eastAsia="BIZ UDGothic" w:hAnsi="Arial" w:cs="Arial"/>
          <w:szCs w:val="22"/>
        </w:rPr>
        <w:t>” in</w:t>
      </w:r>
      <w:r w:rsidR="003144F5">
        <w:rPr>
          <w:rFonts w:ascii="Arial" w:eastAsia="BIZ UDGothic" w:hAnsi="Arial" w:cs="Arial"/>
          <w:szCs w:val="22"/>
        </w:rPr>
        <w:t xml:space="preserve"> the IE </w:t>
      </w:r>
      <w:r w:rsidR="003144F5" w:rsidRPr="003144F5">
        <w:rPr>
          <w:rFonts w:ascii="Arial" w:eastAsia="BIZ UDGothic" w:hAnsi="Arial" w:cs="Arial"/>
          <w:i/>
          <w:iCs/>
          <w:szCs w:val="22"/>
        </w:rPr>
        <w:t>FeatureSetCombination</w:t>
      </w:r>
      <w:r w:rsidR="00883D0C" w:rsidRPr="00883D0C">
        <w:rPr>
          <w:rFonts w:ascii="Arial" w:eastAsia="BIZ UDGothic" w:hAnsi="Arial" w:cs="Arial"/>
          <w:szCs w:val="22"/>
        </w:rPr>
        <w:t xml:space="preserve">. </w:t>
      </w:r>
    </w:p>
    <w:p w14:paraId="40CDC749" w14:textId="3E5D341E" w:rsidR="007D42DA" w:rsidRDefault="00D03EF5" w:rsidP="00805A1D">
      <w:pPr>
        <w:pStyle w:val="Observation"/>
      </w:pPr>
      <w:bookmarkStart w:id="4" w:name="_Toc134719213"/>
      <w:r>
        <w:t xml:space="preserve">Combining different “rows of FeatureSets” in </w:t>
      </w:r>
      <w:r w:rsidRPr="003F665F">
        <w:rPr>
          <w:i/>
          <w:iCs/>
        </w:rPr>
        <w:t>FeatureSetCombination</w:t>
      </w:r>
      <w:r>
        <w:t xml:space="preserve"> changes the logic of </w:t>
      </w:r>
      <w:r w:rsidR="00576096">
        <w:t>the structure of FeatureSetCombination.</w:t>
      </w:r>
      <w:bookmarkEnd w:id="4"/>
    </w:p>
    <w:p w14:paraId="1DE1DECF" w14:textId="6B046E5D" w:rsidR="005F746F" w:rsidRDefault="00446D13" w:rsidP="00A87FE8">
      <w:pPr>
        <w:jc w:val="both"/>
        <w:rPr>
          <w:rFonts w:ascii="Arial" w:eastAsia="BIZ UDGothic" w:hAnsi="Arial" w:cs="Arial"/>
          <w:szCs w:val="22"/>
        </w:rPr>
      </w:pPr>
      <w:r>
        <w:rPr>
          <w:rFonts w:ascii="Arial" w:eastAsia="BIZ UDGothic" w:hAnsi="Arial" w:cs="Arial"/>
          <w:szCs w:val="22"/>
        </w:rPr>
        <w:t xml:space="preserve">It should be noted that we already decided to have a separate band combination list for UL Tx Switching </w:t>
      </w:r>
      <w:r w:rsidR="00CD287C">
        <w:rPr>
          <w:rFonts w:ascii="Arial" w:eastAsia="BIZ UDGothic" w:hAnsi="Arial" w:cs="Arial"/>
          <w:szCs w:val="22"/>
        </w:rPr>
        <w:t xml:space="preserve">feature just for the sake of indicating different capabilities for UL Tx Switching compared to the legacy band combinations. </w:t>
      </w:r>
      <w:r w:rsidR="00883D0C" w:rsidRPr="00883D0C">
        <w:rPr>
          <w:rFonts w:ascii="Arial" w:eastAsia="BIZ UDGothic" w:hAnsi="Arial" w:cs="Arial"/>
          <w:szCs w:val="22"/>
        </w:rPr>
        <w:t xml:space="preserve">We do not think </w:t>
      </w:r>
      <w:r w:rsidR="00D00579">
        <w:rPr>
          <w:rFonts w:ascii="Arial" w:eastAsia="BIZ UDGothic" w:hAnsi="Arial" w:cs="Arial"/>
          <w:szCs w:val="22"/>
        </w:rPr>
        <w:t>it is sustainable to</w:t>
      </w:r>
      <w:r w:rsidR="009D2EA4">
        <w:rPr>
          <w:rFonts w:ascii="Arial" w:eastAsia="BIZ UDGothic" w:hAnsi="Arial" w:cs="Arial"/>
          <w:szCs w:val="22"/>
        </w:rPr>
        <w:t xml:space="preserve"> have yet further special handling of the already established capability design since Rel-15</w:t>
      </w:r>
      <w:r w:rsidR="00883D0C" w:rsidRPr="00883D0C">
        <w:rPr>
          <w:rFonts w:ascii="Arial" w:eastAsia="BIZ UDGothic" w:hAnsi="Arial" w:cs="Arial"/>
          <w:szCs w:val="22"/>
        </w:rPr>
        <w:t xml:space="preserve">. </w:t>
      </w:r>
      <w:r w:rsidR="00720B75">
        <w:rPr>
          <w:rFonts w:ascii="Arial" w:eastAsia="BIZ UDGothic" w:hAnsi="Arial" w:cs="Arial"/>
          <w:szCs w:val="22"/>
        </w:rPr>
        <w:t>Many features c</w:t>
      </w:r>
      <w:r w:rsidR="008A7358">
        <w:rPr>
          <w:rFonts w:ascii="Arial" w:eastAsia="BIZ UDGothic" w:hAnsi="Arial" w:cs="Arial"/>
          <w:szCs w:val="22"/>
        </w:rPr>
        <w:t>an</w:t>
      </w:r>
      <w:r w:rsidR="00720B75">
        <w:rPr>
          <w:rFonts w:ascii="Arial" w:eastAsia="BIZ UDGothic" w:hAnsi="Arial" w:cs="Arial"/>
          <w:szCs w:val="22"/>
        </w:rPr>
        <w:t xml:space="preserve"> benefit and </w:t>
      </w:r>
      <w:r w:rsidR="00547359">
        <w:rPr>
          <w:rFonts w:ascii="Arial" w:eastAsia="BIZ UDGothic" w:hAnsi="Arial" w:cs="Arial"/>
          <w:szCs w:val="22"/>
        </w:rPr>
        <w:t xml:space="preserve">can </w:t>
      </w:r>
      <w:r w:rsidR="00720B75">
        <w:rPr>
          <w:rFonts w:ascii="Arial" w:eastAsia="BIZ UDGothic" w:hAnsi="Arial" w:cs="Arial"/>
          <w:szCs w:val="22"/>
        </w:rPr>
        <w:t xml:space="preserve">be enhanced by having their </w:t>
      </w:r>
      <w:r w:rsidR="006C6D1C">
        <w:rPr>
          <w:rFonts w:ascii="Arial" w:eastAsia="BIZ UDGothic" w:hAnsi="Arial" w:cs="Arial"/>
          <w:szCs w:val="22"/>
        </w:rPr>
        <w:t xml:space="preserve">separate design </w:t>
      </w:r>
      <w:r w:rsidR="00E4786C">
        <w:rPr>
          <w:rFonts w:ascii="Arial" w:eastAsia="BIZ UDGothic" w:hAnsi="Arial" w:cs="Arial"/>
          <w:szCs w:val="22"/>
        </w:rPr>
        <w:t xml:space="preserve">of UE capability logic, but </w:t>
      </w:r>
      <w:r w:rsidR="001845D6">
        <w:rPr>
          <w:rFonts w:ascii="Arial" w:eastAsia="BIZ UDGothic" w:hAnsi="Arial" w:cs="Arial"/>
          <w:szCs w:val="22"/>
        </w:rPr>
        <w:t xml:space="preserve">a balance is </w:t>
      </w:r>
      <w:r w:rsidR="00CF3E25">
        <w:rPr>
          <w:rFonts w:ascii="Arial" w:eastAsia="BIZ UDGothic" w:hAnsi="Arial" w:cs="Arial"/>
          <w:szCs w:val="22"/>
        </w:rPr>
        <w:t xml:space="preserve">usually </w:t>
      </w:r>
      <w:r w:rsidR="001845D6">
        <w:rPr>
          <w:rFonts w:ascii="Arial" w:eastAsia="BIZ UDGothic" w:hAnsi="Arial" w:cs="Arial"/>
          <w:szCs w:val="22"/>
        </w:rPr>
        <w:t>needed between signaling design and complexity</w:t>
      </w:r>
      <w:r w:rsidR="00CF3E25">
        <w:rPr>
          <w:rFonts w:ascii="Arial" w:eastAsia="BIZ UDGothic" w:hAnsi="Arial" w:cs="Arial"/>
          <w:szCs w:val="22"/>
        </w:rPr>
        <w:t>, thus</w:t>
      </w:r>
      <w:r w:rsidR="001845D6">
        <w:rPr>
          <w:rFonts w:ascii="Arial" w:eastAsia="BIZ UDGothic" w:hAnsi="Arial" w:cs="Arial"/>
          <w:szCs w:val="22"/>
        </w:rPr>
        <w:t xml:space="preserve"> </w:t>
      </w:r>
      <w:r w:rsidR="001845D6" w:rsidRPr="00883D0C">
        <w:rPr>
          <w:rFonts w:ascii="Arial" w:eastAsia="BIZ UDGothic" w:hAnsi="Arial" w:cs="Arial"/>
          <w:szCs w:val="22"/>
        </w:rPr>
        <w:t>we should strive to minimize changes as usual</w:t>
      </w:r>
      <w:r w:rsidR="001845D6">
        <w:rPr>
          <w:rFonts w:ascii="Arial" w:eastAsia="BIZ UDGothic" w:hAnsi="Arial" w:cs="Arial"/>
          <w:szCs w:val="22"/>
        </w:rPr>
        <w:t>.</w:t>
      </w:r>
    </w:p>
    <w:p w14:paraId="4F303B0F" w14:textId="396AE991" w:rsidR="00F879AC" w:rsidRDefault="00183E16" w:rsidP="00C079BA">
      <w:pPr>
        <w:pStyle w:val="Observation"/>
      </w:pPr>
      <w:bookmarkStart w:id="5" w:name="_Toc134719214"/>
      <w:r>
        <w:t xml:space="preserve">It is not sustainable to have different handling </w:t>
      </w:r>
      <w:r w:rsidR="00993F8F">
        <w:t>of UE capabilities in multiple aspects of UL Tx Switching.</w:t>
      </w:r>
      <w:bookmarkEnd w:id="5"/>
    </w:p>
    <w:p w14:paraId="1AE9F400" w14:textId="77777777" w:rsidR="00291C75" w:rsidRDefault="00CB539C" w:rsidP="00A87FE8">
      <w:pPr>
        <w:jc w:val="both"/>
        <w:rPr>
          <w:rFonts w:ascii="Arial" w:eastAsia="BIZ UDGothic" w:hAnsi="Arial" w:cs="Arial"/>
          <w:szCs w:val="22"/>
        </w:rPr>
      </w:pPr>
      <w:r>
        <w:rPr>
          <w:rFonts w:ascii="Arial" w:eastAsia="BIZ UDGothic" w:hAnsi="Arial" w:cs="Arial"/>
          <w:szCs w:val="22"/>
        </w:rPr>
        <w:t xml:space="preserve">Moreover, </w:t>
      </w:r>
      <w:r w:rsidR="00291C75" w:rsidRPr="00883D0C">
        <w:rPr>
          <w:rFonts w:ascii="Arial" w:eastAsia="BIZ UDGothic" w:hAnsi="Arial" w:cs="Arial"/>
          <w:szCs w:val="22"/>
        </w:rPr>
        <w:t xml:space="preserve">the benefits do not seem to justify the complexity. </w:t>
      </w:r>
      <w:r w:rsidR="00291C75">
        <w:rPr>
          <w:rFonts w:ascii="Arial" w:eastAsia="BIZ UDGothic" w:hAnsi="Arial" w:cs="Arial"/>
          <w:szCs w:val="22"/>
        </w:rPr>
        <w:t>From signaling size point of view, approach 2 would not require the UE to report a “row of FeatureSets”</w:t>
      </w:r>
      <w:r w:rsidR="00291C75" w:rsidRPr="00883D0C">
        <w:rPr>
          <w:rFonts w:ascii="Arial" w:eastAsia="BIZ UDGothic" w:hAnsi="Arial" w:cs="Arial"/>
          <w:szCs w:val="22"/>
        </w:rPr>
        <w:t xml:space="preserve"> </w:t>
      </w:r>
      <w:r w:rsidR="00291C75">
        <w:rPr>
          <w:rFonts w:ascii="Arial" w:eastAsia="BIZ UDGothic" w:hAnsi="Arial" w:cs="Arial"/>
          <w:szCs w:val="22"/>
        </w:rPr>
        <w:t xml:space="preserve">for Rel-18 UL Tx switching, and thus could save a couple of rows in the </w:t>
      </w:r>
      <w:r w:rsidR="00291C75" w:rsidRPr="002328C0">
        <w:rPr>
          <w:rFonts w:ascii="Arial" w:eastAsia="BIZ UDGothic" w:hAnsi="Arial" w:cs="Arial"/>
          <w:i/>
          <w:iCs/>
          <w:szCs w:val="22"/>
        </w:rPr>
        <w:t>FeatureSetCombination</w:t>
      </w:r>
      <w:r w:rsidR="00291C75">
        <w:rPr>
          <w:rFonts w:ascii="Arial" w:eastAsia="BIZ UDGothic" w:hAnsi="Arial" w:cs="Arial"/>
          <w:szCs w:val="22"/>
        </w:rPr>
        <w:t xml:space="preserve"> IE. However,</w:t>
      </w:r>
      <w:r w:rsidR="00291C75" w:rsidRPr="00883D0C">
        <w:rPr>
          <w:rFonts w:ascii="Arial" w:eastAsia="BIZ UDGothic" w:hAnsi="Arial" w:cs="Arial"/>
          <w:szCs w:val="22"/>
        </w:rPr>
        <w:t xml:space="preserve"> </w:t>
      </w:r>
      <w:r w:rsidR="00291C75">
        <w:rPr>
          <w:rFonts w:ascii="Arial" w:eastAsia="BIZ UDGothic" w:hAnsi="Arial" w:cs="Arial"/>
          <w:szCs w:val="22"/>
        </w:rPr>
        <w:t>the design of F</w:t>
      </w:r>
      <w:r w:rsidR="00291C75" w:rsidRPr="00883D0C">
        <w:rPr>
          <w:rFonts w:ascii="Arial" w:eastAsia="BIZ UDGothic" w:hAnsi="Arial" w:cs="Arial"/>
          <w:szCs w:val="22"/>
        </w:rPr>
        <w:t>eature</w:t>
      </w:r>
      <w:r w:rsidR="00291C75">
        <w:rPr>
          <w:rFonts w:ascii="Arial" w:eastAsia="BIZ UDGothic" w:hAnsi="Arial" w:cs="Arial"/>
          <w:szCs w:val="22"/>
        </w:rPr>
        <w:t xml:space="preserve"> </w:t>
      </w:r>
      <w:r w:rsidR="00291C75" w:rsidRPr="00883D0C">
        <w:rPr>
          <w:rFonts w:ascii="Arial" w:eastAsia="BIZ UDGothic" w:hAnsi="Arial" w:cs="Arial"/>
          <w:szCs w:val="22"/>
        </w:rPr>
        <w:t>Set</w:t>
      </w:r>
      <w:r w:rsidR="00291C75">
        <w:rPr>
          <w:rFonts w:ascii="Arial" w:eastAsia="BIZ UDGothic" w:hAnsi="Arial" w:cs="Arial"/>
          <w:szCs w:val="22"/>
        </w:rPr>
        <w:t xml:space="preserve"> </w:t>
      </w:r>
      <w:r w:rsidR="00291C75" w:rsidRPr="00883D0C">
        <w:rPr>
          <w:rFonts w:ascii="Arial" w:eastAsia="BIZ UDGothic" w:hAnsi="Arial" w:cs="Arial"/>
          <w:szCs w:val="22"/>
        </w:rPr>
        <w:t>IDs</w:t>
      </w:r>
      <w:r w:rsidR="00291C75">
        <w:rPr>
          <w:rFonts w:ascii="Arial" w:eastAsia="BIZ UDGothic" w:hAnsi="Arial" w:cs="Arial"/>
          <w:szCs w:val="22"/>
        </w:rPr>
        <w:t xml:space="preserve"> is made it so that</w:t>
      </w:r>
      <w:r w:rsidR="00291C75" w:rsidRPr="00883D0C">
        <w:rPr>
          <w:rFonts w:ascii="Arial" w:eastAsia="BIZ UDGothic" w:hAnsi="Arial" w:cs="Arial"/>
          <w:szCs w:val="22"/>
        </w:rPr>
        <w:t xml:space="preserve"> the</w:t>
      </w:r>
      <w:r w:rsidR="00291C75">
        <w:rPr>
          <w:rFonts w:ascii="Arial" w:eastAsia="BIZ UDGothic" w:hAnsi="Arial" w:cs="Arial"/>
          <w:szCs w:val="22"/>
        </w:rPr>
        <w:t xml:space="preserve"> UE can indicate the same feature for multiple band combinations and/or per band per band combination, hence a couple of </w:t>
      </w:r>
      <w:r w:rsidR="00291C75" w:rsidRPr="00883D0C">
        <w:rPr>
          <w:rFonts w:ascii="Arial" w:eastAsia="BIZ UDGothic" w:hAnsi="Arial" w:cs="Arial"/>
          <w:szCs w:val="22"/>
        </w:rPr>
        <w:t>row</w:t>
      </w:r>
      <w:r w:rsidR="00291C75">
        <w:rPr>
          <w:rFonts w:ascii="Arial" w:eastAsia="BIZ UDGothic" w:hAnsi="Arial" w:cs="Arial"/>
          <w:szCs w:val="22"/>
        </w:rPr>
        <w:t>s within the FeatureSetCombination IE should not be the main reason to introduce a different logic in the FeatureSetCombination, which can anyway have up to 128 different rows (</w:t>
      </w:r>
      <w:r w:rsidR="00291C75" w:rsidRPr="0047434C">
        <w:rPr>
          <w:rFonts w:ascii="Arial" w:eastAsia="BIZ UDGothic" w:hAnsi="Arial" w:cs="Arial"/>
          <w:szCs w:val="22"/>
        </w:rPr>
        <w:t>maxFeatureSetsPerBand</w:t>
      </w:r>
      <w:r w:rsidR="00291C75">
        <w:rPr>
          <w:rFonts w:ascii="Arial" w:eastAsia="BIZ UDGothic" w:hAnsi="Arial" w:cs="Arial"/>
          <w:szCs w:val="22"/>
        </w:rPr>
        <w:t>)</w:t>
      </w:r>
      <w:r w:rsidR="00291C75" w:rsidRPr="00883D0C">
        <w:rPr>
          <w:rFonts w:ascii="Arial" w:eastAsia="BIZ UDGothic" w:hAnsi="Arial" w:cs="Arial"/>
          <w:szCs w:val="22"/>
        </w:rPr>
        <w:t>.</w:t>
      </w:r>
    </w:p>
    <w:p w14:paraId="1C425C80" w14:textId="0118C672" w:rsidR="00291C75" w:rsidRDefault="00291C75" w:rsidP="00A87FE8">
      <w:pPr>
        <w:jc w:val="both"/>
        <w:rPr>
          <w:rFonts w:ascii="Arial" w:eastAsia="BIZ UDGothic" w:hAnsi="Arial" w:cs="Arial"/>
          <w:szCs w:val="22"/>
        </w:rPr>
      </w:pPr>
      <w:r>
        <w:rPr>
          <w:rFonts w:ascii="Arial" w:eastAsia="BIZ UDGothic" w:hAnsi="Arial" w:cs="Arial"/>
          <w:szCs w:val="22"/>
        </w:rPr>
        <w:t xml:space="preserve">From </w:t>
      </w:r>
      <w:r w:rsidR="008E5418">
        <w:rPr>
          <w:rFonts w:ascii="Arial" w:eastAsia="BIZ UDGothic" w:hAnsi="Arial" w:cs="Arial"/>
          <w:szCs w:val="22"/>
        </w:rPr>
        <w:t xml:space="preserve">the point of view of </w:t>
      </w:r>
      <w:r>
        <w:rPr>
          <w:rFonts w:ascii="Arial" w:eastAsia="BIZ UDGothic" w:hAnsi="Arial" w:cs="Arial"/>
          <w:szCs w:val="22"/>
        </w:rPr>
        <w:t xml:space="preserve">UE capability flexibility, if there is a need to report different flavours of the same capabilities </w:t>
      </w:r>
      <w:proofErr w:type="gramStart"/>
      <w:r>
        <w:rPr>
          <w:rFonts w:ascii="Arial" w:eastAsia="BIZ UDGothic" w:hAnsi="Arial" w:cs="Arial"/>
          <w:szCs w:val="22"/>
        </w:rPr>
        <w:t>e.g.</w:t>
      </w:r>
      <w:proofErr w:type="gramEnd"/>
      <w:r>
        <w:rPr>
          <w:rFonts w:ascii="Arial" w:eastAsia="BIZ UDGothic" w:hAnsi="Arial" w:cs="Arial"/>
          <w:szCs w:val="22"/>
        </w:rPr>
        <w:t xml:space="preserve"> different bandwidths for different band pairs, the UE can already use multiple “rows of FeatureSets” to indicate different capabilities on each row, which is actually the intention with the design of </w:t>
      </w:r>
      <w:r w:rsidRPr="00BE1DAB">
        <w:rPr>
          <w:rFonts w:ascii="Arial" w:eastAsia="BIZ UDGothic" w:hAnsi="Arial" w:cs="Arial"/>
          <w:i/>
          <w:iCs/>
          <w:szCs w:val="22"/>
        </w:rPr>
        <w:t>FeatureSetCombination</w:t>
      </w:r>
      <w:r>
        <w:rPr>
          <w:rFonts w:ascii="Arial" w:eastAsia="BIZ UDGothic" w:hAnsi="Arial" w:cs="Arial"/>
          <w:szCs w:val="22"/>
        </w:rPr>
        <w:t xml:space="preserve">. Alternatively, </w:t>
      </w:r>
      <w:r w:rsidR="00D05492">
        <w:rPr>
          <w:rFonts w:ascii="Arial" w:eastAsia="BIZ UDGothic" w:hAnsi="Arial" w:cs="Arial"/>
          <w:szCs w:val="22"/>
        </w:rPr>
        <w:t xml:space="preserve">the UE can indicate different </w:t>
      </w:r>
      <w:r w:rsidR="00C66A6F">
        <w:rPr>
          <w:rFonts w:ascii="Arial" w:eastAsia="BIZ UDGothic" w:hAnsi="Arial" w:cs="Arial"/>
          <w:szCs w:val="22"/>
        </w:rPr>
        <w:t xml:space="preserve">band combinations with different capabilities if there is need </w:t>
      </w:r>
      <w:r w:rsidR="007168B9">
        <w:rPr>
          <w:rFonts w:ascii="Arial" w:eastAsia="BIZ UDGothic" w:hAnsi="Arial" w:cs="Arial"/>
          <w:szCs w:val="22"/>
        </w:rPr>
        <w:t xml:space="preserve">for yet further </w:t>
      </w:r>
      <w:r w:rsidR="007E5CC3">
        <w:rPr>
          <w:rFonts w:ascii="Arial" w:eastAsia="BIZ UDGothic" w:hAnsi="Arial" w:cs="Arial"/>
          <w:szCs w:val="22"/>
        </w:rPr>
        <w:t>flexibility</w:t>
      </w:r>
      <w:r w:rsidR="00F9181C">
        <w:rPr>
          <w:rFonts w:ascii="Arial" w:eastAsia="BIZ UDGothic" w:hAnsi="Arial" w:cs="Arial"/>
          <w:szCs w:val="22"/>
        </w:rPr>
        <w:t>.</w:t>
      </w:r>
    </w:p>
    <w:p w14:paraId="63935261" w14:textId="5273F780" w:rsidR="000A55F2" w:rsidRDefault="000736A9" w:rsidP="007434A6">
      <w:pPr>
        <w:pStyle w:val="Observation"/>
      </w:pPr>
      <w:bookmarkStart w:id="6" w:name="_Toc134719215"/>
      <w:r>
        <w:t>Current capability design is already quite flexible with FeatureSetCombination structure and efficient from signaling size point of view.</w:t>
      </w:r>
      <w:bookmarkEnd w:id="6"/>
    </w:p>
    <w:p w14:paraId="2B2384F9" w14:textId="7B4599BD" w:rsidR="0081175A" w:rsidRDefault="00623DF4" w:rsidP="00A87FE8">
      <w:pPr>
        <w:jc w:val="both"/>
        <w:rPr>
          <w:rFonts w:ascii="Arial" w:eastAsia="BIZ UDGothic" w:hAnsi="Arial" w:cs="Arial"/>
          <w:szCs w:val="22"/>
        </w:rPr>
      </w:pPr>
      <w:r>
        <w:rPr>
          <w:rFonts w:ascii="Arial" w:eastAsia="BIZ UDGothic" w:hAnsi="Arial" w:cs="Arial"/>
          <w:szCs w:val="22"/>
        </w:rPr>
        <w:t>Approach 1</w:t>
      </w:r>
      <w:r w:rsidR="00333172">
        <w:rPr>
          <w:rFonts w:ascii="Arial" w:eastAsia="BIZ UDGothic" w:hAnsi="Arial" w:cs="Arial"/>
          <w:szCs w:val="22"/>
        </w:rPr>
        <w:t xml:space="preserve">, however, is in line with </w:t>
      </w:r>
      <w:r w:rsidR="00F8562B">
        <w:rPr>
          <w:rFonts w:ascii="Arial" w:eastAsia="BIZ UDGothic" w:hAnsi="Arial" w:cs="Arial"/>
          <w:szCs w:val="22"/>
        </w:rPr>
        <w:t>the</w:t>
      </w:r>
      <w:r w:rsidR="00333172">
        <w:rPr>
          <w:rFonts w:ascii="Arial" w:eastAsia="BIZ UDGothic" w:hAnsi="Arial" w:cs="Arial"/>
          <w:szCs w:val="22"/>
        </w:rPr>
        <w:t xml:space="preserve"> adopted </w:t>
      </w:r>
      <w:r w:rsidR="00442790">
        <w:rPr>
          <w:rFonts w:ascii="Arial" w:eastAsia="BIZ UDGothic" w:hAnsi="Arial" w:cs="Arial"/>
          <w:szCs w:val="22"/>
        </w:rPr>
        <w:t xml:space="preserve">approach </w:t>
      </w:r>
      <w:r w:rsidR="00333172">
        <w:rPr>
          <w:rFonts w:ascii="Arial" w:eastAsia="BIZ UDGothic" w:hAnsi="Arial" w:cs="Arial"/>
          <w:szCs w:val="22"/>
        </w:rPr>
        <w:t xml:space="preserve">for Rel-17 UL Tx switching (since it does not require any new logic for FeatureSetCombination), and simply </w:t>
      </w:r>
      <w:r w:rsidR="002A211C">
        <w:rPr>
          <w:rFonts w:ascii="Arial" w:eastAsia="BIZ UDGothic" w:hAnsi="Arial" w:cs="Arial"/>
          <w:szCs w:val="22"/>
        </w:rPr>
        <w:t xml:space="preserve">intends to have a “row of FeatureSets” in </w:t>
      </w:r>
      <w:r w:rsidR="002A211C" w:rsidRPr="002A211C">
        <w:rPr>
          <w:rFonts w:ascii="Arial" w:eastAsia="BIZ UDGothic" w:hAnsi="Arial" w:cs="Arial"/>
          <w:i/>
          <w:iCs/>
          <w:szCs w:val="22"/>
        </w:rPr>
        <w:lastRenderedPageBreak/>
        <w:t>FeatureSetCombination</w:t>
      </w:r>
      <w:r w:rsidR="002A211C">
        <w:rPr>
          <w:rFonts w:ascii="Arial" w:eastAsia="BIZ UDGothic" w:hAnsi="Arial" w:cs="Arial"/>
          <w:szCs w:val="22"/>
        </w:rPr>
        <w:t xml:space="preserve"> that indicates support for Rel-18 UL Tx switching.</w:t>
      </w:r>
      <w:r w:rsidR="00DF42E7">
        <w:rPr>
          <w:rFonts w:ascii="Arial" w:eastAsia="BIZ UDGothic" w:hAnsi="Arial" w:cs="Arial"/>
          <w:szCs w:val="22"/>
        </w:rPr>
        <w:t xml:space="preserve"> </w:t>
      </w:r>
      <w:r w:rsidR="00C018AC">
        <w:rPr>
          <w:rFonts w:ascii="Arial" w:eastAsia="BIZ UDGothic" w:hAnsi="Arial" w:cs="Arial"/>
          <w:szCs w:val="22"/>
        </w:rPr>
        <w:t xml:space="preserve">Therefore, we think approach one should be adopted. </w:t>
      </w:r>
    </w:p>
    <w:p w14:paraId="39785823" w14:textId="50CC0728" w:rsidR="006456FD" w:rsidRDefault="008B561C" w:rsidP="003845F2">
      <w:pPr>
        <w:pStyle w:val="Proposal"/>
      </w:pPr>
      <w:bookmarkStart w:id="7" w:name="_Toc134719209"/>
      <w:r>
        <w:t>T</w:t>
      </w:r>
      <w:r w:rsidRPr="008B561C">
        <w:t xml:space="preserve">he 3/4 FeatureSetUplink are reported in one </w:t>
      </w:r>
      <w:r w:rsidR="00021D23">
        <w:t xml:space="preserve">“row of FeatureSets” in </w:t>
      </w:r>
      <w:r w:rsidR="00021D23" w:rsidRPr="003F665F">
        <w:rPr>
          <w:i/>
          <w:iCs/>
        </w:rPr>
        <w:t>FeatureSetCombination</w:t>
      </w:r>
      <w:r w:rsidR="00021D23" w:rsidRPr="008B561C">
        <w:t xml:space="preserve"> </w:t>
      </w:r>
      <w:r w:rsidRPr="008B561C">
        <w:t>for the 3/4 UL bands involved in Rel-18 UL Tx switching</w:t>
      </w:r>
      <w:r w:rsidR="00A411B8">
        <w:t>.</w:t>
      </w:r>
      <w:bookmarkEnd w:id="7"/>
    </w:p>
    <w:p w14:paraId="4B56735F" w14:textId="1BD88901" w:rsidR="00183770" w:rsidRPr="00FF22D3" w:rsidRDefault="00052C8F" w:rsidP="00052C8F">
      <w:pPr>
        <w:pStyle w:val="Heading2"/>
      </w:pPr>
      <w:r>
        <w:t>2.</w:t>
      </w:r>
      <w:r w:rsidR="002C2A00">
        <w:t>1</w:t>
      </w:r>
      <w:r w:rsidRPr="00052C8F">
        <w:tab/>
      </w:r>
      <w:r w:rsidR="00FF22D3" w:rsidRPr="00FF22D3">
        <w:t>Impact</w:t>
      </w:r>
      <w:r w:rsidR="00FF22D3">
        <w:t xml:space="preserve"> of </w:t>
      </w:r>
      <w:r w:rsidR="004D06D6">
        <w:t>RAN4 LS</w:t>
      </w:r>
    </w:p>
    <w:p w14:paraId="745E0C24" w14:textId="240B1D88" w:rsidR="00FF22D3" w:rsidRDefault="00023078" w:rsidP="004D06D6">
      <w:pPr>
        <w:rPr>
          <w:rFonts w:ascii="Arial" w:eastAsia="BIZ UDGothic" w:hAnsi="Arial" w:cs="Arial"/>
          <w:szCs w:val="22"/>
        </w:rPr>
      </w:pPr>
      <w:r w:rsidRPr="00023078">
        <w:rPr>
          <w:rFonts w:ascii="Arial" w:eastAsia="BIZ UDGothic" w:hAnsi="Arial" w:cs="Arial"/>
          <w:noProof/>
          <w:szCs w:val="22"/>
        </w:rPr>
        <mc:AlternateContent>
          <mc:Choice Requires="wps">
            <w:drawing>
              <wp:anchor distT="45720" distB="45720" distL="114300" distR="114300" simplePos="0" relativeHeight="251659264" behindDoc="0" locked="0" layoutInCell="1" allowOverlap="1" wp14:anchorId="3CB51CB7" wp14:editId="2DBBAF6E">
                <wp:simplePos x="0" y="0"/>
                <wp:positionH relativeFrom="margin">
                  <wp:align>left</wp:align>
                </wp:positionH>
                <wp:positionV relativeFrom="paragraph">
                  <wp:posOffset>257706</wp:posOffset>
                </wp:positionV>
                <wp:extent cx="6338570" cy="1501140"/>
                <wp:effectExtent l="0" t="0" r="2413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1501140"/>
                        </a:xfrm>
                        <a:prstGeom prst="rect">
                          <a:avLst/>
                        </a:prstGeom>
                        <a:solidFill>
                          <a:srgbClr val="FFFFFF"/>
                        </a:solidFill>
                        <a:ln w="9525">
                          <a:solidFill>
                            <a:srgbClr val="000000"/>
                          </a:solidFill>
                          <a:miter lim="800000"/>
                          <a:headEnd/>
                          <a:tailEnd/>
                        </a:ln>
                      </wps:spPr>
                      <wps:txbx>
                        <w:txbxContent>
                          <w:p w14:paraId="7E8500EF" w14:textId="77777777" w:rsidR="00023078" w:rsidRPr="007C7E62" w:rsidRDefault="00023078" w:rsidP="00023078">
                            <w:pPr>
                              <w:spacing w:afterLines="50" w:after="120"/>
                              <w:rPr>
                                <w:rFonts w:ascii="Arial" w:hAnsi="Arial" w:cs="Arial"/>
                                <w:bCs/>
                                <w:iCs/>
                                <w:lang w:eastAsia="zh-CN"/>
                              </w:rPr>
                            </w:pPr>
                            <w:r w:rsidRPr="004C64C6">
                              <w:rPr>
                                <w:rFonts w:ascii="Arial" w:hAnsi="Arial" w:cs="Arial" w:hint="eastAsia"/>
                                <w:bCs/>
                                <w:iCs/>
                                <w:lang w:eastAsia="zh-CN"/>
                              </w:rPr>
                              <w:t>RAN4 has also discussed the f</w:t>
                            </w:r>
                            <w:r w:rsidRPr="007C7E62">
                              <w:rPr>
                                <w:rFonts w:ascii="Arial" w:hAnsi="Arial" w:cs="Arial"/>
                                <w:bCs/>
                                <w:iCs/>
                                <w:lang w:eastAsia="zh-CN"/>
                              </w:rPr>
                              <w:t>allback of Rel-18 Tx switching to Rel-16/17 Tx switching</w:t>
                            </w:r>
                            <w:r w:rsidRPr="007C7E62">
                              <w:rPr>
                                <w:rFonts w:ascii="Arial" w:hAnsi="Arial" w:cs="Arial" w:hint="eastAsia"/>
                                <w:bCs/>
                                <w:iCs/>
                                <w:lang w:eastAsia="zh-CN"/>
                              </w:rPr>
                              <w:t>, and reached the following agreement</w:t>
                            </w:r>
                            <w:r w:rsidRPr="007C7E62">
                              <w:rPr>
                                <w:rFonts w:ascii="Arial" w:hAnsi="Arial" w:cs="Arial"/>
                                <w:bCs/>
                                <w:iCs/>
                                <w:lang w:eastAsia="zh-CN"/>
                              </w:rPr>
                              <w:t xml:space="preserve"> and understanding</w:t>
                            </w:r>
                            <w:r w:rsidRPr="007C7E62">
                              <w:rPr>
                                <w:rFonts w:ascii="Arial" w:hAnsi="Arial" w:cs="Arial" w:hint="eastAsia"/>
                                <w:bCs/>
                                <w:iCs/>
                                <w:lang w:eastAsia="zh-CN"/>
                              </w:rPr>
                              <w:t>:</w:t>
                            </w:r>
                          </w:p>
                          <w:p w14:paraId="4F81D778" w14:textId="77777777" w:rsidR="00023078" w:rsidRPr="007C7E62" w:rsidRDefault="00023078" w:rsidP="00023078">
                            <w:pPr>
                              <w:numPr>
                                <w:ilvl w:val="0"/>
                                <w:numId w:val="23"/>
                              </w:numPr>
                              <w:spacing w:afterLines="50" w:after="120"/>
                              <w:ind w:left="284" w:hanging="284"/>
                              <w:rPr>
                                <w:rFonts w:ascii="Arial" w:hAnsi="Arial" w:cs="Arial"/>
                                <w:bCs/>
                                <w:iCs/>
                                <w:lang w:eastAsia="zh-CN"/>
                              </w:rPr>
                            </w:pPr>
                            <w:r w:rsidRPr="007C7E62">
                              <w:rPr>
                                <w:rFonts w:ascii="Arial" w:hAnsi="Arial" w:cs="Arial" w:hint="eastAsia"/>
                                <w:bCs/>
                                <w:iCs/>
                                <w:lang w:eastAsia="zh-CN"/>
                              </w:rPr>
                              <w:t>T</w:t>
                            </w:r>
                            <w:r w:rsidRPr="007C7E62">
                              <w:rPr>
                                <w:rFonts w:ascii="Arial" w:hAnsi="Arial" w:cs="Arial"/>
                                <w:bCs/>
                                <w:iCs/>
                                <w:lang w:eastAsia="zh-CN"/>
                              </w:rPr>
                              <w:t>he indication of supported switching band combinations of the UE capability can also imply the capabilities of the fallbacks in accordance with the current 38.331</w:t>
                            </w:r>
                            <w:r w:rsidRPr="007C7E62">
                              <w:rPr>
                                <w:rFonts w:ascii="Arial" w:hAnsi="Arial" w:cs="Arial" w:hint="eastAsia"/>
                                <w:bCs/>
                                <w:iCs/>
                                <w:lang w:eastAsia="zh-CN"/>
                              </w:rPr>
                              <w:t xml:space="preserve"> fallback framework.</w:t>
                            </w:r>
                          </w:p>
                          <w:p w14:paraId="4334002B" w14:textId="77777777" w:rsidR="00023078" w:rsidRDefault="00023078" w:rsidP="00023078">
                            <w:pPr>
                              <w:numPr>
                                <w:ilvl w:val="0"/>
                                <w:numId w:val="23"/>
                              </w:numPr>
                              <w:spacing w:afterLines="50" w:after="120"/>
                              <w:ind w:left="284" w:hanging="284"/>
                              <w:rPr>
                                <w:rFonts w:ascii="Arial" w:hAnsi="Arial" w:cs="Arial"/>
                                <w:bCs/>
                                <w:iCs/>
                                <w:lang w:eastAsia="zh-CN"/>
                              </w:rPr>
                            </w:pPr>
                            <w:r w:rsidRPr="001E41CD">
                              <w:rPr>
                                <w:rFonts w:ascii="Arial" w:hAnsi="Arial" w:cs="Arial"/>
                                <w:bCs/>
                                <w:iCs/>
                                <w:lang w:eastAsia="zh-CN"/>
                              </w:rPr>
                              <w:t>Rel-18 T</w:t>
                            </w:r>
                            <w:r>
                              <w:rPr>
                                <w:rFonts w:ascii="Arial" w:hAnsi="Arial" w:cs="Arial" w:hint="eastAsia"/>
                                <w:bCs/>
                                <w:iCs/>
                                <w:lang w:eastAsia="zh-CN"/>
                              </w:rPr>
                              <w:t>x</w:t>
                            </w:r>
                            <w:r w:rsidRPr="001E41CD">
                              <w:rPr>
                                <w:rFonts w:ascii="Arial" w:hAnsi="Arial" w:cs="Arial"/>
                                <w:bCs/>
                                <w:iCs/>
                                <w:lang w:eastAsia="zh-CN"/>
                              </w:rPr>
                              <w:t xml:space="preserve"> switching capability will include all sufficient capabilities for two</w:t>
                            </w:r>
                            <w:r>
                              <w:rPr>
                                <w:rFonts w:ascii="Arial" w:hAnsi="Arial" w:cs="Arial"/>
                                <w:bCs/>
                                <w:iCs/>
                                <w:lang w:eastAsia="zh-CN"/>
                              </w:rPr>
                              <w:t>-</w:t>
                            </w:r>
                            <w:r w:rsidRPr="001E41CD">
                              <w:rPr>
                                <w:rFonts w:ascii="Arial" w:hAnsi="Arial" w:cs="Arial"/>
                                <w:bCs/>
                                <w:iCs/>
                                <w:lang w:eastAsia="zh-CN"/>
                              </w:rPr>
                              <w:t>band switching. In addition, UE may also declare two</w:t>
                            </w:r>
                            <w:r>
                              <w:rPr>
                                <w:rFonts w:ascii="Arial" w:hAnsi="Arial" w:cs="Arial"/>
                                <w:bCs/>
                                <w:iCs/>
                                <w:lang w:eastAsia="zh-CN"/>
                              </w:rPr>
                              <w:t>-</w:t>
                            </w:r>
                            <w:r w:rsidRPr="001E41CD">
                              <w:rPr>
                                <w:rFonts w:ascii="Arial" w:hAnsi="Arial" w:cs="Arial"/>
                                <w:bCs/>
                                <w:iCs/>
                                <w:lang w:eastAsia="zh-CN"/>
                              </w:rPr>
                              <w:t>band T</w:t>
                            </w:r>
                            <w:r>
                              <w:rPr>
                                <w:rFonts w:ascii="Arial" w:hAnsi="Arial" w:cs="Arial" w:hint="eastAsia"/>
                                <w:bCs/>
                                <w:iCs/>
                                <w:lang w:eastAsia="zh-CN"/>
                              </w:rPr>
                              <w:t>x</w:t>
                            </w:r>
                            <w:r w:rsidRPr="001E41CD">
                              <w:rPr>
                                <w:rFonts w:ascii="Arial" w:hAnsi="Arial" w:cs="Arial"/>
                                <w:bCs/>
                                <w:iCs/>
                                <w:lang w:eastAsia="zh-CN"/>
                              </w:rPr>
                              <w:t xml:space="preserve"> switching capabilities with Rel-16 and/or Rel-17 capabilities. If UE is configured for two</w:t>
                            </w:r>
                            <w:r>
                              <w:rPr>
                                <w:rFonts w:ascii="Arial" w:hAnsi="Arial" w:cs="Arial"/>
                                <w:bCs/>
                                <w:iCs/>
                                <w:lang w:eastAsia="zh-CN"/>
                              </w:rPr>
                              <w:t>-</w:t>
                            </w:r>
                            <w:r w:rsidRPr="001E41CD">
                              <w:rPr>
                                <w:rFonts w:ascii="Arial" w:hAnsi="Arial" w:cs="Arial"/>
                                <w:bCs/>
                                <w:iCs/>
                                <w:lang w:eastAsia="zh-CN"/>
                              </w:rPr>
                              <w:t>band T</w:t>
                            </w:r>
                            <w:r>
                              <w:rPr>
                                <w:rFonts w:ascii="Arial" w:hAnsi="Arial" w:cs="Arial" w:hint="eastAsia"/>
                                <w:bCs/>
                                <w:iCs/>
                                <w:lang w:eastAsia="zh-CN"/>
                              </w:rPr>
                              <w:t>x</w:t>
                            </w:r>
                            <w:r w:rsidRPr="001E41CD">
                              <w:rPr>
                                <w:rFonts w:ascii="Arial" w:hAnsi="Arial" w:cs="Arial"/>
                                <w:bCs/>
                                <w:iCs/>
                                <w:lang w:eastAsia="zh-CN"/>
                              </w:rPr>
                              <w:t xml:space="preserve"> switching only and UE declare</w:t>
                            </w:r>
                            <w:r>
                              <w:rPr>
                                <w:rFonts w:ascii="Arial" w:hAnsi="Arial" w:cs="Arial"/>
                                <w:bCs/>
                                <w:iCs/>
                                <w:lang w:eastAsia="zh-CN"/>
                              </w:rPr>
                              <w:t>s</w:t>
                            </w:r>
                            <w:r w:rsidRPr="001E41CD">
                              <w:rPr>
                                <w:rFonts w:ascii="Arial" w:hAnsi="Arial" w:cs="Arial"/>
                                <w:bCs/>
                                <w:iCs/>
                                <w:lang w:eastAsia="zh-CN"/>
                              </w:rPr>
                              <w:t xml:space="preserve"> those </w:t>
                            </w:r>
                            <w:r>
                              <w:rPr>
                                <w:rFonts w:ascii="Arial" w:hAnsi="Arial" w:cs="Arial" w:hint="eastAsia"/>
                                <w:bCs/>
                                <w:iCs/>
                                <w:lang w:eastAsia="zh-CN"/>
                              </w:rPr>
                              <w:t>R</w:t>
                            </w:r>
                            <w:r w:rsidRPr="001E41CD">
                              <w:rPr>
                                <w:rFonts w:ascii="Arial" w:hAnsi="Arial" w:cs="Arial"/>
                                <w:bCs/>
                                <w:iCs/>
                                <w:lang w:eastAsia="zh-CN"/>
                              </w:rPr>
                              <w:t>el-16/17 capabilities, then Rel-16/17 capabilities apply for this two band T</w:t>
                            </w:r>
                            <w:r>
                              <w:rPr>
                                <w:rFonts w:ascii="Arial" w:hAnsi="Arial" w:cs="Arial" w:hint="eastAsia"/>
                                <w:bCs/>
                                <w:iCs/>
                                <w:lang w:eastAsia="zh-CN"/>
                              </w:rPr>
                              <w:t>x</w:t>
                            </w:r>
                            <w:r w:rsidRPr="001E41CD">
                              <w:rPr>
                                <w:rFonts w:ascii="Arial" w:hAnsi="Arial" w:cs="Arial"/>
                                <w:bCs/>
                                <w:iCs/>
                                <w:lang w:eastAsia="zh-CN"/>
                              </w:rPr>
                              <w:t xml:space="preserve"> switching. </w:t>
                            </w:r>
                          </w:p>
                          <w:p w14:paraId="14AAB06E" w14:textId="2CA985F6" w:rsidR="00023078" w:rsidRDefault="000230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B51CB7" id="_x0000_t202" coordsize="21600,21600" o:spt="202" path="m,l,21600r21600,l21600,xe">
                <v:stroke joinstyle="miter"/>
                <v:path gradientshapeok="t" o:connecttype="rect"/>
              </v:shapetype>
              <v:shape id="Text Box 2" o:spid="_x0000_s1026" type="#_x0000_t202" style="position:absolute;margin-left:0;margin-top:20.3pt;width:499.1pt;height:118.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">
                <v:textbox>
                  <w:txbxContent>
                    <w:p w14:paraId="7E8500EF" w14:textId="77777777" w:rsidR="00023078" w:rsidRPr="007C7E62" w:rsidRDefault="00023078" w:rsidP="00023078">
                      <w:pPr>
                        <w:spacing w:afterLines="50" w:after="120"/>
                        <w:rPr>
                          <w:rFonts w:ascii="Arial" w:hAnsi="Arial" w:cs="Arial"/>
                          <w:bCs/>
                          <w:iCs/>
                          <w:lang w:eastAsia="zh-CN"/>
                        </w:rPr>
                      </w:pPr>
                      <w:r w:rsidRPr="004C64C6">
                        <w:rPr>
                          <w:rFonts w:ascii="Arial" w:hAnsi="Arial" w:cs="Arial" w:hint="eastAsia"/>
                          <w:bCs/>
                          <w:iCs/>
                          <w:lang w:eastAsia="zh-CN"/>
                        </w:rPr>
                        <w:t>RAN4 has also discussed the f</w:t>
                      </w:r>
                      <w:r w:rsidRPr="007C7E62">
                        <w:rPr>
                          <w:rFonts w:ascii="Arial" w:hAnsi="Arial" w:cs="Arial"/>
                          <w:bCs/>
                          <w:iCs/>
                          <w:lang w:eastAsia="zh-CN"/>
                        </w:rPr>
                        <w:t>allback of Rel-18 Tx switching to Rel-16/17 Tx switching</w:t>
                      </w:r>
                      <w:r w:rsidRPr="007C7E62">
                        <w:rPr>
                          <w:rFonts w:ascii="Arial" w:hAnsi="Arial" w:cs="Arial" w:hint="eastAsia"/>
                          <w:bCs/>
                          <w:iCs/>
                          <w:lang w:eastAsia="zh-CN"/>
                        </w:rPr>
                        <w:t>, and reached the following agreement</w:t>
                      </w:r>
                      <w:r w:rsidRPr="007C7E62">
                        <w:rPr>
                          <w:rFonts w:ascii="Arial" w:hAnsi="Arial" w:cs="Arial"/>
                          <w:bCs/>
                          <w:iCs/>
                          <w:lang w:eastAsia="zh-CN"/>
                        </w:rPr>
                        <w:t xml:space="preserve"> and understanding</w:t>
                      </w:r>
                      <w:r w:rsidRPr="007C7E62">
                        <w:rPr>
                          <w:rFonts w:ascii="Arial" w:hAnsi="Arial" w:cs="Arial" w:hint="eastAsia"/>
                          <w:bCs/>
                          <w:iCs/>
                          <w:lang w:eastAsia="zh-CN"/>
                        </w:rPr>
                        <w:t>:</w:t>
                      </w:r>
                    </w:p>
                    <w:p w14:paraId="4F81D778" w14:textId="77777777" w:rsidR="00023078" w:rsidRPr="007C7E62" w:rsidRDefault="00023078" w:rsidP="00023078">
                      <w:pPr>
                        <w:numPr>
                          <w:ilvl w:val="0"/>
                          <w:numId w:val="23"/>
                        </w:numPr>
                        <w:spacing w:afterLines="50" w:after="120"/>
                        <w:ind w:left="284" w:hanging="284"/>
                        <w:rPr>
                          <w:rFonts w:ascii="Arial" w:hAnsi="Arial" w:cs="Arial"/>
                          <w:bCs/>
                          <w:iCs/>
                          <w:lang w:eastAsia="zh-CN"/>
                        </w:rPr>
                      </w:pPr>
                      <w:r w:rsidRPr="007C7E62">
                        <w:rPr>
                          <w:rFonts w:ascii="Arial" w:hAnsi="Arial" w:cs="Arial" w:hint="eastAsia"/>
                          <w:bCs/>
                          <w:iCs/>
                          <w:lang w:eastAsia="zh-CN"/>
                        </w:rPr>
                        <w:t>T</w:t>
                      </w:r>
                      <w:r w:rsidRPr="007C7E62">
                        <w:rPr>
                          <w:rFonts w:ascii="Arial" w:hAnsi="Arial" w:cs="Arial"/>
                          <w:bCs/>
                          <w:iCs/>
                          <w:lang w:eastAsia="zh-CN"/>
                        </w:rPr>
                        <w:t>he indication of supported switching band combinations of the UE capability can also imply the capabilities of the fallbacks in accordance with the current 38.331</w:t>
                      </w:r>
                      <w:r w:rsidRPr="007C7E62">
                        <w:rPr>
                          <w:rFonts w:ascii="Arial" w:hAnsi="Arial" w:cs="Arial" w:hint="eastAsia"/>
                          <w:bCs/>
                          <w:iCs/>
                          <w:lang w:eastAsia="zh-CN"/>
                        </w:rPr>
                        <w:t xml:space="preserve"> fallback framework.</w:t>
                      </w:r>
                    </w:p>
                    <w:p w14:paraId="4334002B" w14:textId="77777777" w:rsidR="00023078" w:rsidRDefault="00023078" w:rsidP="00023078">
                      <w:pPr>
                        <w:numPr>
                          <w:ilvl w:val="0"/>
                          <w:numId w:val="23"/>
                        </w:numPr>
                        <w:spacing w:afterLines="50" w:after="120"/>
                        <w:ind w:left="284" w:hanging="284"/>
                        <w:rPr>
                          <w:rFonts w:ascii="Arial" w:hAnsi="Arial" w:cs="Arial"/>
                          <w:bCs/>
                          <w:iCs/>
                          <w:lang w:eastAsia="zh-CN"/>
                        </w:rPr>
                      </w:pPr>
                      <w:r w:rsidRPr="001E41CD">
                        <w:rPr>
                          <w:rFonts w:ascii="Arial" w:hAnsi="Arial" w:cs="Arial"/>
                          <w:bCs/>
                          <w:iCs/>
                          <w:lang w:eastAsia="zh-CN"/>
                        </w:rPr>
                        <w:t>Rel-18 T</w:t>
                      </w:r>
                      <w:r>
                        <w:rPr>
                          <w:rFonts w:ascii="Arial" w:hAnsi="Arial" w:cs="Arial" w:hint="eastAsia"/>
                          <w:bCs/>
                          <w:iCs/>
                          <w:lang w:eastAsia="zh-CN"/>
                        </w:rPr>
                        <w:t>x</w:t>
                      </w:r>
                      <w:r w:rsidRPr="001E41CD">
                        <w:rPr>
                          <w:rFonts w:ascii="Arial" w:hAnsi="Arial" w:cs="Arial"/>
                          <w:bCs/>
                          <w:iCs/>
                          <w:lang w:eastAsia="zh-CN"/>
                        </w:rPr>
                        <w:t xml:space="preserve"> switching capability will include all sufficient capabilities for two</w:t>
                      </w:r>
                      <w:r>
                        <w:rPr>
                          <w:rFonts w:ascii="Arial" w:hAnsi="Arial" w:cs="Arial"/>
                          <w:bCs/>
                          <w:iCs/>
                          <w:lang w:eastAsia="zh-CN"/>
                        </w:rPr>
                        <w:t>-</w:t>
                      </w:r>
                      <w:r w:rsidRPr="001E41CD">
                        <w:rPr>
                          <w:rFonts w:ascii="Arial" w:hAnsi="Arial" w:cs="Arial"/>
                          <w:bCs/>
                          <w:iCs/>
                          <w:lang w:eastAsia="zh-CN"/>
                        </w:rPr>
                        <w:t>band switching. In addition, UE may also declare two</w:t>
                      </w:r>
                      <w:r>
                        <w:rPr>
                          <w:rFonts w:ascii="Arial" w:hAnsi="Arial" w:cs="Arial"/>
                          <w:bCs/>
                          <w:iCs/>
                          <w:lang w:eastAsia="zh-CN"/>
                        </w:rPr>
                        <w:t>-</w:t>
                      </w:r>
                      <w:r w:rsidRPr="001E41CD">
                        <w:rPr>
                          <w:rFonts w:ascii="Arial" w:hAnsi="Arial" w:cs="Arial"/>
                          <w:bCs/>
                          <w:iCs/>
                          <w:lang w:eastAsia="zh-CN"/>
                        </w:rPr>
                        <w:t>band T</w:t>
                      </w:r>
                      <w:r>
                        <w:rPr>
                          <w:rFonts w:ascii="Arial" w:hAnsi="Arial" w:cs="Arial" w:hint="eastAsia"/>
                          <w:bCs/>
                          <w:iCs/>
                          <w:lang w:eastAsia="zh-CN"/>
                        </w:rPr>
                        <w:t>x</w:t>
                      </w:r>
                      <w:r w:rsidRPr="001E41CD">
                        <w:rPr>
                          <w:rFonts w:ascii="Arial" w:hAnsi="Arial" w:cs="Arial"/>
                          <w:bCs/>
                          <w:iCs/>
                          <w:lang w:eastAsia="zh-CN"/>
                        </w:rPr>
                        <w:t xml:space="preserve"> switching capabilities with Rel-16 and/or Rel-17 capabilities. If UE is configured for two</w:t>
                      </w:r>
                      <w:r>
                        <w:rPr>
                          <w:rFonts w:ascii="Arial" w:hAnsi="Arial" w:cs="Arial"/>
                          <w:bCs/>
                          <w:iCs/>
                          <w:lang w:eastAsia="zh-CN"/>
                        </w:rPr>
                        <w:t>-</w:t>
                      </w:r>
                      <w:r w:rsidRPr="001E41CD">
                        <w:rPr>
                          <w:rFonts w:ascii="Arial" w:hAnsi="Arial" w:cs="Arial"/>
                          <w:bCs/>
                          <w:iCs/>
                          <w:lang w:eastAsia="zh-CN"/>
                        </w:rPr>
                        <w:t>band T</w:t>
                      </w:r>
                      <w:r>
                        <w:rPr>
                          <w:rFonts w:ascii="Arial" w:hAnsi="Arial" w:cs="Arial" w:hint="eastAsia"/>
                          <w:bCs/>
                          <w:iCs/>
                          <w:lang w:eastAsia="zh-CN"/>
                        </w:rPr>
                        <w:t>x</w:t>
                      </w:r>
                      <w:r w:rsidRPr="001E41CD">
                        <w:rPr>
                          <w:rFonts w:ascii="Arial" w:hAnsi="Arial" w:cs="Arial"/>
                          <w:bCs/>
                          <w:iCs/>
                          <w:lang w:eastAsia="zh-CN"/>
                        </w:rPr>
                        <w:t xml:space="preserve"> switching only and UE declare</w:t>
                      </w:r>
                      <w:r>
                        <w:rPr>
                          <w:rFonts w:ascii="Arial" w:hAnsi="Arial" w:cs="Arial"/>
                          <w:bCs/>
                          <w:iCs/>
                          <w:lang w:eastAsia="zh-CN"/>
                        </w:rPr>
                        <w:t>s</w:t>
                      </w:r>
                      <w:r w:rsidRPr="001E41CD">
                        <w:rPr>
                          <w:rFonts w:ascii="Arial" w:hAnsi="Arial" w:cs="Arial"/>
                          <w:bCs/>
                          <w:iCs/>
                          <w:lang w:eastAsia="zh-CN"/>
                        </w:rPr>
                        <w:t xml:space="preserve"> those </w:t>
                      </w:r>
                      <w:r>
                        <w:rPr>
                          <w:rFonts w:ascii="Arial" w:hAnsi="Arial" w:cs="Arial" w:hint="eastAsia"/>
                          <w:bCs/>
                          <w:iCs/>
                          <w:lang w:eastAsia="zh-CN"/>
                        </w:rPr>
                        <w:t>R</w:t>
                      </w:r>
                      <w:r w:rsidRPr="001E41CD">
                        <w:rPr>
                          <w:rFonts w:ascii="Arial" w:hAnsi="Arial" w:cs="Arial"/>
                          <w:bCs/>
                          <w:iCs/>
                          <w:lang w:eastAsia="zh-CN"/>
                        </w:rPr>
                        <w:t>el-16/17 capabilities, then Rel-16/17 capabilities apply for this two band T</w:t>
                      </w:r>
                      <w:r>
                        <w:rPr>
                          <w:rFonts w:ascii="Arial" w:hAnsi="Arial" w:cs="Arial" w:hint="eastAsia"/>
                          <w:bCs/>
                          <w:iCs/>
                          <w:lang w:eastAsia="zh-CN"/>
                        </w:rPr>
                        <w:t>x</w:t>
                      </w:r>
                      <w:r w:rsidRPr="001E41CD">
                        <w:rPr>
                          <w:rFonts w:ascii="Arial" w:hAnsi="Arial" w:cs="Arial"/>
                          <w:bCs/>
                          <w:iCs/>
                          <w:lang w:eastAsia="zh-CN"/>
                        </w:rPr>
                        <w:t xml:space="preserve"> switching. </w:t>
                      </w:r>
                    </w:p>
                    <w:p w14:paraId="14AAB06E" w14:textId="2CA985F6" w:rsidR="00023078" w:rsidRDefault="00023078"/>
                  </w:txbxContent>
                </v:textbox>
                <w10:wrap type="topAndBottom" anchorx="margin"/>
              </v:shape>
            </w:pict>
          </mc:Fallback>
        </mc:AlternateContent>
      </w:r>
      <w:r w:rsidR="00C04AA4" w:rsidRPr="00C04AA4">
        <w:rPr>
          <w:rFonts w:ascii="Arial" w:eastAsia="BIZ UDGothic" w:hAnsi="Arial" w:cs="Arial"/>
          <w:szCs w:val="22"/>
        </w:rPr>
        <w:t xml:space="preserve">The LS from RAN4 </w:t>
      </w:r>
      <w:r w:rsidR="002321F0" w:rsidRPr="002321F0">
        <w:rPr>
          <w:rFonts w:ascii="Arial" w:eastAsia="BIZ UDGothic" w:hAnsi="Arial" w:cs="Arial"/>
          <w:szCs w:val="22"/>
        </w:rPr>
        <w:t>(R4-2306623)</w:t>
      </w:r>
      <w:r w:rsidR="002321F0">
        <w:rPr>
          <w:rFonts w:ascii="Arial" w:eastAsia="BIZ UDGothic" w:hAnsi="Arial" w:cs="Arial"/>
          <w:szCs w:val="22"/>
        </w:rPr>
        <w:t xml:space="preserve"> </w:t>
      </w:r>
      <w:r w:rsidR="00C04AA4" w:rsidRPr="00C04AA4">
        <w:rPr>
          <w:rFonts w:ascii="Arial" w:eastAsia="BIZ UDGothic" w:hAnsi="Arial" w:cs="Arial"/>
          <w:szCs w:val="22"/>
        </w:rPr>
        <w:t>co</w:t>
      </w:r>
      <w:r w:rsidR="00B96E22">
        <w:rPr>
          <w:rFonts w:ascii="Arial" w:eastAsia="BIZ UDGothic" w:hAnsi="Arial" w:cs="Arial"/>
          <w:szCs w:val="22"/>
        </w:rPr>
        <w:t>ntains the following:</w:t>
      </w:r>
    </w:p>
    <w:p w14:paraId="6E24CD71" w14:textId="47FAAFBB" w:rsidR="00B96E22" w:rsidRDefault="00B96E22" w:rsidP="004D06D6">
      <w:pPr>
        <w:rPr>
          <w:rFonts w:ascii="Arial" w:eastAsia="BIZ UDGothic" w:hAnsi="Arial" w:cs="Arial"/>
          <w:szCs w:val="22"/>
        </w:rPr>
      </w:pPr>
    </w:p>
    <w:p w14:paraId="7CEB372C" w14:textId="0857003C" w:rsidR="00B96E22" w:rsidRPr="00C04AA4" w:rsidRDefault="00BB7C73" w:rsidP="00A87FE8">
      <w:pPr>
        <w:jc w:val="both"/>
        <w:rPr>
          <w:rFonts w:ascii="Arial" w:eastAsia="BIZ UDGothic" w:hAnsi="Arial" w:cs="Arial"/>
          <w:szCs w:val="22"/>
        </w:rPr>
      </w:pPr>
      <w:r>
        <w:rPr>
          <w:rFonts w:ascii="Arial" w:eastAsia="BIZ UDGothic" w:hAnsi="Arial" w:cs="Arial"/>
          <w:szCs w:val="22"/>
        </w:rPr>
        <w:t>On the first bullet,</w:t>
      </w:r>
      <w:r w:rsidR="00067F43">
        <w:rPr>
          <w:rFonts w:ascii="Arial" w:eastAsia="BIZ UDGothic" w:hAnsi="Arial" w:cs="Arial"/>
          <w:szCs w:val="22"/>
        </w:rPr>
        <w:t xml:space="preserve"> it is basically stated that </w:t>
      </w:r>
      <w:r w:rsidR="00085D2D">
        <w:rPr>
          <w:rFonts w:ascii="Arial" w:eastAsia="BIZ UDGothic" w:hAnsi="Arial" w:cs="Arial"/>
          <w:szCs w:val="22"/>
        </w:rPr>
        <w:t>for a certain band combination where the UE indicates support of the Rel-18 feature, the UE</w:t>
      </w:r>
      <w:r w:rsidR="008B1564">
        <w:rPr>
          <w:rFonts w:ascii="Arial" w:eastAsia="BIZ UDGothic" w:hAnsi="Arial" w:cs="Arial"/>
          <w:szCs w:val="22"/>
        </w:rPr>
        <w:t xml:space="preserve"> shall also support the fallback band combinations derived from this band combination, </w:t>
      </w:r>
      <w:proofErr w:type="gramStart"/>
      <w:r w:rsidR="00033BEF">
        <w:rPr>
          <w:rFonts w:ascii="Arial" w:eastAsia="BIZ UDGothic" w:hAnsi="Arial" w:cs="Arial"/>
          <w:szCs w:val="22"/>
        </w:rPr>
        <w:t>and also</w:t>
      </w:r>
      <w:proofErr w:type="gramEnd"/>
      <w:r w:rsidR="00033BEF">
        <w:rPr>
          <w:rFonts w:ascii="Arial" w:eastAsia="BIZ UDGothic" w:hAnsi="Arial" w:cs="Arial"/>
          <w:szCs w:val="22"/>
        </w:rPr>
        <w:t xml:space="preserve"> support therein the Rel-18 feature. </w:t>
      </w:r>
      <w:r w:rsidR="00FF3264">
        <w:rPr>
          <w:rFonts w:ascii="Arial" w:eastAsia="BIZ UDGothic" w:hAnsi="Arial" w:cs="Arial"/>
          <w:szCs w:val="22"/>
        </w:rPr>
        <w:t xml:space="preserve">We think this is already </w:t>
      </w:r>
      <w:proofErr w:type="gramStart"/>
      <w:r w:rsidR="00FF3264">
        <w:rPr>
          <w:rFonts w:ascii="Arial" w:eastAsia="BIZ UDGothic" w:hAnsi="Arial" w:cs="Arial"/>
          <w:szCs w:val="22"/>
        </w:rPr>
        <w:t>taken into account</w:t>
      </w:r>
      <w:proofErr w:type="gramEnd"/>
      <w:r w:rsidR="00FF3264">
        <w:rPr>
          <w:rFonts w:ascii="Arial" w:eastAsia="BIZ UDGothic" w:hAnsi="Arial" w:cs="Arial"/>
          <w:szCs w:val="22"/>
        </w:rPr>
        <w:t xml:space="preserve"> by the sentence below in 38.306:</w:t>
      </w:r>
    </w:p>
    <w:tbl>
      <w:tblPr>
        <w:tblW w:w="1006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3"/>
      </w:tblGrid>
      <w:tr w:rsidR="00737624" w:rsidRPr="00E04032" w14:paraId="38BCA13A" w14:textId="77777777" w:rsidTr="00737624">
        <w:trPr>
          <w:cantSplit/>
          <w:trHeight w:val="1118"/>
          <w:tblHeader/>
        </w:trPr>
        <w:tc>
          <w:tcPr>
            <w:tcW w:w="10063" w:type="dxa"/>
          </w:tcPr>
          <w:p w14:paraId="54A71E89" w14:textId="77777777" w:rsidR="00737624" w:rsidRPr="00E04032" w:rsidRDefault="00737624" w:rsidP="00E406B9">
            <w:pPr>
              <w:pStyle w:val="TAL"/>
              <w:rPr>
                <w:b/>
                <w:bCs/>
                <w:i/>
                <w:iCs/>
                <w:lang w:eastAsia="zh-CN"/>
              </w:rPr>
            </w:pPr>
            <w:r w:rsidRPr="00E04032">
              <w:rPr>
                <w:b/>
                <w:bCs/>
                <w:i/>
                <w:iCs/>
                <w:lang w:eastAsia="zh-CN"/>
              </w:rPr>
              <w:t>supportedBandCombinationList-UplinkTxSwitch-r16</w:t>
            </w:r>
          </w:p>
          <w:p w14:paraId="2A4B5A31" w14:textId="77777777" w:rsidR="00737624" w:rsidRPr="00E04032" w:rsidRDefault="00737624" w:rsidP="00E406B9">
            <w:pPr>
              <w:pStyle w:val="TAL"/>
              <w:rPr>
                <w:b/>
                <w:i/>
              </w:rPr>
            </w:pPr>
            <w:r w:rsidRPr="00E04032">
              <w:rPr>
                <w:lang w:eastAsia="zh-CN"/>
              </w:rPr>
              <w:t xml:space="preserve">Defines the NR inter-band UL CA, SUL and/or EN-DC band combinations where UE supports dynamic UL Tx switching. UE only includes this field if requested by the network. </w:t>
            </w:r>
            <w:r w:rsidRPr="00FF3264">
              <w:rPr>
                <w:highlight w:val="yellow"/>
              </w:rPr>
              <w:t xml:space="preserve">All fallback band combinations resulting from the reported band combination, which include at least one band pair supporting dynamic UL Tx switching as indicated in </w:t>
            </w:r>
            <w:r w:rsidRPr="00FF3264">
              <w:rPr>
                <w:i/>
                <w:iCs/>
                <w:highlight w:val="yellow"/>
              </w:rPr>
              <w:t>ULTxSwitchingBandPair</w:t>
            </w:r>
            <w:r w:rsidRPr="00FF3264">
              <w:rPr>
                <w:highlight w:val="yellow"/>
              </w:rPr>
              <w:t>, shall be supported by the UE</w:t>
            </w:r>
            <w:r w:rsidRPr="00FF3264">
              <w:rPr>
                <w:highlight w:val="yellow"/>
                <w:lang w:eastAsia="zh-CN"/>
              </w:rPr>
              <w:t>.</w:t>
            </w:r>
          </w:p>
        </w:tc>
      </w:tr>
    </w:tbl>
    <w:p w14:paraId="595D116C" w14:textId="77777777" w:rsidR="00EA0A19" w:rsidRDefault="00EA0A19" w:rsidP="004D06D6">
      <w:pPr>
        <w:rPr>
          <w:rFonts w:ascii="Arial" w:eastAsia="BIZ UDGothic" w:hAnsi="Arial" w:cs="Arial"/>
          <w:szCs w:val="22"/>
        </w:rPr>
      </w:pPr>
    </w:p>
    <w:p w14:paraId="5A089A97" w14:textId="77777777" w:rsidR="00DE217E" w:rsidRDefault="000154D8" w:rsidP="00A87FE8">
      <w:pPr>
        <w:jc w:val="both"/>
        <w:rPr>
          <w:rFonts w:ascii="Arial" w:eastAsia="BIZ UDGothic" w:hAnsi="Arial" w:cs="Arial"/>
          <w:szCs w:val="22"/>
        </w:rPr>
      </w:pPr>
      <w:r w:rsidRPr="000154D8">
        <w:rPr>
          <w:rFonts w:ascii="Arial" w:eastAsia="BIZ UDGothic" w:hAnsi="Arial" w:cs="Arial"/>
          <w:szCs w:val="22"/>
        </w:rPr>
        <w:t xml:space="preserve">On the </w:t>
      </w:r>
      <w:r w:rsidR="001D050A">
        <w:rPr>
          <w:rFonts w:ascii="Arial" w:eastAsia="BIZ UDGothic" w:hAnsi="Arial" w:cs="Arial"/>
          <w:szCs w:val="22"/>
        </w:rPr>
        <w:t xml:space="preserve">second bullet, </w:t>
      </w:r>
      <w:r w:rsidR="008A271B">
        <w:rPr>
          <w:rFonts w:ascii="Arial" w:eastAsia="BIZ UDGothic" w:hAnsi="Arial" w:cs="Arial"/>
          <w:szCs w:val="22"/>
        </w:rPr>
        <w:t xml:space="preserve">it is stated that </w:t>
      </w:r>
      <w:r w:rsidR="00944405">
        <w:rPr>
          <w:rFonts w:ascii="Arial" w:eastAsia="BIZ UDGothic" w:hAnsi="Arial" w:cs="Arial"/>
          <w:szCs w:val="22"/>
        </w:rPr>
        <w:t>the capabilities for the Rel-18 feature</w:t>
      </w:r>
      <w:r w:rsidR="007F0AE0">
        <w:rPr>
          <w:rFonts w:ascii="Arial" w:eastAsia="BIZ UDGothic" w:hAnsi="Arial" w:cs="Arial"/>
          <w:szCs w:val="22"/>
        </w:rPr>
        <w:t xml:space="preserve"> will also </w:t>
      </w:r>
      <w:r w:rsidR="00594CB5">
        <w:rPr>
          <w:rFonts w:ascii="Arial" w:eastAsia="BIZ UDGothic" w:hAnsi="Arial" w:cs="Arial"/>
          <w:szCs w:val="22"/>
        </w:rPr>
        <w:t>support two-band switching.</w:t>
      </w:r>
      <w:r w:rsidR="00495EF7">
        <w:rPr>
          <w:rFonts w:ascii="Arial" w:eastAsia="BIZ UDGothic" w:hAnsi="Arial" w:cs="Arial"/>
          <w:szCs w:val="22"/>
        </w:rPr>
        <w:t xml:space="preserve"> </w:t>
      </w:r>
      <w:r w:rsidR="00380482">
        <w:rPr>
          <w:rFonts w:ascii="Arial" w:eastAsia="BIZ UDGothic" w:hAnsi="Arial" w:cs="Arial"/>
          <w:szCs w:val="22"/>
        </w:rPr>
        <w:t>The UE may also report additional capabilities for the Rel-16/17 features (</w:t>
      </w:r>
      <w:proofErr w:type="gramStart"/>
      <w:r w:rsidR="00380482">
        <w:rPr>
          <w:rFonts w:ascii="Arial" w:eastAsia="BIZ UDGothic" w:hAnsi="Arial" w:cs="Arial"/>
          <w:szCs w:val="22"/>
        </w:rPr>
        <w:t>e.g.</w:t>
      </w:r>
      <w:proofErr w:type="gramEnd"/>
      <w:r w:rsidR="00380482">
        <w:rPr>
          <w:rFonts w:ascii="Arial" w:eastAsia="BIZ UDGothic" w:hAnsi="Arial" w:cs="Arial"/>
          <w:szCs w:val="22"/>
        </w:rPr>
        <w:t xml:space="preserve"> </w:t>
      </w:r>
      <w:r w:rsidR="00D33EF8">
        <w:rPr>
          <w:rFonts w:ascii="Arial" w:eastAsia="BIZ UDGothic" w:hAnsi="Arial" w:cs="Arial"/>
          <w:szCs w:val="22"/>
        </w:rPr>
        <w:t xml:space="preserve">longer switching period when using the Rel-18 feature, but </w:t>
      </w:r>
      <w:r w:rsidR="00380482">
        <w:rPr>
          <w:rFonts w:ascii="Arial" w:eastAsia="BIZ UDGothic" w:hAnsi="Arial" w:cs="Arial"/>
          <w:szCs w:val="22"/>
        </w:rPr>
        <w:t xml:space="preserve">shorter switching period </w:t>
      </w:r>
      <w:r w:rsidR="00FF3481">
        <w:rPr>
          <w:rFonts w:ascii="Arial" w:eastAsia="BIZ UDGothic" w:hAnsi="Arial" w:cs="Arial"/>
          <w:szCs w:val="22"/>
        </w:rPr>
        <w:t>when using only Rel-16/17 features).</w:t>
      </w:r>
      <w:r w:rsidR="00A93FD9">
        <w:rPr>
          <w:rFonts w:ascii="Arial" w:eastAsia="BIZ UDGothic" w:hAnsi="Arial" w:cs="Arial"/>
          <w:szCs w:val="22"/>
        </w:rPr>
        <w:t xml:space="preserve"> </w:t>
      </w:r>
    </w:p>
    <w:p w14:paraId="31B5F6D2" w14:textId="77777777" w:rsidR="008D531E" w:rsidRDefault="00DE217E" w:rsidP="00A87FE8">
      <w:pPr>
        <w:jc w:val="both"/>
        <w:rPr>
          <w:rFonts w:ascii="Arial" w:eastAsia="BIZ UDGothic" w:hAnsi="Arial" w:cs="Arial"/>
          <w:szCs w:val="22"/>
        </w:rPr>
      </w:pPr>
      <w:r>
        <w:rPr>
          <w:rFonts w:ascii="Arial" w:eastAsia="BIZ UDGothic" w:hAnsi="Arial" w:cs="Arial"/>
          <w:szCs w:val="22"/>
        </w:rPr>
        <w:t xml:space="preserve">Therefore, </w:t>
      </w:r>
      <w:r w:rsidR="007E6752">
        <w:rPr>
          <w:rFonts w:ascii="Arial" w:eastAsia="BIZ UDGothic" w:hAnsi="Arial" w:cs="Arial"/>
          <w:szCs w:val="22"/>
        </w:rPr>
        <w:t>we should capture this in RAN2 specifications as made also for Rel-16/17: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531E" w:rsidRPr="00E04032" w14:paraId="141C19B5" w14:textId="77777777" w:rsidTr="00E406B9">
        <w:trPr>
          <w:cantSplit/>
          <w:tblHeader/>
        </w:trPr>
        <w:tc>
          <w:tcPr>
            <w:tcW w:w="6917" w:type="dxa"/>
          </w:tcPr>
          <w:p w14:paraId="3D307800" w14:textId="688190A8" w:rsidR="008D531E" w:rsidRPr="00E04032" w:rsidRDefault="00FF3481" w:rsidP="00E406B9">
            <w:pPr>
              <w:keepNext/>
              <w:keepLines/>
              <w:spacing w:after="0"/>
              <w:rPr>
                <w:rFonts w:ascii="Arial" w:hAnsi="Arial"/>
                <w:b/>
                <w:bCs/>
                <w:i/>
                <w:iCs/>
                <w:sz w:val="18"/>
              </w:rPr>
            </w:pPr>
            <w:r>
              <w:rPr>
                <w:rFonts w:ascii="Arial" w:eastAsia="BIZ UDGothic" w:hAnsi="Arial" w:cs="Arial"/>
                <w:szCs w:val="22"/>
              </w:rPr>
              <w:t xml:space="preserve"> </w:t>
            </w:r>
            <w:r w:rsidR="00594CB5">
              <w:rPr>
                <w:rFonts w:ascii="Arial" w:eastAsia="BIZ UDGothic" w:hAnsi="Arial" w:cs="Arial"/>
                <w:szCs w:val="22"/>
              </w:rPr>
              <w:t xml:space="preserve"> </w:t>
            </w:r>
            <w:r w:rsidR="00944405">
              <w:rPr>
                <w:rFonts w:ascii="Arial" w:eastAsia="BIZ UDGothic" w:hAnsi="Arial" w:cs="Arial"/>
                <w:szCs w:val="22"/>
              </w:rPr>
              <w:t xml:space="preserve"> </w:t>
            </w:r>
            <w:r w:rsidR="008D531E" w:rsidRPr="00E04032">
              <w:rPr>
                <w:rFonts w:ascii="Arial" w:hAnsi="Arial"/>
                <w:b/>
                <w:bCs/>
                <w:i/>
                <w:iCs/>
                <w:sz w:val="18"/>
              </w:rPr>
              <w:t>uplinkTxSwitching-</w:t>
            </w:r>
            <w:r w:rsidR="008D531E" w:rsidRPr="00E04032">
              <w:rPr>
                <w:rFonts w:ascii="Arial" w:hAnsi="Arial"/>
                <w:b/>
                <w:bCs/>
                <w:i/>
                <w:iCs/>
                <w:sz w:val="18"/>
                <w:lang w:eastAsia="zh-CN"/>
              </w:rPr>
              <w:t>Option</w:t>
            </w:r>
            <w:r w:rsidR="008D531E" w:rsidRPr="00E04032">
              <w:rPr>
                <w:rFonts w:ascii="Arial" w:hAnsi="Arial"/>
                <w:b/>
                <w:bCs/>
                <w:i/>
                <w:iCs/>
                <w:sz w:val="18"/>
              </w:rPr>
              <w:t>Support2T2T</w:t>
            </w:r>
            <w:r w:rsidR="008D531E" w:rsidRPr="00E04032">
              <w:rPr>
                <w:rFonts w:ascii="Arial" w:hAnsi="Arial" w:cs="Arial"/>
                <w:b/>
                <w:bCs/>
                <w:i/>
                <w:sz w:val="18"/>
                <w:szCs w:val="18"/>
              </w:rPr>
              <w:t>-r17</w:t>
            </w:r>
          </w:p>
          <w:p w14:paraId="07787E22" w14:textId="77777777" w:rsidR="008D531E" w:rsidRPr="00E04032" w:rsidRDefault="008D531E" w:rsidP="00E406B9">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option2 as specified in TS 38.214 [12]. The field is mandatory for inter-band UL CA cases where UE supports dynamic UL 2Tx-2Tx switching. </w:t>
            </w:r>
            <w:r w:rsidRPr="005A4CA0">
              <w:rPr>
                <w:rFonts w:cs="Arial"/>
                <w:szCs w:val="18"/>
                <w:highlight w:val="yellow"/>
                <w:lang w:eastAsia="en-GB"/>
              </w:rPr>
              <w:t xml:space="preserve">The UE indicating support of this feature shall indicate support of at least one common switching option between </w:t>
            </w:r>
            <w:r w:rsidRPr="005A4CA0">
              <w:rPr>
                <w:rFonts w:cs="Arial"/>
                <w:i/>
                <w:iCs/>
                <w:szCs w:val="18"/>
                <w:highlight w:val="yellow"/>
                <w:lang w:eastAsia="en-GB"/>
              </w:rPr>
              <w:t>uplinkTxSwitching-OptionSupport2T2T-r17</w:t>
            </w:r>
            <w:r w:rsidRPr="005A4CA0">
              <w:rPr>
                <w:rFonts w:cs="Arial"/>
                <w:szCs w:val="18"/>
                <w:highlight w:val="yellow"/>
                <w:lang w:eastAsia="en-GB"/>
              </w:rPr>
              <w:t xml:space="preserve"> and </w:t>
            </w:r>
            <w:r w:rsidRPr="005A4CA0">
              <w:rPr>
                <w:rFonts w:cs="Arial"/>
                <w:i/>
                <w:iCs/>
                <w:szCs w:val="18"/>
                <w:highlight w:val="yellow"/>
                <w:lang w:eastAsia="en-GB"/>
              </w:rPr>
              <w:t>uplinkTxSwitching-OptionSupport-r16</w:t>
            </w:r>
            <w:r w:rsidRPr="005A4CA0">
              <w:rPr>
                <w:rFonts w:cs="Arial"/>
                <w:szCs w:val="18"/>
                <w:highlight w:val="yellow"/>
                <w:lang w:eastAsia="en-GB"/>
              </w:rPr>
              <w:t>.</w:t>
            </w:r>
          </w:p>
        </w:tc>
        <w:tc>
          <w:tcPr>
            <w:tcW w:w="709" w:type="dxa"/>
          </w:tcPr>
          <w:p w14:paraId="348B8192" w14:textId="77777777" w:rsidR="008D531E" w:rsidRPr="00E04032" w:rsidRDefault="008D531E" w:rsidP="00E406B9">
            <w:pPr>
              <w:pStyle w:val="TAL"/>
              <w:jc w:val="center"/>
              <w:rPr>
                <w:bCs/>
                <w:iCs/>
                <w:lang w:eastAsia="zh-CN"/>
              </w:rPr>
            </w:pPr>
            <w:r w:rsidRPr="00E04032">
              <w:rPr>
                <w:bCs/>
                <w:iCs/>
                <w:lang w:eastAsia="zh-CN"/>
              </w:rPr>
              <w:t>BC</w:t>
            </w:r>
          </w:p>
        </w:tc>
        <w:tc>
          <w:tcPr>
            <w:tcW w:w="567" w:type="dxa"/>
          </w:tcPr>
          <w:p w14:paraId="66F67FC0" w14:textId="77777777" w:rsidR="008D531E" w:rsidRPr="00E04032" w:rsidRDefault="008D531E" w:rsidP="00E406B9">
            <w:pPr>
              <w:pStyle w:val="TAL"/>
              <w:jc w:val="center"/>
              <w:rPr>
                <w:bCs/>
                <w:iCs/>
                <w:lang w:eastAsia="zh-CN"/>
              </w:rPr>
            </w:pPr>
            <w:r w:rsidRPr="00E04032">
              <w:rPr>
                <w:bCs/>
                <w:iCs/>
                <w:lang w:eastAsia="zh-CN"/>
              </w:rPr>
              <w:t>CY</w:t>
            </w:r>
          </w:p>
        </w:tc>
        <w:tc>
          <w:tcPr>
            <w:tcW w:w="709" w:type="dxa"/>
          </w:tcPr>
          <w:p w14:paraId="198FCE0E" w14:textId="77777777" w:rsidR="008D531E" w:rsidRPr="00E04032" w:rsidRDefault="008D531E" w:rsidP="00E406B9">
            <w:pPr>
              <w:pStyle w:val="TAL"/>
              <w:jc w:val="center"/>
              <w:rPr>
                <w:rFonts w:eastAsia="DengXian"/>
              </w:rPr>
            </w:pPr>
            <w:r w:rsidRPr="00E04032">
              <w:rPr>
                <w:rFonts w:eastAsia="DengXian"/>
              </w:rPr>
              <w:t>N/A</w:t>
            </w:r>
          </w:p>
        </w:tc>
        <w:tc>
          <w:tcPr>
            <w:tcW w:w="728" w:type="dxa"/>
          </w:tcPr>
          <w:p w14:paraId="3CE0B8BE" w14:textId="77777777" w:rsidR="008D531E" w:rsidRPr="00E04032" w:rsidRDefault="008D531E" w:rsidP="00E406B9">
            <w:pPr>
              <w:pStyle w:val="TAL"/>
              <w:jc w:val="center"/>
              <w:rPr>
                <w:lang w:eastAsia="zh-CN"/>
              </w:rPr>
            </w:pPr>
            <w:r w:rsidRPr="00E04032">
              <w:rPr>
                <w:lang w:eastAsia="zh-CN"/>
              </w:rPr>
              <w:t>FR1 only</w:t>
            </w:r>
          </w:p>
        </w:tc>
      </w:tr>
    </w:tbl>
    <w:p w14:paraId="3C80E875" w14:textId="77777777" w:rsidR="008D531E" w:rsidRDefault="008D531E" w:rsidP="004D06D6"/>
    <w:p w14:paraId="7B806D46" w14:textId="6335C98A" w:rsidR="00663615" w:rsidRDefault="009A5D6A" w:rsidP="00B202E5">
      <w:pPr>
        <w:pStyle w:val="Proposal"/>
      </w:pPr>
      <w:bookmarkStart w:id="8" w:name="_Toc134719210"/>
      <w:r w:rsidRPr="009A5D6A">
        <w:t xml:space="preserve">The UE </w:t>
      </w:r>
      <w:r>
        <w:t xml:space="preserve">indicating support of the Rel-18 feature </w:t>
      </w:r>
      <w:r w:rsidR="009B6006">
        <w:t xml:space="preserve">for a given band combination </w:t>
      </w:r>
      <w:r>
        <w:t>shall indicate support of at least one common switching option between</w:t>
      </w:r>
      <w:r w:rsidR="009B6006">
        <w:t xml:space="preserve"> </w:t>
      </w:r>
      <w:r w:rsidR="00BA74E6">
        <w:t>the Rel-18 feature and the Rel-17/16 features.</w:t>
      </w:r>
      <w:bookmarkEnd w:id="8"/>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079578AA" w14:textId="42F60DF1" w:rsidR="00844C42"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4719212" w:history="1">
        <w:r w:rsidR="00844C42" w:rsidRPr="00C25C21">
          <w:rPr>
            <w:rStyle w:val="Hyperlink"/>
            <w:noProof/>
          </w:rPr>
          <w:t>Observation 1</w:t>
        </w:r>
        <w:r w:rsidR="00844C42">
          <w:rPr>
            <w:rFonts w:asciiTheme="minorHAnsi" w:eastAsiaTheme="minorEastAsia" w:hAnsiTheme="minorHAnsi" w:cstheme="minorBidi"/>
            <w:b w:val="0"/>
            <w:noProof/>
            <w:sz w:val="22"/>
            <w:szCs w:val="22"/>
            <w:lang w:val="en-SE" w:eastAsia="en-SE"/>
          </w:rPr>
          <w:tab/>
        </w:r>
        <w:r w:rsidR="00844C42" w:rsidRPr="00C25C21">
          <w:rPr>
            <w:rStyle w:val="Hyperlink"/>
            <w:noProof/>
          </w:rPr>
          <w:t>Due to the signaling structure, RAN2 should discuss how to handle coexistence of Rel-16, Rel-17 and Rel-18 UL Tx switching features.</w:t>
        </w:r>
      </w:hyperlink>
    </w:p>
    <w:p w14:paraId="0C42C5B0" w14:textId="2C75D3BA" w:rsidR="00844C42" w:rsidRDefault="00844C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213" w:history="1">
        <w:r w:rsidRPr="00C25C21">
          <w:rPr>
            <w:rStyle w:val="Hyperlink"/>
            <w:noProof/>
          </w:rPr>
          <w:t>Observation 2</w:t>
        </w:r>
        <w:r>
          <w:rPr>
            <w:rFonts w:asciiTheme="minorHAnsi" w:eastAsiaTheme="minorEastAsia" w:hAnsiTheme="minorHAnsi" w:cstheme="minorBidi"/>
            <w:b w:val="0"/>
            <w:noProof/>
            <w:sz w:val="22"/>
            <w:szCs w:val="22"/>
            <w:lang w:val="en-SE" w:eastAsia="en-SE"/>
          </w:rPr>
          <w:tab/>
        </w:r>
        <w:r w:rsidRPr="00C25C21">
          <w:rPr>
            <w:rStyle w:val="Hyperlink"/>
            <w:noProof/>
          </w:rPr>
          <w:t xml:space="preserve">Combining different “rows of FeatureSets” in </w:t>
        </w:r>
        <w:r w:rsidRPr="00C25C21">
          <w:rPr>
            <w:rStyle w:val="Hyperlink"/>
            <w:i/>
            <w:iCs/>
            <w:noProof/>
          </w:rPr>
          <w:t>FeatureSetCombination</w:t>
        </w:r>
        <w:r w:rsidRPr="00C25C21">
          <w:rPr>
            <w:rStyle w:val="Hyperlink"/>
            <w:noProof/>
          </w:rPr>
          <w:t xml:space="preserve"> changes the logic of the structure of FeatureSetCombination.</w:t>
        </w:r>
      </w:hyperlink>
    </w:p>
    <w:p w14:paraId="78A69FB1" w14:textId="56E0EB3B" w:rsidR="00844C42" w:rsidRDefault="00844C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214" w:history="1">
        <w:r w:rsidRPr="00C25C21">
          <w:rPr>
            <w:rStyle w:val="Hyperlink"/>
            <w:noProof/>
          </w:rPr>
          <w:t>Observation 3</w:t>
        </w:r>
        <w:r>
          <w:rPr>
            <w:rFonts w:asciiTheme="minorHAnsi" w:eastAsiaTheme="minorEastAsia" w:hAnsiTheme="minorHAnsi" w:cstheme="minorBidi"/>
            <w:b w:val="0"/>
            <w:noProof/>
            <w:sz w:val="22"/>
            <w:szCs w:val="22"/>
            <w:lang w:val="en-SE" w:eastAsia="en-SE"/>
          </w:rPr>
          <w:tab/>
        </w:r>
        <w:r w:rsidRPr="00C25C21">
          <w:rPr>
            <w:rStyle w:val="Hyperlink"/>
            <w:noProof/>
          </w:rPr>
          <w:t>It is not sustainable to have different handling of UE capabilities in multiple aspects of UL Tx Switching.</w:t>
        </w:r>
      </w:hyperlink>
    </w:p>
    <w:p w14:paraId="2B493054" w14:textId="426A69B5" w:rsidR="00844C42" w:rsidRDefault="00844C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215" w:history="1">
        <w:r w:rsidRPr="00C25C21">
          <w:rPr>
            <w:rStyle w:val="Hyperlink"/>
            <w:noProof/>
          </w:rPr>
          <w:t>Observation 4</w:t>
        </w:r>
        <w:r>
          <w:rPr>
            <w:rFonts w:asciiTheme="minorHAnsi" w:eastAsiaTheme="minorEastAsia" w:hAnsiTheme="minorHAnsi" w:cstheme="minorBidi"/>
            <w:b w:val="0"/>
            <w:noProof/>
            <w:sz w:val="22"/>
            <w:szCs w:val="22"/>
            <w:lang w:val="en-SE" w:eastAsia="en-SE"/>
          </w:rPr>
          <w:tab/>
        </w:r>
        <w:r w:rsidRPr="00C25C21">
          <w:rPr>
            <w:rStyle w:val="Hyperlink"/>
            <w:noProof/>
          </w:rPr>
          <w:t>Current capability design is already quite flexible with FeatureSetCombination structure and efficient from signaling size point of view.</w:t>
        </w:r>
      </w:hyperlink>
    </w:p>
    <w:p w14:paraId="03676E60" w14:textId="31CFD711" w:rsidR="00B001F1" w:rsidRDefault="00EE4C33" w:rsidP="00B53EA9">
      <w:pPr>
        <w:pStyle w:val="BodyText"/>
        <w:rPr>
          <w:b/>
          <w:bCs/>
        </w:rPr>
      </w:pPr>
      <w:r>
        <w:rPr>
          <w:b/>
          <w:bCs/>
        </w:rPr>
        <w:fldChar w:fldCharType="end"/>
      </w:r>
    </w:p>
    <w:p w14:paraId="1A03EF88" w14:textId="77777777" w:rsidR="00844C42"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408F033" w14:textId="2A2F9144" w:rsidR="00844C42" w:rsidRDefault="00844C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209" w:history="1">
        <w:r w:rsidRPr="00ED21C8">
          <w:rPr>
            <w:rStyle w:val="Hyperlink"/>
            <w:noProof/>
          </w:rPr>
          <w:t>Proposal 1</w:t>
        </w:r>
        <w:r>
          <w:rPr>
            <w:rFonts w:asciiTheme="minorHAnsi" w:eastAsiaTheme="minorEastAsia" w:hAnsiTheme="minorHAnsi" w:cstheme="minorBidi"/>
            <w:b w:val="0"/>
            <w:noProof/>
            <w:sz w:val="22"/>
            <w:szCs w:val="22"/>
            <w:lang w:val="en-SE" w:eastAsia="en-SE"/>
          </w:rPr>
          <w:tab/>
        </w:r>
        <w:r w:rsidRPr="00ED21C8">
          <w:rPr>
            <w:rStyle w:val="Hyperlink"/>
            <w:noProof/>
          </w:rPr>
          <w:t xml:space="preserve">The 3/4 FeatureSetUplink are reported in one “row of FeatureSets” in </w:t>
        </w:r>
        <w:r w:rsidRPr="00ED21C8">
          <w:rPr>
            <w:rStyle w:val="Hyperlink"/>
            <w:i/>
            <w:iCs/>
            <w:noProof/>
          </w:rPr>
          <w:t>FeatureSetCombination</w:t>
        </w:r>
        <w:r w:rsidRPr="00ED21C8">
          <w:rPr>
            <w:rStyle w:val="Hyperlink"/>
            <w:noProof/>
          </w:rPr>
          <w:t xml:space="preserve"> for the 3/4 UL bands involved in Rel-18 UL Tx switching.</w:t>
        </w:r>
      </w:hyperlink>
    </w:p>
    <w:p w14:paraId="05F3AC6C" w14:textId="49BE488A" w:rsidR="00844C42" w:rsidRDefault="00844C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210" w:history="1">
        <w:r w:rsidRPr="00ED21C8">
          <w:rPr>
            <w:rStyle w:val="Hyperlink"/>
            <w:noProof/>
          </w:rPr>
          <w:t>Proposal 2</w:t>
        </w:r>
        <w:r>
          <w:rPr>
            <w:rFonts w:asciiTheme="minorHAnsi" w:eastAsiaTheme="minorEastAsia" w:hAnsiTheme="minorHAnsi" w:cstheme="minorBidi"/>
            <w:b w:val="0"/>
            <w:noProof/>
            <w:sz w:val="22"/>
            <w:szCs w:val="22"/>
            <w:lang w:val="en-SE" w:eastAsia="en-SE"/>
          </w:rPr>
          <w:tab/>
        </w:r>
        <w:r w:rsidRPr="00ED21C8">
          <w:rPr>
            <w:rStyle w:val="Hyperlink"/>
            <w:noProof/>
          </w:rPr>
          <w:t>The UE indicating support of the Rel-18 feature for a given band combination shall indicate support of at least one common switching option between the Rel-18 feature and the Rel-17/16 features.</w:t>
        </w:r>
      </w:hyperlink>
    </w:p>
    <w:p w14:paraId="38FF9E4B" w14:textId="411AE0DA" w:rsidR="00A936B8" w:rsidRPr="003517CB" w:rsidRDefault="006E1C82" w:rsidP="00FF5333">
      <w:pPr>
        <w:pStyle w:val="BodyText"/>
      </w:pPr>
      <w:r>
        <w:rPr>
          <w:b/>
          <w:bCs/>
          <w:lang w:val="en-US"/>
        </w:rPr>
        <w:fldChar w:fldCharType="end"/>
      </w:r>
      <w:r w:rsidR="00010670" w:rsidRPr="00010670">
        <w:t xml:space="preserve"> </w:t>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BIZ UDGothic">
    <w:altName w:val="Yu Gothic"/>
    <w:charset w:val="80"/>
    <w:family w:val="swiss"/>
    <w:pitch w:val="fixed"/>
    <w:sig w:usb0="E00002F7" w:usb1="2AC7EDF8" w:usb2="00000012"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C09B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04B7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5"/>
  </w:num>
  <w:num w:numId="2" w16cid:durableId="1693604285">
    <w:abstractNumId w:val="11"/>
  </w:num>
  <w:num w:numId="3" w16cid:durableId="1906914522">
    <w:abstractNumId w:val="2"/>
  </w:num>
  <w:num w:numId="4" w16cid:durableId="1995797978">
    <w:abstractNumId w:val="16"/>
  </w:num>
  <w:num w:numId="5" w16cid:durableId="308485519">
    <w:abstractNumId w:val="17"/>
  </w:num>
  <w:num w:numId="6" w16cid:durableId="740370154">
    <w:abstractNumId w:val="18"/>
  </w:num>
  <w:num w:numId="7" w16cid:durableId="1870409375">
    <w:abstractNumId w:val="6"/>
  </w:num>
  <w:num w:numId="8" w16cid:durableId="622272714">
    <w:abstractNumId w:val="7"/>
  </w:num>
  <w:num w:numId="9" w16cid:durableId="229121021">
    <w:abstractNumId w:val="5"/>
  </w:num>
  <w:num w:numId="10" w16cid:durableId="191308829">
    <w:abstractNumId w:val="22"/>
  </w:num>
  <w:num w:numId="11" w16cid:durableId="91518336">
    <w:abstractNumId w:val="9"/>
  </w:num>
  <w:num w:numId="12" w16cid:durableId="306664031">
    <w:abstractNumId w:val="20"/>
  </w:num>
  <w:num w:numId="13" w16cid:durableId="1009020563">
    <w:abstractNumId w:val="21"/>
  </w:num>
  <w:num w:numId="14" w16cid:durableId="1138456828">
    <w:abstractNumId w:val="8"/>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19"/>
  </w:num>
  <w:num w:numId="20" w16cid:durableId="1045717569">
    <w:abstractNumId w:val="12"/>
  </w:num>
  <w:num w:numId="21" w16cid:durableId="516038676">
    <w:abstractNumId w:val="10"/>
  </w:num>
  <w:num w:numId="22" w16cid:durableId="1377047458">
    <w:abstractNumId w:val="13"/>
  </w:num>
  <w:num w:numId="23" w16cid:durableId="52471030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091"/>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01"/>
    <w:rsid w:val="00011B28"/>
    <w:rsid w:val="00014846"/>
    <w:rsid w:val="00014F93"/>
    <w:rsid w:val="000154D8"/>
    <w:rsid w:val="00015D15"/>
    <w:rsid w:val="000166DC"/>
    <w:rsid w:val="00016B44"/>
    <w:rsid w:val="0001749C"/>
    <w:rsid w:val="00021224"/>
    <w:rsid w:val="000217AD"/>
    <w:rsid w:val="00021D23"/>
    <w:rsid w:val="00021D47"/>
    <w:rsid w:val="00022763"/>
    <w:rsid w:val="00022A90"/>
    <w:rsid w:val="00023078"/>
    <w:rsid w:val="0002367C"/>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C8F"/>
    <w:rsid w:val="00052D81"/>
    <w:rsid w:val="00052F76"/>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1926"/>
    <w:rsid w:val="00071A9A"/>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5F2"/>
    <w:rsid w:val="000A56F2"/>
    <w:rsid w:val="000A5ABB"/>
    <w:rsid w:val="000A5E59"/>
    <w:rsid w:val="000A5FF8"/>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90"/>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50C4"/>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50A"/>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21F0"/>
    <w:rsid w:val="002328C0"/>
    <w:rsid w:val="0023313B"/>
    <w:rsid w:val="002339EC"/>
    <w:rsid w:val="00235632"/>
    <w:rsid w:val="002356BD"/>
    <w:rsid w:val="00235872"/>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9A"/>
    <w:rsid w:val="003060FB"/>
    <w:rsid w:val="0030626D"/>
    <w:rsid w:val="003065A3"/>
    <w:rsid w:val="00306BB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F5"/>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7380"/>
    <w:rsid w:val="003602D9"/>
    <w:rsid w:val="003604CE"/>
    <w:rsid w:val="00360BC9"/>
    <w:rsid w:val="00361A3F"/>
    <w:rsid w:val="0036217B"/>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5"/>
    <w:rsid w:val="003856D3"/>
    <w:rsid w:val="00385BF0"/>
    <w:rsid w:val="003865A1"/>
    <w:rsid w:val="00386FAE"/>
    <w:rsid w:val="00387287"/>
    <w:rsid w:val="00387714"/>
    <w:rsid w:val="00387867"/>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A15"/>
    <w:rsid w:val="004C0B42"/>
    <w:rsid w:val="004C1262"/>
    <w:rsid w:val="004C3898"/>
    <w:rsid w:val="004C3F4C"/>
    <w:rsid w:val="004C42C1"/>
    <w:rsid w:val="004C444B"/>
    <w:rsid w:val="004C4F8C"/>
    <w:rsid w:val="004C5C78"/>
    <w:rsid w:val="004C6D6F"/>
    <w:rsid w:val="004C6DE3"/>
    <w:rsid w:val="004C7AFC"/>
    <w:rsid w:val="004D013D"/>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2BAA"/>
    <w:rsid w:val="00543B4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407F4"/>
    <w:rsid w:val="006409CE"/>
    <w:rsid w:val="00641088"/>
    <w:rsid w:val="0064151F"/>
    <w:rsid w:val="00641533"/>
    <w:rsid w:val="00641A8B"/>
    <w:rsid w:val="0064208D"/>
    <w:rsid w:val="006428E2"/>
    <w:rsid w:val="00643200"/>
    <w:rsid w:val="00643475"/>
    <w:rsid w:val="0064396A"/>
    <w:rsid w:val="00643DDD"/>
    <w:rsid w:val="006456F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7A2"/>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FB5"/>
    <w:rsid w:val="00687106"/>
    <w:rsid w:val="006877F1"/>
    <w:rsid w:val="006903D3"/>
    <w:rsid w:val="0069173E"/>
    <w:rsid w:val="006935AD"/>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3AA6"/>
    <w:rsid w:val="006B4C8B"/>
    <w:rsid w:val="006B50CF"/>
    <w:rsid w:val="006B63B3"/>
    <w:rsid w:val="006C004B"/>
    <w:rsid w:val="006C03B8"/>
    <w:rsid w:val="006C043A"/>
    <w:rsid w:val="006C135E"/>
    <w:rsid w:val="006C17C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2B5"/>
    <w:rsid w:val="006F1B70"/>
    <w:rsid w:val="006F2F1E"/>
    <w:rsid w:val="006F3253"/>
    <w:rsid w:val="006F341D"/>
    <w:rsid w:val="006F35B9"/>
    <w:rsid w:val="006F3624"/>
    <w:rsid w:val="006F3CDE"/>
    <w:rsid w:val="006F457A"/>
    <w:rsid w:val="006F573C"/>
    <w:rsid w:val="006F58D4"/>
    <w:rsid w:val="006F5C90"/>
    <w:rsid w:val="006F5E74"/>
    <w:rsid w:val="006F62CA"/>
    <w:rsid w:val="006F6582"/>
    <w:rsid w:val="006F6CA5"/>
    <w:rsid w:val="006F6F21"/>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200EB"/>
    <w:rsid w:val="0072091C"/>
    <w:rsid w:val="00720B75"/>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B54"/>
    <w:rsid w:val="00747D8B"/>
    <w:rsid w:val="00750B38"/>
    <w:rsid w:val="00751228"/>
    <w:rsid w:val="00751451"/>
    <w:rsid w:val="00752785"/>
    <w:rsid w:val="00756E18"/>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BFF"/>
    <w:rsid w:val="007C6D45"/>
    <w:rsid w:val="007C75A1"/>
    <w:rsid w:val="007C77A5"/>
    <w:rsid w:val="007D04E5"/>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8F3"/>
    <w:rsid w:val="007F6680"/>
    <w:rsid w:val="007F7C6F"/>
    <w:rsid w:val="00800DAE"/>
    <w:rsid w:val="00801A15"/>
    <w:rsid w:val="008022A7"/>
    <w:rsid w:val="00802A19"/>
    <w:rsid w:val="00802DFD"/>
    <w:rsid w:val="00802E41"/>
    <w:rsid w:val="00802E43"/>
    <w:rsid w:val="00803011"/>
    <w:rsid w:val="00803DEF"/>
    <w:rsid w:val="00803FAE"/>
    <w:rsid w:val="00804148"/>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C42"/>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5C59"/>
    <w:rsid w:val="008C627F"/>
    <w:rsid w:val="008C6AE8"/>
    <w:rsid w:val="008C7573"/>
    <w:rsid w:val="008D00A5"/>
    <w:rsid w:val="008D157C"/>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927"/>
    <w:rsid w:val="008E1909"/>
    <w:rsid w:val="008E23B7"/>
    <w:rsid w:val="008E265B"/>
    <w:rsid w:val="008E45A1"/>
    <w:rsid w:val="008E4C52"/>
    <w:rsid w:val="008E513F"/>
    <w:rsid w:val="008E5418"/>
    <w:rsid w:val="008E5762"/>
    <w:rsid w:val="008E5ADC"/>
    <w:rsid w:val="008E6866"/>
    <w:rsid w:val="008E6E3A"/>
    <w:rsid w:val="008E7D72"/>
    <w:rsid w:val="008E7D76"/>
    <w:rsid w:val="008F0B29"/>
    <w:rsid w:val="008F1EAB"/>
    <w:rsid w:val="008F27DD"/>
    <w:rsid w:val="008F2D67"/>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4935"/>
    <w:rsid w:val="00935A40"/>
    <w:rsid w:val="00935E7B"/>
    <w:rsid w:val="00935EE2"/>
    <w:rsid w:val="0093614B"/>
    <w:rsid w:val="00936875"/>
    <w:rsid w:val="009368F3"/>
    <w:rsid w:val="00936A79"/>
    <w:rsid w:val="00936B41"/>
    <w:rsid w:val="00937CA3"/>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A3F"/>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64E"/>
    <w:rsid w:val="009B5909"/>
    <w:rsid w:val="009B6006"/>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2EA4"/>
    <w:rsid w:val="009D3EB3"/>
    <w:rsid w:val="009D48CC"/>
    <w:rsid w:val="009D4A92"/>
    <w:rsid w:val="009D4FF0"/>
    <w:rsid w:val="009D703C"/>
    <w:rsid w:val="009D718F"/>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1511"/>
    <w:rsid w:val="00A12E0F"/>
    <w:rsid w:val="00A130C2"/>
    <w:rsid w:val="00A13E54"/>
    <w:rsid w:val="00A1429B"/>
    <w:rsid w:val="00A14ED2"/>
    <w:rsid w:val="00A1533E"/>
    <w:rsid w:val="00A15C5E"/>
    <w:rsid w:val="00A17E06"/>
    <w:rsid w:val="00A17F63"/>
    <w:rsid w:val="00A2045A"/>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1B8"/>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C5E"/>
    <w:rsid w:val="00A96BEC"/>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21D"/>
    <w:rsid w:val="00B04A74"/>
    <w:rsid w:val="00B05084"/>
    <w:rsid w:val="00B07DC9"/>
    <w:rsid w:val="00B07F10"/>
    <w:rsid w:val="00B10458"/>
    <w:rsid w:val="00B106A6"/>
    <w:rsid w:val="00B10A86"/>
    <w:rsid w:val="00B10B43"/>
    <w:rsid w:val="00B113FF"/>
    <w:rsid w:val="00B156B7"/>
    <w:rsid w:val="00B157F9"/>
    <w:rsid w:val="00B15AD0"/>
    <w:rsid w:val="00B16157"/>
    <w:rsid w:val="00B20256"/>
    <w:rsid w:val="00B202E5"/>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C24"/>
    <w:rsid w:val="00BB7C73"/>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638C"/>
    <w:rsid w:val="00C07377"/>
    <w:rsid w:val="00C079BA"/>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57D6C"/>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17E"/>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712"/>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7FC"/>
    <w:rsid w:val="00E758EC"/>
    <w:rsid w:val="00E76048"/>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0E2"/>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3AF6"/>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6237"/>
    <w:rsid w:val="00F26D0F"/>
    <w:rsid w:val="00F30270"/>
    <w:rsid w:val="00F30828"/>
    <w:rsid w:val="00F313D6"/>
    <w:rsid w:val="00F31CAE"/>
    <w:rsid w:val="00F31CBF"/>
    <w:rsid w:val="00F32337"/>
    <w:rsid w:val="00F34359"/>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7429"/>
    <w:rsid w:val="00FD004F"/>
    <w:rsid w:val="00FD07F6"/>
    <w:rsid w:val="00FD0DBE"/>
    <w:rsid w:val="00FD184E"/>
    <w:rsid w:val="00FD1EC8"/>
    <w:rsid w:val="00FD2B27"/>
    <w:rsid w:val="00FD32A9"/>
    <w:rsid w:val="00FD3B0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2D3"/>
    <w:rsid w:val="00FF3264"/>
    <w:rsid w:val="00FF3481"/>
    <w:rsid w:val="00FF35AC"/>
    <w:rsid w:val="00FF37C3"/>
    <w:rsid w:val="00FF45A5"/>
    <w:rsid w:val="00FF5247"/>
    <w:rsid w:val="00FF5333"/>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39837087">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D60DB1-03CB-402F-919D-99218978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913694E-B112-4C60-90C2-6D76CB11DFB9}">
  <ds:schemaRefs>
    <ds:schemaRef ds:uri="http://schemas.openxmlformats.org/package/2006/metadata/core-properties"/>
    <ds:schemaRef ds:uri="http://purl.org/dc/elements/1.1/"/>
    <ds:schemaRef ds:uri="http://purl.org/dc/dcmitype/"/>
    <ds:schemaRef ds:uri="http://purl.org/dc/terms/"/>
    <ds:schemaRef ds:uri="http://schemas.microsoft.com/sharepoint/v3"/>
    <ds:schemaRef ds:uri="http://schemas.microsoft.com/office/infopath/2007/PartnerControls"/>
    <ds:schemaRef ds:uri="d8762117-8292-4133-b1c7-eab5c6487cfd"/>
    <ds:schemaRef ds:uri="9b239327-9e80-40e4-b1b7-4394fed77a33"/>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8379</TotalTime>
  <Pages>4</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1681</cp:revision>
  <cp:lastPrinted>2008-02-01T05:09:00Z</cp:lastPrinted>
  <dcterms:created xsi:type="dcterms:W3CDTF">2020-10-16T08:01:00Z</dcterms:created>
  <dcterms:modified xsi:type="dcterms:W3CDTF">2023-05-11T15:39:00Z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