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88CB4" w14:textId="66F9498F" w:rsidR="00EC4CB7" w:rsidRDefault="00EC4CB7" w:rsidP="00EC4CB7">
      <w:pPr>
        <w:pStyle w:val="3GPPHeader"/>
        <w:spacing w:after="60"/>
        <w:rPr>
          <w:sz w:val="32"/>
          <w:szCs w:val="32"/>
          <w:lang w:val="de-DE"/>
        </w:rPr>
      </w:pPr>
      <w:r>
        <w:rPr>
          <w:lang w:val="de-DE"/>
        </w:rPr>
        <w:t>3GPP TSG-RAN WG2 #122</w:t>
      </w:r>
      <w:r>
        <w:rPr>
          <w:lang w:val="de-DE"/>
        </w:rPr>
        <w:tab/>
      </w:r>
      <w:r>
        <w:rPr>
          <w:sz w:val="32"/>
          <w:szCs w:val="32"/>
          <w:lang w:val="de-DE"/>
        </w:rPr>
        <w:t xml:space="preserve">Tdoc </w:t>
      </w:r>
      <w:r w:rsidR="008400E6" w:rsidRPr="008400E6">
        <w:rPr>
          <w:sz w:val="32"/>
          <w:szCs w:val="32"/>
          <w:lang w:val="de-DE"/>
        </w:rPr>
        <w:t>R2-2305839</w:t>
      </w:r>
    </w:p>
    <w:p w14:paraId="4CFA9348" w14:textId="77777777" w:rsidR="00EC4CB7" w:rsidRDefault="00EC4CB7" w:rsidP="00EC4CB7">
      <w:pPr>
        <w:pStyle w:val="3GPPHeader"/>
      </w:pPr>
      <w:r>
        <w:rPr>
          <w:rFonts w:cs="Arial"/>
          <w:szCs w:val="24"/>
        </w:rPr>
        <w:t xml:space="preserve">Incheon, South Korea, May 22 – 26, 2023       </w:t>
      </w:r>
      <w:r>
        <w:rPr>
          <w:rFonts w:cs="Arial"/>
          <w:bCs/>
          <w:noProof/>
          <w:szCs w:val="24"/>
          <w:lang w:eastAsia="ko-KR"/>
        </w:rPr>
        <w:t xml:space="preserve">            </w:t>
      </w:r>
    </w:p>
    <w:p w14:paraId="09D912BF" w14:textId="77777777" w:rsidR="00BC1ED0" w:rsidRDefault="00BC1ED0" w:rsidP="00311702">
      <w:pPr>
        <w:pStyle w:val="3GPPHeader"/>
        <w:rPr>
          <w:sz w:val="22"/>
          <w:szCs w:val="22"/>
          <w:lang w:val="en-US"/>
        </w:rPr>
      </w:pPr>
    </w:p>
    <w:p w14:paraId="7CE64FCB" w14:textId="1BB6118A"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BC5F4B" w:rsidRPr="00BC5F4B">
        <w:rPr>
          <w:sz w:val="22"/>
          <w:szCs w:val="22"/>
          <w:lang w:val="en-US"/>
        </w:rPr>
        <w:t>5</w:t>
      </w:r>
      <w:r w:rsidR="008548BB" w:rsidRPr="00BC5F4B">
        <w:rPr>
          <w:sz w:val="22"/>
          <w:szCs w:val="22"/>
          <w:lang w:val="en-US"/>
        </w:rPr>
        <w:t>.</w:t>
      </w:r>
      <w:r w:rsidR="00BC5F4B" w:rsidRPr="00BC5F4B">
        <w:rPr>
          <w:sz w:val="22"/>
          <w:szCs w:val="22"/>
          <w:lang w:val="en-US"/>
        </w:rPr>
        <w:t>1</w:t>
      </w:r>
      <w:r w:rsidR="008548BB" w:rsidRPr="00BC5F4B">
        <w:rPr>
          <w:sz w:val="22"/>
          <w:szCs w:val="22"/>
          <w:lang w:val="en-US"/>
        </w:rPr>
        <w:t>.</w:t>
      </w:r>
      <w:r w:rsidR="00BC5F4B" w:rsidRPr="00BC5F4B">
        <w:rPr>
          <w:sz w:val="22"/>
          <w:szCs w:val="22"/>
          <w:lang w:val="en-US"/>
        </w:rPr>
        <w:t>3.2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5DE3C6E" w:rsidR="00E854C4" w:rsidRDefault="003D3C45" w:rsidP="00D546FF">
      <w:pPr>
        <w:pStyle w:val="3GPPHeader"/>
        <w:rPr>
          <w:sz w:val="22"/>
          <w:szCs w:val="22"/>
        </w:rPr>
      </w:pPr>
      <w:r>
        <w:rPr>
          <w:sz w:val="22"/>
          <w:szCs w:val="22"/>
        </w:rPr>
        <w:t>Title:</w:t>
      </w:r>
      <w:r w:rsidR="00E90E49" w:rsidRPr="00CE0424">
        <w:rPr>
          <w:sz w:val="22"/>
          <w:szCs w:val="22"/>
        </w:rPr>
        <w:tab/>
      </w:r>
      <w:r w:rsidR="00BC5F4B" w:rsidRPr="00BC5F4B">
        <w:rPr>
          <w:sz w:val="22"/>
          <w:szCs w:val="22"/>
        </w:rPr>
        <w:t>Handling of per-UE parameters for NR-DC</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001D6E25" w14:textId="5E5C688F" w:rsidR="00737AE3" w:rsidRDefault="00DD2A9E" w:rsidP="00C801A7">
      <w:pPr>
        <w:pStyle w:val="BodyText"/>
      </w:pPr>
      <w:bookmarkStart w:id="0" w:name="_Ref178064866"/>
      <w:r>
        <w:t>For parameters defined per band combination, 38.3</w:t>
      </w:r>
      <w:r w:rsidR="000D0361">
        <w:t>31</w:t>
      </w:r>
      <w:r>
        <w:t xml:space="preserve"> has the following clarification on how to handle </w:t>
      </w:r>
      <w:r w:rsidR="00C008AF">
        <w:t>what the UE supports for NR-DC:</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629"/>
      </w:tblGrid>
      <w:tr w:rsidR="00186928" w:rsidRPr="00F43A82" w14:paraId="15FA02D8" w14:textId="77777777" w:rsidTr="00E406B9">
        <w:tc>
          <w:tcPr>
            <w:tcW w:w="14281" w:type="dxa"/>
            <w:tcBorders>
              <w:top w:val="single" w:sz="4" w:space="0" w:color="auto"/>
              <w:left w:val="single" w:sz="4" w:space="0" w:color="auto"/>
              <w:bottom w:val="single" w:sz="4" w:space="0" w:color="auto"/>
              <w:right w:val="single" w:sz="4" w:space="0" w:color="auto"/>
            </w:tcBorders>
            <w:hideMark/>
          </w:tcPr>
          <w:p w14:paraId="188DE0E9" w14:textId="77777777" w:rsidR="00186928" w:rsidRPr="00F43A82" w:rsidRDefault="00186928" w:rsidP="00E406B9">
            <w:pPr>
              <w:pStyle w:val="TAH"/>
              <w:rPr>
                <w:rFonts w:eastAsiaTheme="minorEastAsia"/>
                <w:lang w:eastAsia="sv-SE"/>
              </w:rPr>
            </w:pPr>
            <w:r w:rsidRPr="00F43A82">
              <w:rPr>
                <w:rFonts w:eastAsiaTheme="minorEastAsia"/>
                <w:i/>
                <w:lang w:eastAsia="sv-SE"/>
              </w:rPr>
              <w:t xml:space="preserve">CA-ParametersNRDC </w:t>
            </w:r>
            <w:r w:rsidRPr="00F43A82">
              <w:rPr>
                <w:rFonts w:eastAsiaTheme="minorEastAsia"/>
                <w:lang w:eastAsia="sv-SE"/>
              </w:rPr>
              <w:t>field descriptions</w:t>
            </w:r>
          </w:p>
        </w:tc>
      </w:tr>
      <w:tr w:rsidR="00186928" w:rsidRPr="00F43A82" w14:paraId="49EC26FB" w14:textId="77777777" w:rsidTr="00E406B9">
        <w:tc>
          <w:tcPr>
            <w:tcW w:w="14281" w:type="dxa"/>
            <w:tcBorders>
              <w:top w:val="single" w:sz="4" w:space="0" w:color="auto"/>
              <w:left w:val="single" w:sz="4" w:space="0" w:color="auto"/>
              <w:bottom w:val="single" w:sz="4" w:space="0" w:color="auto"/>
              <w:right w:val="single" w:sz="4" w:space="0" w:color="auto"/>
            </w:tcBorders>
            <w:hideMark/>
          </w:tcPr>
          <w:p w14:paraId="334BD4CA" w14:textId="77777777" w:rsidR="00186928" w:rsidRPr="00F43A82" w:rsidRDefault="00186928" w:rsidP="00E406B9">
            <w:pPr>
              <w:pStyle w:val="TAL"/>
              <w:rPr>
                <w:rFonts w:eastAsiaTheme="minorEastAsia"/>
                <w:b/>
                <w:i/>
                <w:lang w:eastAsia="sv-SE"/>
              </w:rPr>
            </w:pPr>
            <w:r w:rsidRPr="00F43A82">
              <w:rPr>
                <w:rFonts w:eastAsiaTheme="minorEastAsia"/>
                <w:b/>
                <w:i/>
                <w:lang w:eastAsia="sv-SE"/>
              </w:rPr>
              <w:t>ca-ParametersNR-forDC (with and without suffix)</w:t>
            </w:r>
          </w:p>
          <w:p w14:paraId="7F2F0552" w14:textId="77777777" w:rsidR="00186928" w:rsidRPr="00F43A82" w:rsidRDefault="00186928" w:rsidP="00E406B9">
            <w:pPr>
              <w:pStyle w:val="TAL"/>
              <w:rPr>
                <w:rFonts w:eastAsiaTheme="minorEastAsia"/>
                <w:lang w:eastAsia="sv-SE"/>
              </w:rPr>
            </w:pPr>
            <w:r w:rsidRPr="00F43A82">
              <w:rPr>
                <w:rFonts w:eastAsiaTheme="minorEastAsia"/>
                <w:lang w:eastAsia="sv-SE"/>
              </w:rPr>
              <w:t xml:space="preserve">If this field is present for a band combination, it reports the UE capabilities when NR-DC is configured with the band combination. </w:t>
            </w:r>
            <w:r w:rsidRPr="00186928">
              <w:rPr>
                <w:rFonts w:eastAsiaTheme="minorEastAsia"/>
                <w:highlight w:val="yellow"/>
                <w:lang w:eastAsia="sv-SE"/>
              </w:rPr>
              <w:t xml:space="preserve">If a version of this field (i.e., with or without suffix) is absent for a band combination, the corresponding </w:t>
            </w:r>
            <w:r w:rsidRPr="00186928">
              <w:rPr>
                <w:rFonts w:eastAsiaTheme="minorEastAsia"/>
                <w:i/>
                <w:highlight w:val="yellow"/>
                <w:lang w:eastAsia="sv-SE"/>
              </w:rPr>
              <w:t>ca-ParametersNR</w:t>
            </w:r>
            <w:r w:rsidRPr="00186928">
              <w:rPr>
                <w:rFonts w:eastAsiaTheme="minorEastAsia"/>
                <w:highlight w:val="yellow"/>
                <w:lang w:eastAsia="sv-SE"/>
              </w:rPr>
              <w:t xml:space="preserve"> field version in </w:t>
            </w:r>
            <w:r w:rsidRPr="00186928">
              <w:rPr>
                <w:rFonts w:eastAsiaTheme="minorEastAsia"/>
                <w:i/>
                <w:highlight w:val="yellow"/>
                <w:lang w:eastAsia="sv-SE"/>
              </w:rPr>
              <w:t>BandCombination</w:t>
            </w:r>
            <w:r w:rsidRPr="00186928">
              <w:rPr>
                <w:rFonts w:eastAsiaTheme="minorEastAsia"/>
                <w:highlight w:val="yellow"/>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bl>
    <w:p w14:paraId="62D8486E" w14:textId="77777777" w:rsidR="00C008AF" w:rsidRDefault="00C008AF" w:rsidP="00C801A7">
      <w:pPr>
        <w:pStyle w:val="BodyText"/>
      </w:pPr>
    </w:p>
    <w:p w14:paraId="1A2CECAF" w14:textId="0E3D6108" w:rsidR="00B23D1B" w:rsidRDefault="00B23D1B" w:rsidP="00C801A7">
      <w:pPr>
        <w:pStyle w:val="BodyText"/>
      </w:pPr>
      <w:r>
        <w:t xml:space="preserve">However, </w:t>
      </w:r>
      <w:r w:rsidR="003D0155">
        <w:t xml:space="preserve">for per-UE capabilities, it is </w:t>
      </w:r>
      <w:r w:rsidR="00707A9E">
        <w:t xml:space="preserve">ambiguous </w:t>
      </w:r>
      <w:r w:rsidR="003D0155">
        <w:t xml:space="preserve">how to interpret </w:t>
      </w:r>
      <w:r w:rsidR="00707A9E">
        <w:t xml:space="preserve">absence or presence of parameters and hence it remains ambiguous which features a UE supports when configured with </w:t>
      </w:r>
      <w:r w:rsidR="00C412DA">
        <w:t>NR-DC.</w:t>
      </w:r>
      <w:r w:rsidR="00CB133D">
        <w:t xml:space="preserve"> This contribution </w:t>
      </w:r>
      <w:r w:rsidR="006A3312">
        <w:t>further</w:t>
      </w:r>
      <w:r w:rsidR="00CB133D">
        <w:t xml:space="preserve"> discusses this </w:t>
      </w:r>
      <w:r w:rsidR="007579F0">
        <w:t>issue</w:t>
      </w:r>
      <w:r w:rsidR="00CB133D">
        <w:t xml:space="preserve"> and proposes a way forward.</w:t>
      </w:r>
    </w:p>
    <w:p w14:paraId="5DBEDE08" w14:textId="4E4A09E1" w:rsidR="00DD5A14" w:rsidRDefault="001E6463" w:rsidP="00447256">
      <w:pPr>
        <w:pStyle w:val="Heading1"/>
      </w:pPr>
      <w:r>
        <w:t>2</w:t>
      </w:r>
      <w:r>
        <w:tab/>
      </w:r>
      <w:r w:rsidR="004A2491">
        <w:t>Discussion</w:t>
      </w:r>
    </w:p>
    <w:p w14:paraId="28462449" w14:textId="498F135B" w:rsidR="004867EC" w:rsidRDefault="004867EC" w:rsidP="00765C76">
      <w:pPr>
        <w:pStyle w:val="BodyText"/>
      </w:pPr>
      <w:r>
        <w:t>According to 38.331, t</w:t>
      </w:r>
      <w:r w:rsidR="00C502C3">
        <w:t xml:space="preserve">he parameters applicable only to NR-DC are contained in the </w:t>
      </w:r>
      <w:r w:rsidR="00B56F3B">
        <w:rPr>
          <w:i/>
          <w:iCs/>
        </w:rPr>
        <w:t>NRDC</w:t>
      </w:r>
      <w:r w:rsidR="00C502C3" w:rsidRPr="001C16D3">
        <w:rPr>
          <w:i/>
          <w:iCs/>
        </w:rPr>
        <w:t>-</w:t>
      </w:r>
      <w:r w:rsidRPr="001C16D3">
        <w:rPr>
          <w:i/>
          <w:iCs/>
        </w:rPr>
        <w:t>Parameters</w:t>
      </w:r>
      <w:r w:rsidR="0014513C">
        <w:t xml:space="preserve"> IE, </w:t>
      </w:r>
      <w:r w:rsidR="00AD5409">
        <w:t>as described below</w:t>
      </w:r>
      <w:r>
        <w:t>.</w:t>
      </w:r>
    </w:p>
    <w:p w14:paraId="75EAF42B" w14:textId="77777777" w:rsidR="00A416C2" w:rsidRPr="00F43A82" w:rsidRDefault="00A416C2" w:rsidP="00840F46">
      <w:pPr>
        <w:pStyle w:val="Heading4"/>
      </w:pPr>
      <w:bookmarkStart w:id="1" w:name="_Toc60777466"/>
      <w:bookmarkStart w:id="2" w:name="_Toc124713453"/>
      <w:r w:rsidRPr="00F43A82">
        <w:t>–</w:t>
      </w:r>
      <w:r w:rsidRPr="00F43A82">
        <w:tab/>
      </w:r>
      <w:r w:rsidRPr="00F43A82">
        <w:rPr>
          <w:i/>
          <w:noProof/>
        </w:rPr>
        <w:t>NRDC-Parameters</w:t>
      </w:r>
      <w:bookmarkEnd w:id="1"/>
      <w:bookmarkEnd w:id="2"/>
    </w:p>
    <w:p w14:paraId="51A61021" w14:textId="77777777" w:rsidR="00A416C2" w:rsidRDefault="00A416C2" w:rsidP="00840F46">
      <w:r w:rsidRPr="00F43A82">
        <w:t xml:space="preserve">The IE </w:t>
      </w:r>
      <w:r w:rsidRPr="00F43A82">
        <w:rPr>
          <w:i/>
        </w:rPr>
        <w:t>NRDC-Parameters</w:t>
      </w:r>
      <w:r w:rsidRPr="00F43A82">
        <w:t xml:space="preserve"> </w:t>
      </w:r>
      <w:r w:rsidRPr="00AC0E99">
        <w:rPr>
          <w:highlight w:val="yellow"/>
        </w:rPr>
        <w:t>contains parameters specific to NR-DC, i.e., which are not applicable to NR SA.</w:t>
      </w:r>
    </w:p>
    <w:p w14:paraId="6AC59B3A" w14:textId="77777777" w:rsidR="00A416C2" w:rsidRPr="00F43A82" w:rsidRDefault="00A416C2" w:rsidP="00A416C2">
      <w:pPr>
        <w:pStyle w:val="TH"/>
      </w:pPr>
      <w:r w:rsidRPr="00F43A82">
        <w:rPr>
          <w:i/>
        </w:rPr>
        <w:t>NRDC-Parameters</w:t>
      </w:r>
      <w:r w:rsidRPr="00F43A82">
        <w:t xml:space="preserve"> information element</w:t>
      </w:r>
    </w:p>
    <w:p w14:paraId="39E0E6B9" w14:textId="77777777" w:rsidR="00A416C2" w:rsidRPr="00F43A82" w:rsidRDefault="00A416C2" w:rsidP="00A416C2">
      <w:pPr>
        <w:pStyle w:val="PL"/>
        <w:rPr>
          <w:color w:val="808080"/>
        </w:rPr>
      </w:pPr>
      <w:r w:rsidRPr="00F43A82">
        <w:rPr>
          <w:color w:val="808080"/>
        </w:rPr>
        <w:t>-- ASN1START</w:t>
      </w:r>
    </w:p>
    <w:p w14:paraId="04001B5B" w14:textId="77777777" w:rsidR="00A416C2" w:rsidRPr="00F43A82" w:rsidRDefault="00A416C2" w:rsidP="00A416C2">
      <w:pPr>
        <w:pStyle w:val="PL"/>
        <w:rPr>
          <w:color w:val="808080"/>
        </w:rPr>
      </w:pPr>
      <w:r w:rsidRPr="00F43A82">
        <w:rPr>
          <w:color w:val="808080"/>
        </w:rPr>
        <w:t>-- TAG-NRDC-PARAMETERS-START</w:t>
      </w:r>
    </w:p>
    <w:p w14:paraId="132624DD" w14:textId="77777777" w:rsidR="00A416C2" w:rsidRPr="00F43A82" w:rsidRDefault="00A416C2" w:rsidP="00A416C2">
      <w:pPr>
        <w:pStyle w:val="PL"/>
      </w:pPr>
    </w:p>
    <w:p w14:paraId="3960EB9B" w14:textId="77777777" w:rsidR="00A416C2" w:rsidRPr="00F43A82" w:rsidRDefault="00A416C2" w:rsidP="00A416C2">
      <w:pPr>
        <w:pStyle w:val="PL"/>
      </w:pPr>
      <w:r w:rsidRPr="00F43A82">
        <w:t xml:space="preserve">NRDC-Parameters ::=                 </w:t>
      </w:r>
      <w:r w:rsidRPr="00F43A82">
        <w:rPr>
          <w:color w:val="993366"/>
        </w:rPr>
        <w:t>SEQUENCE</w:t>
      </w:r>
      <w:r w:rsidRPr="00F43A82">
        <w:t xml:space="preserve"> {</w:t>
      </w:r>
    </w:p>
    <w:p w14:paraId="563B716C" w14:textId="77777777" w:rsidR="00A416C2" w:rsidRPr="00F43A82" w:rsidRDefault="00A416C2" w:rsidP="00A416C2">
      <w:pPr>
        <w:pStyle w:val="PL"/>
      </w:pPr>
      <w:r w:rsidRPr="00F43A82">
        <w:t xml:space="preserve">    measAndMobParametersNRDC            MeasAndMobParametersMRDC                    </w:t>
      </w:r>
      <w:r w:rsidRPr="00F43A82">
        <w:rPr>
          <w:color w:val="993366"/>
        </w:rPr>
        <w:t>OPTIONAL</w:t>
      </w:r>
      <w:r w:rsidRPr="00F43A82">
        <w:t>,</w:t>
      </w:r>
    </w:p>
    <w:p w14:paraId="417B2D74" w14:textId="77777777" w:rsidR="00A416C2" w:rsidRPr="00F43A82" w:rsidRDefault="00A416C2" w:rsidP="00A416C2">
      <w:pPr>
        <w:pStyle w:val="PL"/>
      </w:pPr>
      <w:r w:rsidRPr="00F43A82">
        <w:t xml:space="preserve">    generalParametersNRDC               GeneralParametersMRDC-XDD-Diff              </w:t>
      </w:r>
      <w:r w:rsidRPr="00F43A82">
        <w:rPr>
          <w:color w:val="993366"/>
        </w:rPr>
        <w:t>OPTIONAL</w:t>
      </w:r>
      <w:r w:rsidRPr="00F43A82">
        <w:t>,</w:t>
      </w:r>
    </w:p>
    <w:p w14:paraId="2D8B803A" w14:textId="77777777" w:rsidR="00A416C2" w:rsidRPr="00F43A82" w:rsidRDefault="00A416C2" w:rsidP="00A416C2">
      <w:pPr>
        <w:pStyle w:val="PL"/>
      </w:pPr>
      <w:r w:rsidRPr="00F43A82">
        <w:t xml:space="preserve">    fdd-Add-UE-NRDC-Capabilities        UE-MRDC-CapabilityAddXDD-Mode               </w:t>
      </w:r>
      <w:r w:rsidRPr="00F43A82">
        <w:rPr>
          <w:color w:val="993366"/>
        </w:rPr>
        <w:t>OPTIONAL</w:t>
      </w:r>
      <w:r w:rsidRPr="00F43A82">
        <w:t>,</w:t>
      </w:r>
    </w:p>
    <w:p w14:paraId="5BC2F6AD" w14:textId="77777777" w:rsidR="00A416C2" w:rsidRPr="00F43A82" w:rsidRDefault="00A416C2" w:rsidP="00A416C2">
      <w:pPr>
        <w:pStyle w:val="PL"/>
      </w:pPr>
      <w:r w:rsidRPr="00F43A82">
        <w:t xml:space="preserve">    tdd-Add-UE-NRDC-Capabilities        UE-MRDC-CapabilityAddXDD-Mode               </w:t>
      </w:r>
      <w:r w:rsidRPr="00F43A82">
        <w:rPr>
          <w:color w:val="993366"/>
        </w:rPr>
        <w:t>OPTIONAL</w:t>
      </w:r>
      <w:r w:rsidRPr="00F43A82">
        <w:t>,</w:t>
      </w:r>
    </w:p>
    <w:p w14:paraId="617E413C" w14:textId="77777777" w:rsidR="00A416C2" w:rsidRPr="00F43A82" w:rsidRDefault="00A416C2" w:rsidP="00A416C2">
      <w:pPr>
        <w:pStyle w:val="PL"/>
      </w:pPr>
      <w:r w:rsidRPr="00F43A82">
        <w:t xml:space="preserve">    fr1-Add-UE-NRDC-Capabilities        UE-MRDC-CapabilityAddFRX-Mode               </w:t>
      </w:r>
      <w:r w:rsidRPr="00F43A82">
        <w:rPr>
          <w:color w:val="993366"/>
        </w:rPr>
        <w:t>OPTIONAL</w:t>
      </w:r>
      <w:r w:rsidRPr="00F43A82">
        <w:t>,</w:t>
      </w:r>
    </w:p>
    <w:p w14:paraId="43997456" w14:textId="77777777" w:rsidR="00A416C2" w:rsidRPr="00F43A82" w:rsidRDefault="00A416C2" w:rsidP="00A416C2">
      <w:pPr>
        <w:pStyle w:val="PL"/>
      </w:pPr>
      <w:r w:rsidRPr="00F43A82">
        <w:t xml:space="preserve">    fr2-Add-UE-NRDC-Capabilities        UE-MRDC-CapabilityAddFRX-Mode               </w:t>
      </w:r>
      <w:r w:rsidRPr="00F43A82">
        <w:rPr>
          <w:color w:val="993366"/>
        </w:rPr>
        <w:t>OPTIONAL</w:t>
      </w:r>
      <w:r w:rsidRPr="00F43A82">
        <w:t>,</w:t>
      </w:r>
    </w:p>
    <w:p w14:paraId="7110E367" w14:textId="77777777" w:rsidR="00A416C2" w:rsidRPr="00F43A82" w:rsidRDefault="00A416C2" w:rsidP="00A416C2">
      <w:pPr>
        <w:pStyle w:val="PL"/>
      </w:pPr>
      <w:r w:rsidRPr="00F43A82">
        <w:t xml:space="preserve">    dummy2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2FF0D04B" w14:textId="77777777" w:rsidR="00A416C2" w:rsidRPr="00F43A82" w:rsidRDefault="00A416C2" w:rsidP="00A416C2">
      <w:pPr>
        <w:pStyle w:val="PL"/>
      </w:pPr>
      <w:r w:rsidRPr="00F43A82">
        <w:t xml:space="preserve">    dummy                               </w:t>
      </w:r>
      <w:r w:rsidRPr="00F43A82">
        <w:rPr>
          <w:color w:val="993366"/>
        </w:rPr>
        <w:t>SEQUENCE</w:t>
      </w:r>
      <w:r w:rsidRPr="00F43A82">
        <w:t xml:space="preserve"> {}                                 </w:t>
      </w:r>
      <w:r w:rsidRPr="00F43A82">
        <w:rPr>
          <w:color w:val="993366"/>
        </w:rPr>
        <w:t>OPTIONAL</w:t>
      </w:r>
    </w:p>
    <w:p w14:paraId="44739A0C" w14:textId="77777777" w:rsidR="00A416C2" w:rsidRPr="00F43A82" w:rsidRDefault="00A416C2" w:rsidP="00A416C2">
      <w:pPr>
        <w:pStyle w:val="PL"/>
      </w:pPr>
      <w:r w:rsidRPr="00F43A82">
        <w:t>}</w:t>
      </w:r>
    </w:p>
    <w:p w14:paraId="21E99F2B" w14:textId="77777777" w:rsidR="00A416C2" w:rsidRPr="00F43A82" w:rsidRDefault="00A416C2" w:rsidP="00A416C2">
      <w:pPr>
        <w:pStyle w:val="PL"/>
      </w:pPr>
    </w:p>
    <w:p w14:paraId="27CEE6E9" w14:textId="77777777" w:rsidR="00A416C2" w:rsidRPr="00F43A82" w:rsidRDefault="00A416C2" w:rsidP="00A416C2"/>
    <w:p w14:paraId="3F61805A" w14:textId="353EBEEC" w:rsidR="00707A9E" w:rsidRDefault="00B06213" w:rsidP="00690C4C">
      <w:pPr>
        <w:pStyle w:val="BodyText"/>
      </w:pPr>
      <w:r>
        <w:lastRenderedPageBreak/>
        <w:t xml:space="preserve">The highlighted description above does not </w:t>
      </w:r>
      <w:r w:rsidR="00707A9E">
        <w:t xml:space="preserve">clarify </w:t>
      </w:r>
      <w:r w:rsidR="005A319B">
        <w:t>whether</w:t>
      </w:r>
      <w:r w:rsidR="00947295">
        <w:t xml:space="preserve"> any of the fields </w:t>
      </w:r>
      <w:r w:rsidR="00D8563A">
        <w:t xml:space="preserve">signaled for NR SA are also applicable for NR-DC, </w:t>
      </w:r>
      <w:r w:rsidR="005569B7">
        <w:t>or whether the IE above overrides any capability signaled for NR SA.</w:t>
      </w:r>
      <w:r w:rsidR="00C83524">
        <w:t xml:space="preserve"> </w:t>
      </w:r>
      <w:r w:rsidR="00862DF6">
        <w:t xml:space="preserve">For instance, </w:t>
      </w:r>
      <w:r w:rsidR="000C0C4E">
        <w:t xml:space="preserve">the field </w:t>
      </w:r>
      <w:r w:rsidR="000C0C4E" w:rsidRPr="000C0C4E">
        <w:rPr>
          <w:i/>
          <w:iCs/>
        </w:rPr>
        <w:t>independentGapConfig</w:t>
      </w:r>
      <w:r w:rsidR="000C0C4E">
        <w:t xml:space="preserve"> </w:t>
      </w:r>
      <w:r w:rsidR="00070194">
        <w:t>is present in both</w:t>
      </w:r>
      <w:r w:rsidR="000C0C4E" w:rsidRPr="000C0C4E">
        <w:t xml:space="preserve"> </w:t>
      </w:r>
    </w:p>
    <w:p w14:paraId="1A260E18" w14:textId="1972BC5A" w:rsidR="00707A9E" w:rsidRDefault="000C0C4E" w:rsidP="00707A9E">
      <w:pPr>
        <w:pStyle w:val="ListBullet"/>
      </w:pPr>
      <w:r w:rsidRPr="00BA2D6F">
        <w:rPr>
          <w:i/>
          <w:iCs/>
        </w:rPr>
        <w:t>UE-NR-Capability</w:t>
      </w:r>
      <w:r w:rsidRPr="000C0C4E">
        <w:t>-&gt;</w:t>
      </w:r>
      <w:r w:rsidRPr="00BA2D6F">
        <w:rPr>
          <w:i/>
          <w:iCs/>
        </w:rPr>
        <w:t>measAndMobParameters</w:t>
      </w:r>
      <w:r w:rsidRPr="000C0C4E">
        <w:t xml:space="preserve"> </w:t>
      </w:r>
      <w:r w:rsidR="00707A9E">
        <w:t xml:space="preserve">-&gt; </w:t>
      </w:r>
      <w:r w:rsidR="00707A9E" w:rsidRPr="000C0C4E">
        <w:rPr>
          <w:i/>
          <w:iCs/>
        </w:rPr>
        <w:t>independentGapConfig</w:t>
      </w:r>
    </w:p>
    <w:p w14:paraId="204C1EE1" w14:textId="1F083D58" w:rsidR="00707A9E" w:rsidRDefault="00BA2D6F" w:rsidP="00707A9E">
      <w:pPr>
        <w:pStyle w:val="BodyText"/>
      </w:pPr>
      <w:r>
        <w:t xml:space="preserve">and in </w:t>
      </w:r>
    </w:p>
    <w:p w14:paraId="1A6E2CD2" w14:textId="04999641" w:rsidR="00707A9E" w:rsidRDefault="000C0C4E" w:rsidP="00707A9E">
      <w:pPr>
        <w:pStyle w:val="ListBullet"/>
      </w:pPr>
      <w:r w:rsidRPr="00BA2D6F">
        <w:rPr>
          <w:i/>
          <w:iCs/>
        </w:rPr>
        <w:t>UE-NR-Capability</w:t>
      </w:r>
      <w:r w:rsidRPr="000C0C4E">
        <w:t>-&gt;</w:t>
      </w:r>
      <w:r w:rsidRPr="00BA2D6F">
        <w:rPr>
          <w:i/>
          <w:iCs/>
        </w:rPr>
        <w:t>nrdc-Parameters</w:t>
      </w:r>
      <w:r w:rsidRPr="000C0C4E">
        <w:t>-&gt;</w:t>
      </w:r>
      <w:r w:rsidRPr="00BA2D6F">
        <w:rPr>
          <w:i/>
          <w:iCs/>
        </w:rPr>
        <w:t>measAndMobParametersNRDC</w:t>
      </w:r>
      <w:r w:rsidR="00707A9E">
        <w:rPr>
          <w:i/>
          <w:iCs/>
        </w:rPr>
        <w:t xml:space="preserve"> -&gt; </w:t>
      </w:r>
      <w:r w:rsidR="00707A9E" w:rsidRPr="000C0C4E">
        <w:rPr>
          <w:i/>
          <w:iCs/>
        </w:rPr>
        <w:t>independentGapConfig</w:t>
      </w:r>
    </w:p>
    <w:p w14:paraId="4FBB01F7" w14:textId="2FDC67D7" w:rsidR="00690C4C" w:rsidRDefault="00707A9E" w:rsidP="00707A9E">
      <w:pPr>
        <w:pStyle w:val="BodyText"/>
      </w:pPr>
      <w:r>
        <w:t xml:space="preserve">It </w:t>
      </w:r>
      <w:r w:rsidR="00EE575E">
        <w:t xml:space="preserve">is not clear if the same logic </w:t>
      </w:r>
      <w:r w:rsidR="00222074">
        <w:t xml:space="preserve">as </w:t>
      </w:r>
      <w:r w:rsidR="0099746C">
        <w:t xml:space="preserve">for </w:t>
      </w:r>
      <w:r w:rsidR="0099746C" w:rsidRPr="0099746C">
        <w:rPr>
          <w:i/>
          <w:iCs/>
        </w:rPr>
        <w:t>ca-ParametersNR-forDC</w:t>
      </w:r>
      <w:r w:rsidR="002B6707">
        <w:t xml:space="preserve"> </w:t>
      </w:r>
      <w:r w:rsidR="00222074">
        <w:t xml:space="preserve">should be applied (see </w:t>
      </w:r>
      <w:r w:rsidR="00792D58">
        <w:t xml:space="preserve">highlighted part in </w:t>
      </w:r>
      <w:r w:rsidR="00222074">
        <w:t>field description</w:t>
      </w:r>
      <w:r w:rsidR="00792D58">
        <w:t xml:space="preserve"> in Introduction section</w:t>
      </w:r>
      <w:r w:rsidR="00222074">
        <w:t>)</w:t>
      </w:r>
      <w:r>
        <w:t>.</w:t>
      </w:r>
      <w:r w:rsidR="0099746C">
        <w:t xml:space="preserve"> </w:t>
      </w:r>
      <w:r>
        <w:t xml:space="preserve">In other words, it is unclear whether a UE that supports NR-DC </w:t>
      </w:r>
      <w:r w:rsidR="00A07CF5">
        <w:t xml:space="preserve">and that </w:t>
      </w:r>
      <w:r>
        <w:t xml:space="preserve">sets </w:t>
      </w:r>
      <w:r w:rsidR="00A07CF5">
        <w:t>“</w:t>
      </w:r>
      <w:r w:rsidR="00A07CF5" w:rsidRPr="00A07CF5">
        <w:rPr>
          <w:i/>
          <w:iCs/>
        </w:rPr>
        <w:t>UE-NR-Capability-&gt;measAndMobParameters -&gt; independentGapConfig</w:t>
      </w:r>
      <w:r w:rsidR="00A07CF5">
        <w:t>” but omits the entire “</w:t>
      </w:r>
      <w:r w:rsidR="00A07CF5" w:rsidRPr="00BA2D6F">
        <w:rPr>
          <w:i/>
          <w:iCs/>
        </w:rPr>
        <w:t>UE-NR-Capability</w:t>
      </w:r>
      <w:r w:rsidR="00A07CF5" w:rsidRPr="000C0C4E">
        <w:t>-&gt;</w:t>
      </w:r>
      <w:r w:rsidR="00A07CF5" w:rsidRPr="00BA2D6F">
        <w:rPr>
          <w:i/>
          <w:iCs/>
        </w:rPr>
        <w:t>nrdc-Parameters</w:t>
      </w:r>
      <w:r w:rsidR="00A07CF5" w:rsidRPr="000C0C4E">
        <w:t>-&gt;</w:t>
      </w:r>
      <w:r w:rsidR="00A07CF5" w:rsidRPr="00BA2D6F">
        <w:rPr>
          <w:i/>
          <w:iCs/>
        </w:rPr>
        <w:t>measAndMobParametersNRDC</w:t>
      </w:r>
      <w:r w:rsidR="00A07CF5">
        <w:t xml:space="preserve">” supports independent gaps when running NR-DC. According to the </w:t>
      </w:r>
      <w:r w:rsidR="00C82A3C">
        <w:t>rules for “</w:t>
      </w:r>
      <w:r w:rsidR="00C82A3C" w:rsidRPr="00C82A3C">
        <w:t>ca-ParametersNR-forDC</w:t>
      </w:r>
      <w:r w:rsidR="00C82A3C">
        <w:t xml:space="preserve">” it would have to support it. But we did not find any statement in the specification confirming this. </w:t>
      </w:r>
    </w:p>
    <w:p w14:paraId="23336544" w14:textId="77777777" w:rsidR="005D4290" w:rsidRDefault="00484412" w:rsidP="003B3D6C">
      <w:pPr>
        <w:pStyle w:val="BodyText"/>
      </w:pPr>
      <w:r>
        <w:t xml:space="preserve">It should be noted that </w:t>
      </w:r>
      <w:r w:rsidR="00D004BA">
        <w:t>the fields “</w:t>
      </w:r>
      <w:r w:rsidR="00D004BA" w:rsidRPr="00BA2D6F">
        <w:rPr>
          <w:i/>
          <w:iCs/>
        </w:rPr>
        <w:t>UE-NR-Capability</w:t>
      </w:r>
      <w:r w:rsidR="00D004BA" w:rsidRPr="000C0C4E">
        <w:t>-&gt;</w:t>
      </w:r>
      <w:r w:rsidR="00D004BA" w:rsidRPr="00D004BA">
        <w:rPr>
          <w:b/>
          <w:bCs/>
          <w:i/>
          <w:iCs/>
        </w:rPr>
        <w:t>measAndMobParameters</w:t>
      </w:r>
      <w:r w:rsidR="00D004BA">
        <w:t xml:space="preserve">” and for </w:t>
      </w:r>
      <w:r w:rsidR="00D004BA" w:rsidRPr="00BA2D6F">
        <w:rPr>
          <w:i/>
          <w:iCs/>
        </w:rPr>
        <w:t>UE-NR-Capability</w:t>
      </w:r>
      <w:r w:rsidR="00D004BA" w:rsidRPr="000C0C4E">
        <w:t>-&gt;</w:t>
      </w:r>
      <w:r w:rsidR="00D004BA" w:rsidRPr="00BA2D6F">
        <w:rPr>
          <w:i/>
          <w:iCs/>
        </w:rPr>
        <w:t>nrdc-Parameters</w:t>
      </w:r>
      <w:r w:rsidR="00D004BA" w:rsidRPr="000C0C4E">
        <w:t>-&gt;</w:t>
      </w:r>
      <w:r w:rsidR="00D004BA" w:rsidRPr="00D004BA">
        <w:rPr>
          <w:b/>
          <w:bCs/>
          <w:i/>
          <w:iCs/>
        </w:rPr>
        <w:t>measAndMobParametersNRDC</w:t>
      </w:r>
      <w:r w:rsidR="00D004BA" w:rsidRPr="00D004BA">
        <w:t>”</w:t>
      </w:r>
      <w:r w:rsidR="003B3D6C">
        <w:t xml:space="preserve"> </w:t>
      </w:r>
      <w:r w:rsidR="00D004BA">
        <w:t>do not use the same ASN.1 types.</w:t>
      </w:r>
      <w:r w:rsidR="00115CCC">
        <w:t xml:space="preserve"> The latter contains only </w:t>
      </w:r>
      <w:r w:rsidR="00E813C4">
        <w:t xml:space="preserve">the fields for which a “per-DC” distinction is allowed. </w:t>
      </w:r>
      <w:r w:rsidR="003B3D6C">
        <w:t xml:space="preserve">The same applies to other branches of the </w:t>
      </w:r>
      <w:r w:rsidR="003B3D6C" w:rsidRPr="003B3D6C">
        <w:rPr>
          <w:i/>
          <w:iCs/>
        </w:rPr>
        <w:t>UE-NR-Capability</w:t>
      </w:r>
      <w:r w:rsidR="003B3D6C" w:rsidRPr="003B3D6C">
        <w:t xml:space="preserve"> </w:t>
      </w:r>
      <w:r w:rsidR="003B3D6C">
        <w:t xml:space="preserve">and the </w:t>
      </w:r>
      <w:r w:rsidR="003B3D6C" w:rsidRPr="003B3D6C">
        <w:rPr>
          <w:i/>
          <w:iCs/>
        </w:rPr>
        <w:t>NR-DC-Parameters</w:t>
      </w:r>
      <w:r w:rsidR="003B3D6C">
        <w:t xml:space="preserve">. Naturally, the capabilities that occur only in the main branch are true “per-UE capabilities” whereas the UE may differentiate for the ones in </w:t>
      </w:r>
      <w:r w:rsidR="003B3D6C" w:rsidRPr="003B3D6C">
        <w:rPr>
          <w:i/>
          <w:iCs/>
        </w:rPr>
        <w:t>NR-DC-Parameters</w:t>
      </w:r>
      <w:r w:rsidR="003B3D6C" w:rsidDel="00080D8F">
        <w:t xml:space="preserve"> </w:t>
      </w:r>
      <w:proofErr w:type="gramStart"/>
      <w:r w:rsidR="003B3D6C">
        <w:t>whether or not</w:t>
      </w:r>
      <w:proofErr w:type="gramEnd"/>
      <w:r w:rsidR="003B3D6C">
        <w:t xml:space="preserve"> it supports them in NR-DC, too. </w:t>
      </w:r>
    </w:p>
    <w:p w14:paraId="1F67CBF2" w14:textId="48BC2F82" w:rsidR="008520BC" w:rsidRDefault="005D4290" w:rsidP="003B3D6C">
      <w:pPr>
        <w:pStyle w:val="BodyText"/>
      </w:pPr>
      <w:r w:rsidRPr="003D1CF8">
        <w:rPr>
          <w:b/>
          <w:bCs/>
        </w:rPr>
        <w:t>In the following we discuss only the handling of the capability bits that occur both inside and outside the NR-DC-Parameters</w:t>
      </w:r>
      <w:r w:rsidR="003D1CF8">
        <w:t xml:space="preserve"> (not the true per-UE capabilities)</w:t>
      </w:r>
      <w:r>
        <w:t xml:space="preserve">. </w:t>
      </w:r>
    </w:p>
    <w:p w14:paraId="01FAC8D4" w14:textId="77012DD1" w:rsidR="008520BC" w:rsidRDefault="002E6E94" w:rsidP="00690C4C">
      <w:pPr>
        <w:pStyle w:val="BodyText"/>
      </w:pPr>
      <w:r>
        <w:t xml:space="preserve">For fields that can be signaled both inside and outside </w:t>
      </w:r>
      <w:r w:rsidR="00BE0D40" w:rsidRPr="000C20F2">
        <w:rPr>
          <w:i/>
          <w:iCs/>
        </w:rPr>
        <w:t>NRDC-Parameters</w:t>
      </w:r>
      <w:r w:rsidR="00BE0D40">
        <w:t xml:space="preserve"> IE (</w:t>
      </w:r>
      <w:proofErr w:type="gramStart"/>
      <w:r w:rsidR="00BE0D40">
        <w:t>e.g.</w:t>
      </w:r>
      <w:proofErr w:type="gramEnd"/>
      <w:r w:rsidR="00BE0D40">
        <w:t xml:space="preserve"> as </w:t>
      </w:r>
      <w:r w:rsidR="009D0F17" w:rsidRPr="000C0C4E">
        <w:rPr>
          <w:i/>
          <w:iCs/>
        </w:rPr>
        <w:t>independentGapConfig</w:t>
      </w:r>
      <w:r w:rsidR="009D0F17">
        <w:t xml:space="preserve">), </w:t>
      </w:r>
      <w:r w:rsidR="00D62E69">
        <w:t xml:space="preserve">a rule should be defined on how to </w:t>
      </w:r>
      <w:r w:rsidR="00A060E9">
        <w:t xml:space="preserve">derive the UE support for </w:t>
      </w:r>
      <w:r w:rsidR="003B3D6C">
        <w:t xml:space="preserve">these features when the UE is configured with </w:t>
      </w:r>
      <w:r w:rsidR="00A060E9">
        <w:t>NR-DC.</w:t>
      </w:r>
      <w:r w:rsidR="00F07374">
        <w:t xml:space="preserve"> There </w:t>
      </w:r>
      <w:r w:rsidR="00613BFE">
        <w:t>could be two interpretations</w:t>
      </w:r>
      <w:r w:rsidR="008031A8">
        <w:t xml:space="preserve"> f</w:t>
      </w:r>
      <w:r w:rsidR="008031A8" w:rsidRPr="008031A8">
        <w:t xml:space="preserve">or capability parameter </w:t>
      </w:r>
      <w:r w:rsidR="003D1CF8">
        <w:t xml:space="preserve">that </w:t>
      </w:r>
      <w:r w:rsidR="008031A8" w:rsidRPr="008031A8">
        <w:t>exist both inside and outside of NR-DC-Parameters</w:t>
      </w:r>
      <w:r w:rsidR="00613BFE">
        <w:t>:</w:t>
      </w:r>
    </w:p>
    <w:p w14:paraId="31B31AB8" w14:textId="2C75F19F" w:rsidR="00D354E3" w:rsidRDefault="008031A8" w:rsidP="00CA122D">
      <w:pPr>
        <w:pStyle w:val="BodyText"/>
        <w:numPr>
          <w:ilvl w:val="0"/>
          <w:numId w:val="22"/>
        </w:numPr>
      </w:pPr>
      <w:r>
        <w:t xml:space="preserve">The </w:t>
      </w:r>
      <w:r w:rsidRPr="008031A8">
        <w:t xml:space="preserve">capability parameter </w:t>
      </w:r>
      <w:r w:rsidRPr="008031A8">
        <w:rPr>
          <w:b/>
          <w:bCs/>
        </w:rPr>
        <w:t xml:space="preserve">outside </w:t>
      </w:r>
      <w:r w:rsidRPr="008031A8">
        <w:t xml:space="preserve">NR-DC-Parameters </w:t>
      </w:r>
      <w:r>
        <w:t xml:space="preserve">determines whether the UE supports the feature </w:t>
      </w:r>
      <w:r w:rsidRPr="008031A8">
        <w:rPr>
          <w:b/>
          <w:bCs/>
        </w:rPr>
        <w:t>when not configured with NR-DC</w:t>
      </w:r>
      <w:r w:rsidRPr="008031A8">
        <w:rPr>
          <w:u w:val="single"/>
        </w:rPr>
        <w:t>, and</w:t>
      </w:r>
      <w:r>
        <w:br/>
        <w:t xml:space="preserve">the </w:t>
      </w:r>
      <w:r w:rsidRPr="008031A8">
        <w:t xml:space="preserve">capability parameter </w:t>
      </w:r>
      <w:r w:rsidRPr="008031A8">
        <w:rPr>
          <w:b/>
          <w:bCs/>
        </w:rPr>
        <w:t xml:space="preserve">inside </w:t>
      </w:r>
      <w:r w:rsidRPr="008031A8">
        <w:t xml:space="preserve">NR-DC-Parameters </w:t>
      </w:r>
      <w:r>
        <w:t xml:space="preserve">determines whether (or not) the UE supports the feature </w:t>
      </w:r>
      <w:r w:rsidRPr="008031A8">
        <w:rPr>
          <w:b/>
          <w:bCs/>
        </w:rPr>
        <w:t>when configured with NR-DC</w:t>
      </w:r>
      <w:r>
        <w:br/>
      </w:r>
      <w:r w:rsidR="001E4994">
        <w:t xml:space="preserve">. </w:t>
      </w:r>
    </w:p>
    <w:p w14:paraId="5464372C" w14:textId="45429213" w:rsidR="00B2769B" w:rsidRDefault="00613BFE" w:rsidP="00CA122D">
      <w:pPr>
        <w:pStyle w:val="BodyText"/>
        <w:numPr>
          <w:ilvl w:val="0"/>
          <w:numId w:val="22"/>
        </w:numPr>
      </w:pPr>
      <w:r>
        <w:t xml:space="preserve">The same logic as for </w:t>
      </w:r>
      <w:r w:rsidR="00EA42EE" w:rsidRPr="00055F4F">
        <w:rPr>
          <w:i/>
          <w:iCs/>
        </w:rPr>
        <w:t>ca-ParametersNR-forDC</w:t>
      </w:r>
      <w:r w:rsidR="00EA42EE" w:rsidRPr="00EA42EE">
        <w:t xml:space="preserve"> </w:t>
      </w:r>
      <w:r w:rsidR="00EA42EE">
        <w:t>is used</w:t>
      </w:r>
      <w:r w:rsidR="008031A8">
        <w:t xml:space="preserve">: </w:t>
      </w:r>
      <w:r w:rsidR="00FB3E00" w:rsidRPr="00FB3E00">
        <w:t>If a field is present</w:t>
      </w:r>
      <w:r w:rsidR="00055F4F">
        <w:t xml:space="preserve"> in </w:t>
      </w:r>
      <w:r w:rsidR="00055F4F" w:rsidRPr="00055F4F">
        <w:rPr>
          <w:i/>
          <w:iCs/>
        </w:rPr>
        <w:t>NRDC-Parameters</w:t>
      </w:r>
      <w:r w:rsidR="00055F4F">
        <w:t xml:space="preserve"> </w:t>
      </w:r>
      <w:r w:rsidR="00FB3E00" w:rsidRPr="00FB3E00">
        <w:t>but does not contain any parameters, the UE does not support the corresponding field when configured with NR-DC</w:t>
      </w:r>
      <w:r w:rsidR="00055F4F">
        <w:t>.</w:t>
      </w:r>
      <w:r w:rsidR="00A132BA">
        <w:br/>
      </w:r>
      <w:r w:rsidR="00282A46">
        <w:t xml:space="preserve">If a sequence of capability parameters (e.g. </w:t>
      </w:r>
      <w:r w:rsidR="00282A46" w:rsidRPr="00282A46">
        <w:t>measAndMobParameters</w:t>
      </w:r>
      <w:r w:rsidR="00282A46">
        <w:t xml:space="preserve">) is present but the corresponding sequence in NR-DC-Parameters (e.g. </w:t>
      </w:r>
      <w:r w:rsidR="00282A46" w:rsidRPr="00282A46">
        <w:t>measAndMobParametersNRDC</w:t>
      </w:r>
      <w:r w:rsidR="00282A46">
        <w:t xml:space="preserve">) is not, the capability parameters in the former determine the feature support for both configurations with and without NR-DC, </w:t>
      </w:r>
      <w:r w:rsidR="00282A46">
        <w:br/>
        <w:t xml:space="preserve">else, If a sequence of capability parameters (e.g. </w:t>
      </w:r>
      <w:r w:rsidR="00282A46" w:rsidRPr="00282A46">
        <w:t>measAndMobParameters</w:t>
      </w:r>
      <w:r w:rsidR="00282A46">
        <w:t xml:space="preserve">) is present and the corresponding sequence in NR-DC-Parameters (e.g. </w:t>
      </w:r>
      <w:r w:rsidR="00282A46" w:rsidRPr="00282A46">
        <w:t>measAndMobParametersNRDC</w:t>
      </w:r>
      <w:r w:rsidR="00282A46">
        <w:t>) is present, too, the capability parameters in the former determine the feature support for configurations without NR-DC whereas the capability parameters in the latter determine the feature support for configurations with NR-DC.</w:t>
      </w:r>
    </w:p>
    <w:p w14:paraId="5D3A35F0" w14:textId="50D4F9B2" w:rsidR="001F1294" w:rsidRDefault="00EE6290" w:rsidP="00B2769B">
      <w:pPr>
        <w:pStyle w:val="BodyText"/>
      </w:pPr>
      <w:r>
        <w:t xml:space="preserve">As the outlined rules show, the first interpretation </w:t>
      </w:r>
      <w:r w:rsidR="00BC54ED">
        <w:t xml:space="preserve">is simpler. It also avoids ambiguities that could arise with the second interpretation </w:t>
      </w:r>
      <w:r w:rsidR="003D1CF8">
        <w:t>since</w:t>
      </w:r>
      <w:r w:rsidR="00BC54ED">
        <w:t xml:space="preserve"> the “parent IEs” in the two branches are not of the same IE type and that it is hence not obvious absence of which “container” results in implicit support according to the per-UE capability bit. Most importantly, </w:t>
      </w:r>
      <w:proofErr w:type="gramStart"/>
      <w:r w:rsidR="00BC54ED">
        <w:t xml:space="preserve">though, </w:t>
      </w:r>
      <w:r w:rsidR="002A52B7">
        <w:t xml:space="preserve"> inter</w:t>
      </w:r>
      <w:proofErr w:type="gramEnd"/>
      <w:r w:rsidR="002A52B7">
        <w:t>-operability</w:t>
      </w:r>
      <w:r w:rsidR="00784A15">
        <w:t xml:space="preserve"> issues </w:t>
      </w:r>
      <w:r w:rsidR="00BC54ED">
        <w:t xml:space="preserve">are more likely and more severe </w:t>
      </w:r>
      <w:r w:rsidR="00784A15">
        <w:t xml:space="preserve">with interpretation 2: </w:t>
      </w:r>
      <w:r w:rsidR="002A52B7">
        <w:t>if the network adopts interpretation 2 and the UE adopt</w:t>
      </w:r>
      <w:r w:rsidR="00BC54ED">
        <w:t>ed</w:t>
      </w:r>
      <w:r w:rsidR="002A52B7">
        <w:t xml:space="preserve"> interpretation 1, </w:t>
      </w:r>
      <w:r w:rsidR="00012E8F">
        <w:t>the network may attempt to configure the UE in NR-DC with a feature that the UE does not support in NR-DC</w:t>
      </w:r>
      <w:r w:rsidR="001F628A">
        <w:t>, leading to configuration failure</w:t>
      </w:r>
      <w:r w:rsidR="00BC54ED">
        <w:t>.</w:t>
      </w:r>
      <w:r w:rsidR="00BC54ED" w:rsidDel="00BC54ED">
        <w:t xml:space="preserve"> </w:t>
      </w:r>
      <w:r w:rsidR="00BC54ED">
        <w:t>I</w:t>
      </w:r>
      <w:r w:rsidR="00012E8F">
        <w:t>f the network adopts interpretation 1 and the UE adopt</w:t>
      </w:r>
      <w:r w:rsidR="00BC54ED">
        <w:t>ed</w:t>
      </w:r>
      <w:r w:rsidR="00012E8F">
        <w:t xml:space="preserve"> interpretation 2, the </w:t>
      </w:r>
      <w:r w:rsidR="00BF2B27">
        <w:t xml:space="preserve">network may </w:t>
      </w:r>
      <w:r w:rsidR="00BC54ED">
        <w:t xml:space="preserve">unnecessarily </w:t>
      </w:r>
      <w:r w:rsidR="00843684">
        <w:t xml:space="preserve">refrain from configuring the UE in NR-DC with a feature that the UE </w:t>
      </w:r>
      <w:r w:rsidR="00BC54ED">
        <w:t xml:space="preserve">would have </w:t>
      </w:r>
      <w:r w:rsidR="00843684">
        <w:t>support</w:t>
      </w:r>
      <w:r w:rsidR="00BF2B27">
        <w:t>.</w:t>
      </w:r>
      <w:r w:rsidR="00BC54ED">
        <w:t xml:space="preserve"> Obviously, the latter is far less severe.</w:t>
      </w:r>
    </w:p>
    <w:p w14:paraId="5DC9B2F9" w14:textId="537A5112" w:rsidR="0043347A" w:rsidRDefault="003D1CF8" w:rsidP="00DC2B1D">
      <w:pPr>
        <w:pStyle w:val="Proposal"/>
      </w:pPr>
      <w:bookmarkStart w:id="3" w:name="_Toc134713742"/>
      <w:r>
        <w:t xml:space="preserve">Clarify in 38.306 that </w:t>
      </w:r>
      <w:r w:rsidRPr="003D1CF8">
        <w:t>capability parameter</w:t>
      </w:r>
      <w:r w:rsidR="006656ED">
        <w:t>s</w:t>
      </w:r>
      <w:r w:rsidRPr="003D1CF8">
        <w:t xml:space="preserve"> </w:t>
      </w:r>
      <w:r>
        <w:t xml:space="preserve">that </w:t>
      </w:r>
      <w:r w:rsidRPr="003D1CF8">
        <w:t>exist both inside and outside of NR-DC-Parameters</w:t>
      </w:r>
      <w:r w:rsidR="00D02D8C">
        <w:t>:</w:t>
      </w:r>
      <w:r>
        <w:br/>
        <w:t xml:space="preserve">the capability parameter outside NR-DC-Parameters determines whether (or not) the UE supports the feature when </w:t>
      </w:r>
      <w:r w:rsidRPr="003D1CF8">
        <w:rPr>
          <w:i/>
          <w:iCs/>
        </w:rPr>
        <w:t>not</w:t>
      </w:r>
      <w:r>
        <w:t xml:space="preserve"> configured with NR-DC, and</w:t>
      </w:r>
      <w:r>
        <w:br/>
        <w:t>the capability parameter inside NR-DC-Parameters determines whether (or not) the UE supports the feature when configured with NR-DC</w:t>
      </w:r>
      <w:r w:rsidR="00B2769B">
        <w:t>.</w:t>
      </w:r>
      <w:bookmarkEnd w:id="3"/>
      <w:r w:rsidR="00B2769B">
        <w:t xml:space="preserve"> </w:t>
      </w:r>
    </w:p>
    <w:bookmarkEnd w:id="0"/>
    <w:p w14:paraId="7FFAC03E" w14:textId="3052468A" w:rsidR="00C01F33" w:rsidRPr="00CE0424" w:rsidRDefault="007D2D5B" w:rsidP="00CE0424">
      <w:pPr>
        <w:pStyle w:val="Heading1"/>
      </w:pPr>
      <w:r>
        <w:lastRenderedPageBreak/>
        <w:t>3</w:t>
      </w:r>
      <w:r w:rsidR="00EC4447">
        <w:tab/>
      </w:r>
      <w:r w:rsidR="00C01F33" w:rsidRPr="00CE0424">
        <w:t>Conclusion</w:t>
      </w:r>
    </w:p>
    <w:p w14:paraId="31029D4D" w14:textId="77777777" w:rsidR="004716C2"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4C5956EF" w14:textId="0C2DDE64" w:rsidR="004716C2" w:rsidRDefault="008400E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3742" w:history="1">
        <w:r w:rsidR="004716C2" w:rsidRPr="002C7613">
          <w:rPr>
            <w:rStyle w:val="Hyperlink"/>
            <w:noProof/>
          </w:rPr>
          <w:t>Proposal 1</w:t>
        </w:r>
        <w:r w:rsidR="004716C2">
          <w:rPr>
            <w:rFonts w:asciiTheme="minorHAnsi" w:eastAsiaTheme="minorEastAsia" w:hAnsiTheme="minorHAnsi" w:cstheme="minorBidi"/>
            <w:b w:val="0"/>
            <w:noProof/>
            <w:sz w:val="22"/>
            <w:szCs w:val="22"/>
            <w:lang w:val="en-SE" w:eastAsia="en-SE"/>
          </w:rPr>
          <w:tab/>
        </w:r>
        <w:r w:rsidR="004716C2" w:rsidRPr="002C7613">
          <w:rPr>
            <w:rStyle w:val="Hyperlink"/>
            <w:noProof/>
          </w:rPr>
          <w:t xml:space="preserve">Clarify in 38.306 that capability parameters that exist both inside and outside of NR-DC-Parameters: the capability parameter outside NR-DC-Parameters determines whether (or not) the UE supports the feature when </w:t>
        </w:r>
        <w:r w:rsidR="004716C2" w:rsidRPr="002C7613">
          <w:rPr>
            <w:rStyle w:val="Hyperlink"/>
            <w:i/>
            <w:iCs/>
            <w:noProof/>
          </w:rPr>
          <w:t>not</w:t>
        </w:r>
        <w:r w:rsidR="004716C2" w:rsidRPr="002C7613">
          <w:rPr>
            <w:rStyle w:val="Hyperlink"/>
            <w:noProof/>
          </w:rPr>
          <w:t xml:space="preserve"> configured with NR-DC, and the capability parameter inside NR-DC-Parameters determines whether (or not) the UE supports the feature when configured with NR-DC.</w:t>
        </w:r>
      </w:hyperlink>
    </w:p>
    <w:p w14:paraId="39542A13" w14:textId="3B770E9B" w:rsidR="003B4267" w:rsidRPr="003517CB" w:rsidRDefault="006E1C82" w:rsidP="003B4267">
      <w:pPr>
        <w:pStyle w:val="BodyText"/>
      </w:pPr>
      <w:r>
        <w:rPr>
          <w:b/>
          <w:bCs/>
          <w:lang w:val="en-US"/>
        </w:rPr>
        <w:fldChar w:fldCharType="end"/>
      </w:r>
    </w:p>
    <w:p w14:paraId="38FF9E4B" w14:textId="2E3A68C3" w:rsidR="00A936B8" w:rsidRPr="003517CB" w:rsidRDefault="00A936B8" w:rsidP="003B4267">
      <w:pPr>
        <w:pStyle w:val="Reference"/>
        <w:numPr>
          <w:ilvl w:val="0"/>
          <w:numId w:val="0"/>
        </w:numPr>
        <w:overflowPunct/>
        <w:autoSpaceDE/>
        <w:autoSpaceDN/>
        <w:adjustRightInd/>
        <w:spacing w:after="160" w:line="259" w:lineRule="auto"/>
        <w:ind w:left="567" w:hanging="567"/>
        <w:jc w:val="left"/>
        <w:textAlignment w:val="auto"/>
      </w:pP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E3C7" w14:textId="77777777" w:rsidR="00D01158" w:rsidRDefault="00D01158">
      <w:r>
        <w:separator/>
      </w:r>
    </w:p>
  </w:endnote>
  <w:endnote w:type="continuationSeparator" w:id="0">
    <w:p w14:paraId="786FB8DF" w14:textId="77777777" w:rsidR="00D01158" w:rsidRDefault="00D01158">
      <w:r>
        <w:continuationSeparator/>
      </w:r>
    </w:p>
  </w:endnote>
  <w:endnote w:type="continuationNotice" w:id="1">
    <w:p w14:paraId="32A8380A"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6394" w14:textId="77777777" w:rsidR="00D01158" w:rsidRDefault="00D01158">
      <w:r>
        <w:separator/>
      </w:r>
    </w:p>
  </w:footnote>
  <w:footnote w:type="continuationSeparator" w:id="0">
    <w:p w14:paraId="78D64573" w14:textId="77777777" w:rsidR="00D01158" w:rsidRDefault="00D01158">
      <w:r>
        <w:continuationSeparator/>
      </w:r>
    </w:p>
  </w:footnote>
  <w:footnote w:type="continuationNotice" w:id="1">
    <w:p w14:paraId="7CA19BFF"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5DEC9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1E2B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9907CF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863BED"/>
    <w:multiLevelType w:val="hybridMultilevel"/>
    <w:tmpl w:val="674066B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5B1E4F"/>
    <w:multiLevelType w:val="hybridMultilevel"/>
    <w:tmpl w:val="51CE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0C9051F2"/>
    <w:lvl w:ilvl="0" w:tplc="20F00B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3805"/>
        </w:tabs>
        <w:ind w:left="-3805" w:hanging="360"/>
      </w:pPr>
    </w:lvl>
    <w:lvl w:ilvl="2" w:tplc="0409001B" w:tentative="1">
      <w:start w:val="1"/>
      <w:numFmt w:val="lowerRoman"/>
      <w:lvlText w:val="%3."/>
      <w:lvlJc w:val="right"/>
      <w:pPr>
        <w:tabs>
          <w:tab w:val="num" w:pos="-3085"/>
        </w:tabs>
        <w:ind w:left="-3085" w:hanging="180"/>
      </w:pPr>
    </w:lvl>
    <w:lvl w:ilvl="3" w:tplc="0409000F" w:tentative="1">
      <w:start w:val="1"/>
      <w:numFmt w:val="decimal"/>
      <w:lvlText w:val="%4."/>
      <w:lvlJc w:val="left"/>
      <w:pPr>
        <w:tabs>
          <w:tab w:val="num" w:pos="-2365"/>
        </w:tabs>
        <w:ind w:left="-2365" w:hanging="360"/>
      </w:pPr>
    </w:lvl>
    <w:lvl w:ilvl="4" w:tplc="04090019" w:tentative="1">
      <w:start w:val="1"/>
      <w:numFmt w:val="lowerLetter"/>
      <w:lvlText w:val="%5."/>
      <w:lvlJc w:val="left"/>
      <w:pPr>
        <w:tabs>
          <w:tab w:val="num" w:pos="-1645"/>
        </w:tabs>
        <w:ind w:left="-1645" w:hanging="360"/>
      </w:pPr>
    </w:lvl>
    <w:lvl w:ilvl="5" w:tplc="0409001B" w:tentative="1">
      <w:start w:val="1"/>
      <w:numFmt w:val="lowerRoman"/>
      <w:lvlText w:val="%6."/>
      <w:lvlJc w:val="right"/>
      <w:pPr>
        <w:tabs>
          <w:tab w:val="num" w:pos="-925"/>
        </w:tabs>
        <w:ind w:left="-925" w:hanging="180"/>
      </w:pPr>
    </w:lvl>
    <w:lvl w:ilvl="6" w:tplc="0409000F" w:tentative="1">
      <w:start w:val="1"/>
      <w:numFmt w:val="decimal"/>
      <w:lvlText w:val="%7."/>
      <w:lvlJc w:val="left"/>
      <w:pPr>
        <w:tabs>
          <w:tab w:val="num" w:pos="-205"/>
        </w:tabs>
        <w:ind w:left="-205" w:hanging="360"/>
      </w:pPr>
    </w:lvl>
    <w:lvl w:ilvl="7" w:tplc="04090019" w:tentative="1">
      <w:start w:val="1"/>
      <w:numFmt w:val="lowerLetter"/>
      <w:lvlText w:val="%8."/>
      <w:lvlJc w:val="left"/>
      <w:pPr>
        <w:tabs>
          <w:tab w:val="num" w:pos="515"/>
        </w:tabs>
        <w:ind w:left="515" w:hanging="360"/>
      </w:pPr>
    </w:lvl>
    <w:lvl w:ilvl="8" w:tplc="0409001B" w:tentative="1">
      <w:start w:val="1"/>
      <w:numFmt w:val="lowerRoman"/>
      <w:lvlText w:val="%9."/>
      <w:lvlJc w:val="right"/>
      <w:pPr>
        <w:tabs>
          <w:tab w:val="num" w:pos="1235"/>
        </w:tabs>
        <w:ind w:left="1235"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68291097">
    <w:abstractNumId w:val="15"/>
  </w:num>
  <w:num w:numId="2" w16cid:durableId="298266348">
    <w:abstractNumId w:val="13"/>
  </w:num>
  <w:num w:numId="3" w16cid:durableId="1728147753">
    <w:abstractNumId w:val="2"/>
  </w:num>
  <w:num w:numId="4" w16cid:durableId="304506351">
    <w:abstractNumId w:val="16"/>
  </w:num>
  <w:num w:numId="5" w16cid:durableId="1060597500">
    <w:abstractNumId w:val="17"/>
  </w:num>
  <w:num w:numId="6" w16cid:durableId="1606426557">
    <w:abstractNumId w:val="18"/>
  </w:num>
  <w:num w:numId="7" w16cid:durableId="1474910838">
    <w:abstractNumId w:val="8"/>
  </w:num>
  <w:num w:numId="8" w16cid:durableId="2034916746">
    <w:abstractNumId w:val="9"/>
  </w:num>
  <w:num w:numId="9" w16cid:durableId="1637831561">
    <w:abstractNumId w:val="7"/>
  </w:num>
  <w:num w:numId="10" w16cid:durableId="1942253883">
    <w:abstractNumId w:val="21"/>
  </w:num>
  <w:num w:numId="11" w16cid:durableId="1766340366">
    <w:abstractNumId w:val="12"/>
  </w:num>
  <w:num w:numId="12" w16cid:durableId="963578698">
    <w:abstractNumId w:val="19"/>
  </w:num>
  <w:num w:numId="13" w16cid:durableId="984116730">
    <w:abstractNumId w:val="20"/>
  </w:num>
  <w:num w:numId="14" w16cid:durableId="603808507">
    <w:abstractNumId w:val="10"/>
  </w:num>
  <w:num w:numId="15" w16cid:durableId="88698783">
    <w:abstractNumId w:val="1"/>
  </w:num>
  <w:num w:numId="16" w16cid:durableId="489563243">
    <w:abstractNumId w:val="0"/>
  </w:num>
  <w:num w:numId="17" w16cid:durableId="1490099117">
    <w:abstractNumId w:val="5"/>
  </w:num>
  <w:num w:numId="18" w16cid:durableId="727800259">
    <w:abstractNumId w:val="13"/>
  </w:num>
  <w:num w:numId="19" w16cid:durableId="2022662505">
    <w:abstractNumId w:val="11"/>
  </w:num>
  <w:num w:numId="20" w16cid:durableId="616179889">
    <w:abstractNumId w:val="3"/>
  </w:num>
  <w:num w:numId="21" w16cid:durableId="558058479">
    <w:abstractNumId w:val="14"/>
  </w:num>
  <w:num w:numId="22" w16cid:durableId="1675038076">
    <w:abstractNumId w:val="6"/>
  </w:num>
  <w:num w:numId="23" w16cid:durableId="194826752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FE"/>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2E8F"/>
    <w:rsid w:val="00013417"/>
    <w:rsid w:val="00014846"/>
    <w:rsid w:val="00014F93"/>
    <w:rsid w:val="00015D15"/>
    <w:rsid w:val="000166DC"/>
    <w:rsid w:val="00016B44"/>
    <w:rsid w:val="0001749C"/>
    <w:rsid w:val="00021224"/>
    <w:rsid w:val="000217AD"/>
    <w:rsid w:val="00021D47"/>
    <w:rsid w:val="00022763"/>
    <w:rsid w:val="00022A90"/>
    <w:rsid w:val="0002367C"/>
    <w:rsid w:val="00023D09"/>
    <w:rsid w:val="00024548"/>
    <w:rsid w:val="0002496A"/>
    <w:rsid w:val="00025631"/>
    <w:rsid w:val="0002564D"/>
    <w:rsid w:val="00025ECA"/>
    <w:rsid w:val="000268C4"/>
    <w:rsid w:val="00026E63"/>
    <w:rsid w:val="000277B7"/>
    <w:rsid w:val="00027FFE"/>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4BE"/>
    <w:rsid w:val="000464E4"/>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5F4F"/>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82"/>
    <w:rsid w:val="000646CD"/>
    <w:rsid w:val="0006487E"/>
    <w:rsid w:val="00064E99"/>
    <w:rsid w:val="00065E1A"/>
    <w:rsid w:val="00066457"/>
    <w:rsid w:val="0006647B"/>
    <w:rsid w:val="00066778"/>
    <w:rsid w:val="00066CC6"/>
    <w:rsid w:val="00067201"/>
    <w:rsid w:val="00070194"/>
    <w:rsid w:val="00071926"/>
    <w:rsid w:val="00071A9A"/>
    <w:rsid w:val="000724DB"/>
    <w:rsid w:val="00072989"/>
    <w:rsid w:val="000736E2"/>
    <w:rsid w:val="000742E9"/>
    <w:rsid w:val="00074DA6"/>
    <w:rsid w:val="000756ED"/>
    <w:rsid w:val="00075C8D"/>
    <w:rsid w:val="00075C94"/>
    <w:rsid w:val="00075F85"/>
    <w:rsid w:val="00076172"/>
    <w:rsid w:val="000768E5"/>
    <w:rsid w:val="00076BA0"/>
    <w:rsid w:val="00077691"/>
    <w:rsid w:val="00077E5F"/>
    <w:rsid w:val="00077EF2"/>
    <w:rsid w:val="00077FBF"/>
    <w:rsid w:val="0008036A"/>
    <w:rsid w:val="0008069D"/>
    <w:rsid w:val="000807FD"/>
    <w:rsid w:val="000809FD"/>
    <w:rsid w:val="00080D8F"/>
    <w:rsid w:val="00081AE6"/>
    <w:rsid w:val="0008341C"/>
    <w:rsid w:val="0008536C"/>
    <w:rsid w:val="000855EB"/>
    <w:rsid w:val="00085B52"/>
    <w:rsid w:val="00086676"/>
    <w:rsid w:val="000866F2"/>
    <w:rsid w:val="00086E0A"/>
    <w:rsid w:val="00087D2C"/>
    <w:rsid w:val="0009009F"/>
    <w:rsid w:val="00090DB1"/>
    <w:rsid w:val="00091029"/>
    <w:rsid w:val="00091557"/>
    <w:rsid w:val="00091D3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59E"/>
    <w:rsid w:val="000A526C"/>
    <w:rsid w:val="000A53E1"/>
    <w:rsid w:val="000A56F2"/>
    <w:rsid w:val="000A5ABB"/>
    <w:rsid w:val="000A5E59"/>
    <w:rsid w:val="000A5FF8"/>
    <w:rsid w:val="000A66F4"/>
    <w:rsid w:val="000A6B29"/>
    <w:rsid w:val="000A6D55"/>
    <w:rsid w:val="000A7BF5"/>
    <w:rsid w:val="000A7C47"/>
    <w:rsid w:val="000A7C51"/>
    <w:rsid w:val="000A7CD3"/>
    <w:rsid w:val="000A7D7D"/>
    <w:rsid w:val="000B027C"/>
    <w:rsid w:val="000B0A42"/>
    <w:rsid w:val="000B1F30"/>
    <w:rsid w:val="000B1FD4"/>
    <w:rsid w:val="000B2719"/>
    <w:rsid w:val="000B3654"/>
    <w:rsid w:val="000B3A8F"/>
    <w:rsid w:val="000B3D86"/>
    <w:rsid w:val="000B3ECD"/>
    <w:rsid w:val="000B47D0"/>
    <w:rsid w:val="000B491A"/>
    <w:rsid w:val="000B4AB9"/>
    <w:rsid w:val="000B5070"/>
    <w:rsid w:val="000B58C3"/>
    <w:rsid w:val="000B61E9"/>
    <w:rsid w:val="000B6617"/>
    <w:rsid w:val="000B6C25"/>
    <w:rsid w:val="000B6EF4"/>
    <w:rsid w:val="000B754E"/>
    <w:rsid w:val="000B78A3"/>
    <w:rsid w:val="000C0C4E"/>
    <w:rsid w:val="000C0EC5"/>
    <w:rsid w:val="000C165A"/>
    <w:rsid w:val="000C1C9E"/>
    <w:rsid w:val="000C20F2"/>
    <w:rsid w:val="000C2622"/>
    <w:rsid w:val="000C2E19"/>
    <w:rsid w:val="000C30D4"/>
    <w:rsid w:val="000C368F"/>
    <w:rsid w:val="000C3B75"/>
    <w:rsid w:val="000C4CE6"/>
    <w:rsid w:val="000C52A5"/>
    <w:rsid w:val="000C5DBB"/>
    <w:rsid w:val="000C695F"/>
    <w:rsid w:val="000C77DF"/>
    <w:rsid w:val="000D0361"/>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577"/>
    <w:rsid w:val="000E1B49"/>
    <w:rsid w:val="000E1E88"/>
    <w:rsid w:val="000E1E92"/>
    <w:rsid w:val="000E246B"/>
    <w:rsid w:val="000E3911"/>
    <w:rsid w:val="000E3F75"/>
    <w:rsid w:val="000E4E5A"/>
    <w:rsid w:val="000E5A91"/>
    <w:rsid w:val="000E7C17"/>
    <w:rsid w:val="000E7FF9"/>
    <w:rsid w:val="000F06D6"/>
    <w:rsid w:val="000F0EB1"/>
    <w:rsid w:val="000F1106"/>
    <w:rsid w:val="000F1880"/>
    <w:rsid w:val="000F1899"/>
    <w:rsid w:val="000F199E"/>
    <w:rsid w:val="000F32DC"/>
    <w:rsid w:val="000F3548"/>
    <w:rsid w:val="000F3BE9"/>
    <w:rsid w:val="000F3F6C"/>
    <w:rsid w:val="000F41BE"/>
    <w:rsid w:val="000F448D"/>
    <w:rsid w:val="000F472E"/>
    <w:rsid w:val="000F49BB"/>
    <w:rsid w:val="000F4AC8"/>
    <w:rsid w:val="000F4B88"/>
    <w:rsid w:val="000F4F61"/>
    <w:rsid w:val="000F57F8"/>
    <w:rsid w:val="000F595A"/>
    <w:rsid w:val="000F6DF3"/>
    <w:rsid w:val="000F7AB2"/>
    <w:rsid w:val="000F7B3B"/>
    <w:rsid w:val="0010011F"/>
    <w:rsid w:val="001005FF"/>
    <w:rsid w:val="00100A2E"/>
    <w:rsid w:val="001015B6"/>
    <w:rsid w:val="001019C4"/>
    <w:rsid w:val="00101C8F"/>
    <w:rsid w:val="0010400F"/>
    <w:rsid w:val="001049E3"/>
    <w:rsid w:val="00105E0C"/>
    <w:rsid w:val="001062CD"/>
    <w:rsid w:val="001062FB"/>
    <w:rsid w:val="001063E6"/>
    <w:rsid w:val="001068D3"/>
    <w:rsid w:val="00106A58"/>
    <w:rsid w:val="00106AD3"/>
    <w:rsid w:val="001071FB"/>
    <w:rsid w:val="0011007E"/>
    <w:rsid w:val="001101E8"/>
    <w:rsid w:val="00110FC6"/>
    <w:rsid w:val="00111315"/>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BDC"/>
    <w:rsid w:val="00115CCC"/>
    <w:rsid w:val="00115E03"/>
    <w:rsid w:val="0011611B"/>
    <w:rsid w:val="00116765"/>
    <w:rsid w:val="00117530"/>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0E8"/>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3DE"/>
    <w:rsid w:val="00143F0F"/>
    <w:rsid w:val="00144909"/>
    <w:rsid w:val="0014513C"/>
    <w:rsid w:val="00145372"/>
    <w:rsid w:val="00145E7E"/>
    <w:rsid w:val="001464FD"/>
    <w:rsid w:val="00146542"/>
    <w:rsid w:val="0014717C"/>
    <w:rsid w:val="001473F0"/>
    <w:rsid w:val="00147630"/>
    <w:rsid w:val="0014789A"/>
    <w:rsid w:val="001500DB"/>
    <w:rsid w:val="00151065"/>
    <w:rsid w:val="001511E6"/>
    <w:rsid w:val="00151692"/>
    <w:rsid w:val="00151E23"/>
    <w:rsid w:val="00151F7A"/>
    <w:rsid w:val="0015239E"/>
    <w:rsid w:val="001526E0"/>
    <w:rsid w:val="0015321F"/>
    <w:rsid w:val="001538E7"/>
    <w:rsid w:val="00154A96"/>
    <w:rsid w:val="001551B5"/>
    <w:rsid w:val="00155CA0"/>
    <w:rsid w:val="001568BB"/>
    <w:rsid w:val="00156D0A"/>
    <w:rsid w:val="001608F0"/>
    <w:rsid w:val="0016096C"/>
    <w:rsid w:val="00161E4B"/>
    <w:rsid w:val="001625C8"/>
    <w:rsid w:val="0016386F"/>
    <w:rsid w:val="00163A3C"/>
    <w:rsid w:val="00163D68"/>
    <w:rsid w:val="0016480C"/>
    <w:rsid w:val="00164BE8"/>
    <w:rsid w:val="001658DE"/>
    <w:rsid w:val="001659C1"/>
    <w:rsid w:val="001663A1"/>
    <w:rsid w:val="00167DFF"/>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928"/>
    <w:rsid w:val="00186BCD"/>
    <w:rsid w:val="00186D71"/>
    <w:rsid w:val="00187054"/>
    <w:rsid w:val="00187E68"/>
    <w:rsid w:val="00187FCD"/>
    <w:rsid w:val="00190AC1"/>
    <w:rsid w:val="00192D59"/>
    <w:rsid w:val="00192FB7"/>
    <w:rsid w:val="00193413"/>
    <w:rsid w:val="0019341A"/>
    <w:rsid w:val="001951B3"/>
    <w:rsid w:val="00195366"/>
    <w:rsid w:val="001957A1"/>
    <w:rsid w:val="00196155"/>
    <w:rsid w:val="0019791C"/>
    <w:rsid w:val="00197AE0"/>
    <w:rsid w:val="00197DF9"/>
    <w:rsid w:val="00197E33"/>
    <w:rsid w:val="001A1987"/>
    <w:rsid w:val="001A2564"/>
    <w:rsid w:val="001A256E"/>
    <w:rsid w:val="001A2CBD"/>
    <w:rsid w:val="001A2DCA"/>
    <w:rsid w:val="001A34D9"/>
    <w:rsid w:val="001A35C8"/>
    <w:rsid w:val="001A3F06"/>
    <w:rsid w:val="001A4EC3"/>
    <w:rsid w:val="001A54A9"/>
    <w:rsid w:val="001A5A70"/>
    <w:rsid w:val="001A6173"/>
    <w:rsid w:val="001A6847"/>
    <w:rsid w:val="001A6894"/>
    <w:rsid w:val="001A6CBA"/>
    <w:rsid w:val="001A770A"/>
    <w:rsid w:val="001B09E3"/>
    <w:rsid w:val="001B0D97"/>
    <w:rsid w:val="001B42A6"/>
    <w:rsid w:val="001B4CFD"/>
    <w:rsid w:val="001B4DC3"/>
    <w:rsid w:val="001B5A5D"/>
    <w:rsid w:val="001B5CA0"/>
    <w:rsid w:val="001B655A"/>
    <w:rsid w:val="001B676E"/>
    <w:rsid w:val="001B6A5A"/>
    <w:rsid w:val="001B7D4E"/>
    <w:rsid w:val="001C09B9"/>
    <w:rsid w:val="001C16D3"/>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4349"/>
    <w:rsid w:val="001D51BA"/>
    <w:rsid w:val="001D53E7"/>
    <w:rsid w:val="001D5D70"/>
    <w:rsid w:val="001D5F15"/>
    <w:rsid w:val="001D605F"/>
    <w:rsid w:val="001D6342"/>
    <w:rsid w:val="001D6D53"/>
    <w:rsid w:val="001D7324"/>
    <w:rsid w:val="001E084D"/>
    <w:rsid w:val="001E13E6"/>
    <w:rsid w:val="001E1D74"/>
    <w:rsid w:val="001E1E1A"/>
    <w:rsid w:val="001E4994"/>
    <w:rsid w:val="001E4DE4"/>
    <w:rsid w:val="001E541E"/>
    <w:rsid w:val="001E58E2"/>
    <w:rsid w:val="001E6143"/>
    <w:rsid w:val="001E6400"/>
    <w:rsid w:val="001E6463"/>
    <w:rsid w:val="001E678C"/>
    <w:rsid w:val="001E725E"/>
    <w:rsid w:val="001E7664"/>
    <w:rsid w:val="001E7AED"/>
    <w:rsid w:val="001F0439"/>
    <w:rsid w:val="001F1294"/>
    <w:rsid w:val="001F14CE"/>
    <w:rsid w:val="001F165D"/>
    <w:rsid w:val="001F2702"/>
    <w:rsid w:val="001F3916"/>
    <w:rsid w:val="001F3DAA"/>
    <w:rsid w:val="001F4386"/>
    <w:rsid w:val="001F46D4"/>
    <w:rsid w:val="001F524E"/>
    <w:rsid w:val="001F52CC"/>
    <w:rsid w:val="001F54C5"/>
    <w:rsid w:val="001F5562"/>
    <w:rsid w:val="001F5FEF"/>
    <w:rsid w:val="001F628A"/>
    <w:rsid w:val="001F662C"/>
    <w:rsid w:val="001F6B0B"/>
    <w:rsid w:val="001F7074"/>
    <w:rsid w:val="001F742A"/>
    <w:rsid w:val="002001A2"/>
    <w:rsid w:val="00200490"/>
    <w:rsid w:val="002005E6"/>
    <w:rsid w:val="00201A87"/>
    <w:rsid w:val="00201C3E"/>
    <w:rsid w:val="00201F03"/>
    <w:rsid w:val="00201F3A"/>
    <w:rsid w:val="00202016"/>
    <w:rsid w:val="0020308F"/>
    <w:rsid w:val="00203B52"/>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65"/>
    <w:rsid w:val="00214970"/>
    <w:rsid w:val="00214B0E"/>
    <w:rsid w:val="00214DA8"/>
    <w:rsid w:val="00215423"/>
    <w:rsid w:val="002158FA"/>
    <w:rsid w:val="002159FD"/>
    <w:rsid w:val="00215C97"/>
    <w:rsid w:val="00216126"/>
    <w:rsid w:val="0021785C"/>
    <w:rsid w:val="00217A6B"/>
    <w:rsid w:val="00217F0E"/>
    <w:rsid w:val="00220600"/>
    <w:rsid w:val="0022079C"/>
    <w:rsid w:val="00220983"/>
    <w:rsid w:val="00220F5C"/>
    <w:rsid w:val="00221133"/>
    <w:rsid w:val="00221739"/>
    <w:rsid w:val="00221E74"/>
    <w:rsid w:val="00222074"/>
    <w:rsid w:val="002222A9"/>
    <w:rsid w:val="002224DB"/>
    <w:rsid w:val="0022275D"/>
    <w:rsid w:val="00222F45"/>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817"/>
    <w:rsid w:val="00240AB6"/>
    <w:rsid w:val="00240EBE"/>
    <w:rsid w:val="00241559"/>
    <w:rsid w:val="002435B3"/>
    <w:rsid w:val="00244324"/>
    <w:rsid w:val="0024475A"/>
    <w:rsid w:val="002451C1"/>
    <w:rsid w:val="002453B5"/>
    <w:rsid w:val="00245775"/>
    <w:rsid w:val="0024588D"/>
    <w:rsid w:val="002458EB"/>
    <w:rsid w:val="002468C3"/>
    <w:rsid w:val="00247579"/>
    <w:rsid w:val="002500C8"/>
    <w:rsid w:val="00250C35"/>
    <w:rsid w:val="00250F02"/>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2FEC"/>
    <w:rsid w:val="00264228"/>
    <w:rsid w:val="00264334"/>
    <w:rsid w:val="002643BF"/>
    <w:rsid w:val="0026473E"/>
    <w:rsid w:val="00264C98"/>
    <w:rsid w:val="00265DEF"/>
    <w:rsid w:val="00266214"/>
    <w:rsid w:val="00266433"/>
    <w:rsid w:val="002664DE"/>
    <w:rsid w:val="00266A08"/>
    <w:rsid w:val="00267C83"/>
    <w:rsid w:val="0027085F"/>
    <w:rsid w:val="0027144F"/>
    <w:rsid w:val="00271813"/>
    <w:rsid w:val="00271F3A"/>
    <w:rsid w:val="00272B86"/>
    <w:rsid w:val="00272EB9"/>
    <w:rsid w:val="00273278"/>
    <w:rsid w:val="002737F4"/>
    <w:rsid w:val="002739CE"/>
    <w:rsid w:val="00274062"/>
    <w:rsid w:val="00275065"/>
    <w:rsid w:val="00275C15"/>
    <w:rsid w:val="002762EF"/>
    <w:rsid w:val="002765E6"/>
    <w:rsid w:val="00276683"/>
    <w:rsid w:val="00276D22"/>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2A46"/>
    <w:rsid w:val="00282B87"/>
    <w:rsid w:val="00284236"/>
    <w:rsid w:val="00284256"/>
    <w:rsid w:val="00284539"/>
    <w:rsid w:val="00284CD5"/>
    <w:rsid w:val="00285BB7"/>
    <w:rsid w:val="00286159"/>
    <w:rsid w:val="00286673"/>
    <w:rsid w:val="00286ACD"/>
    <w:rsid w:val="002871FF"/>
    <w:rsid w:val="00287838"/>
    <w:rsid w:val="00290288"/>
    <w:rsid w:val="0029050C"/>
    <w:rsid w:val="002907B5"/>
    <w:rsid w:val="00291228"/>
    <w:rsid w:val="0029208B"/>
    <w:rsid w:val="002929D1"/>
    <w:rsid w:val="00292EB7"/>
    <w:rsid w:val="00293F4C"/>
    <w:rsid w:val="0029411E"/>
    <w:rsid w:val="00294242"/>
    <w:rsid w:val="00294FBE"/>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4E40"/>
    <w:rsid w:val="002A52B7"/>
    <w:rsid w:val="002A6F72"/>
    <w:rsid w:val="002A7B16"/>
    <w:rsid w:val="002B0858"/>
    <w:rsid w:val="002B103B"/>
    <w:rsid w:val="002B24D6"/>
    <w:rsid w:val="002B2E9E"/>
    <w:rsid w:val="002B3894"/>
    <w:rsid w:val="002B39FB"/>
    <w:rsid w:val="002B3BBE"/>
    <w:rsid w:val="002B4333"/>
    <w:rsid w:val="002B455C"/>
    <w:rsid w:val="002B52ED"/>
    <w:rsid w:val="002B5441"/>
    <w:rsid w:val="002B5937"/>
    <w:rsid w:val="002B5EF4"/>
    <w:rsid w:val="002B6707"/>
    <w:rsid w:val="002B6914"/>
    <w:rsid w:val="002B71AD"/>
    <w:rsid w:val="002B753F"/>
    <w:rsid w:val="002B7A75"/>
    <w:rsid w:val="002C00CD"/>
    <w:rsid w:val="002C06AD"/>
    <w:rsid w:val="002C162C"/>
    <w:rsid w:val="002C3716"/>
    <w:rsid w:val="002C38B3"/>
    <w:rsid w:val="002C3AEE"/>
    <w:rsid w:val="002C3E32"/>
    <w:rsid w:val="002C3E86"/>
    <w:rsid w:val="002C3EAB"/>
    <w:rsid w:val="002C41E6"/>
    <w:rsid w:val="002C442F"/>
    <w:rsid w:val="002C45FB"/>
    <w:rsid w:val="002C502C"/>
    <w:rsid w:val="002C5393"/>
    <w:rsid w:val="002C7984"/>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3E73"/>
    <w:rsid w:val="002E446E"/>
    <w:rsid w:val="002E467D"/>
    <w:rsid w:val="002E5052"/>
    <w:rsid w:val="002E53B7"/>
    <w:rsid w:val="002E5D2A"/>
    <w:rsid w:val="002E6CAC"/>
    <w:rsid w:val="002E6E94"/>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2F4"/>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1FB6"/>
    <w:rsid w:val="0031299A"/>
    <w:rsid w:val="003132D9"/>
    <w:rsid w:val="003137DE"/>
    <w:rsid w:val="00313FD6"/>
    <w:rsid w:val="003143BD"/>
    <w:rsid w:val="00314487"/>
    <w:rsid w:val="003148E5"/>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38B"/>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75"/>
    <w:rsid w:val="00342BD7"/>
    <w:rsid w:val="00342CE8"/>
    <w:rsid w:val="00343081"/>
    <w:rsid w:val="003434D4"/>
    <w:rsid w:val="003435B8"/>
    <w:rsid w:val="00343BCD"/>
    <w:rsid w:val="00344326"/>
    <w:rsid w:val="003448F9"/>
    <w:rsid w:val="00344F0C"/>
    <w:rsid w:val="00346DB5"/>
    <w:rsid w:val="003477B1"/>
    <w:rsid w:val="003478FC"/>
    <w:rsid w:val="0035170A"/>
    <w:rsid w:val="003517CB"/>
    <w:rsid w:val="0035245C"/>
    <w:rsid w:val="00353F97"/>
    <w:rsid w:val="003553E5"/>
    <w:rsid w:val="00357380"/>
    <w:rsid w:val="003575A5"/>
    <w:rsid w:val="003602D9"/>
    <w:rsid w:val="003604CE"/>
    <w:rsid w:val="00360BC9"/>
    <w:rsid w:val="00361A3F"/>
    <w:rsid w:val="0036217B"/>
    <w:rsid w:val="00363069"/>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3095"/>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14F"/>
    <w:rsid w:val="003975E4"/>
    <w:rsid w:val="003A0291"/>
    <w:rsid w:val="003A0A50"/>
    <w:rsid w:val="003A1F70"/>
    <w:rsid w:val="003A2223"/>
    <w:rsid w:val="003A2A0F"/>
    <w:rsid w:val="003A3959"/>
    <w:rsid w:val="003A45A1"/>
    <w:rsid w:val="003A4A28"/>
    <w:rsid w:val="003A4C72"/>
    <w:rsid w:val="003A57A2"/>
    <w:rsid w:val="003A5B0A"/>
    <w:rsid w:val="003A664F"/>
    <w:rsid w:val="003A6BAC"/>
    <w:rsid w:val="003A70A4"/>
    <w:rsid w:val="003A7EF3"/>
    <w:rsid w:val="003B159C"/>
    <w:rsid w:val="003B1BE8"/>
    <w:rsid w:val="003B1C23"/>
    <w:rsid w:val="003B2151"/>
    <w:rsid w:val="003B299F"/>
    <w:rsid w:val="003B3573"/>
    <w:rsid w:val="003B369F"/>
    <w:rsid w:val="003B36A3"/>
    <w:rsid w:val="003B3D12"/>
    <w:rsid w:val="003B3D6C"/>
    <w:rsid w:val="003B4267"/>
    <w:rsid w:val="003B5117"/>
    <w:rsid w:val="003B64BB"/>
    <w:rsid w:val="003B6929"/>
    <w:rsid w:val="003B75B4"/>
    <w:rsid w:val="003B7705"/>
    <w:rsid w:val="003B7D22"/>
    <w:rsid w:val="003B7FE5"/>
    <w:rsid w:val="003C0183"/>
    <w:rsid w:val="003C0300"/>
    <w:rsid w:val="003C11C8"/>
    <w:rsid w:val="003C13AF"/>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155"/>
    <w:rsid w:val="003D048F"/>
    <w:rsid w:val="003D109F"/>
    <w:rsid w:val="003D1806"/>
    <w:rsid w:val="003D1CF8"/>
    <w:rsid w:val="003D2183"/>
    <w:rsid w:val="003D2478"/>
    <w:rsid w:val="003D2586"/>
    <w:rsid w:val="003D28DD"/>
    <w:rsid w:val="003D2F97"/>
    <w:rsid w:val="003D3A37"/>
    <w:rsid w:val="003D3C45"/>
    <w:rsid w:val="003D3F15"/>
    <w:rsid w:val="003D4063"/>
    <w:rsid w:val="003D438D"/>
    <w:rsid w:val="003D5175"/>
    <w:rsid w:val="003D53A2"/>
    <w:rsid w:val="003D550A"/>
    <w:rsid w:val="003D5B1F"/>
    <w:rsid w:val="003D5B88"/>
    <w:rsid w:val="003D6C20"/>
    <w:rsid w:val="003D77FD"/>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4F2"/>
    <w:rsid w:val="003F6AB6"/>
    <w:rsid w:val="003F6BBE"/>
    <w:rsid w:val="003F70CE"/>
    <w:rsid w:val="003F77E5"/>
    <w:rsid w:val="004000E8"/>
    <w:rsid w:val="00400281"/>
    <w:rsid w:val="00400327"/>
    <w:rsid w:val="00400351"/>
    <w:rsid w:val="00400519"/>
    <w:rsid w:val="00400720"/>
    <w:rsid w:val="00400F95"/>
    <w:rsid w:val="00401132"/>
    <w:rsid w:val="00401C03"/>
    <w:rsid w:val="00401EA3"/>
    <w:rsid w:val="00401ED9"/>
    <w:rsid w:val="004028C3"/>
    <w:rsid w:val="00402E2B"/>
    <w:rsid w:val="00403871"/>
    <w:rsid w:val="0040395A"/>
    <w:rsid w:val="00404125"/>
    <w:rsid w:val="004047F3"/>
    <w:rsid w:val="0040490B"/>
    <w:rsid w:val="00404D6E"/>
    <w:rsid w:val="0040512B"/>
    <w:rsid w:val="00405A94"/>
    <w:rsid w:val="00405CA5"/>
    <w:rsid w:val="00406477"/>
    <w:rsid w:val="0040668E"/>
    <w:rsid w:val="00406D0B"/>
    <w:rsid w:val="004077EF"/>
    <w:rsid w:val="00407992"/>
    <w:rsid w:val="00407CD3"/>
    <w:rsid w:val="00410134"/>
    <w:rsid w:val="00410B72"/>
    <w:rsid w:val="00410F18"/>
    <w:rsid w:val="004114D9"/>
    <w:rsid w:val="00411B72"/>
    <w:rsid w:val="00411C31"/>
    <w:rsid w:val="0041263E"/>
    <w:rsid w:val="00412BCA"/>
    <w:rsid w:val="00412FC6"/>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0474"/>
    <w:rsid w:val="0043347A"/>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E20"/>
    <w:rsid w:val="00444F56"/>
    <w:rsid w:val="00445A2A"/>
    <w:rsid w:val="00445E3A"/>
    <w:rsid w:val="00446488"/>
    <w:rsid w:val="00446863"/>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1853"/>
    <w:rsid w:val="0046222D"/>
    <w:rsid w:val="004630EF"/>
    <w:rsid w:val="00463294"/>
    <w:rsid w:val="00463913"/>
    <w:rsid w:val="00463F2D"/>
    <w:rsid w:val="00464152"/>
    <w:rsid w:val="00464BFF"/>
    <w:rsid w:val="004651F2"/>
    <w:rsid w:val="0046580D"/>
    <w:rsid w:val="004669E2"/>
    <w:rsid w:val="004671D5"/>
    <w:rsid w:val="004677F0"/>
    <w:rsid w:val="00467893"/>
    <w:rsid w:val="00470AC6"/>
    <w:rsid w:val="00470B3B"/>
    <w:rsid w:val="00470C31"/>
    <w:rsid w:val="00470FC5"/>
    <w:rsid w:val="004716C2"/>
    <w:rsid w:val="00471B92"/>
    <w:rsid w:val="00471D3A"/>
    <w:rsid w:val="00471DE0"/>
    <w:rsid w:val="004734D0"/>
    <w:rsid w:val="0047467D"/>
    <w:rsid w:val="00474798"/>
    <w:rsid w:val="00474C08"/>
    <w:rsid w:val="0047556B"/>
    <w:rsid w:val="0047610C"/>
    <w:rsid w:val="00477768"/>
    <w:rsid w:val="00477ED1"/>
    <w:rsid w:val="00480CC9"/>
    <w:rsid w:val="00482B6A"/>
    <w:rsid w:val="00483238"/>
    <w:rsid w:val="00483296"/>
    <w:rsid w:val="0048379E"/>
    <w:rsid w:val="00483C80"/>
    <w:rsid w:val="00484163"/>
    <w:rsid w:val="00484412"/>
    <w:rsid w:val="00484C99"/>
    <w:rsid w:val="004852D3"/>
    <w:rsid w:val="00485991"/>
    <w:rsid w:val="00485E90"/>
    <w:rsid w:val="004867EC"/>
    <w:rsid w:val="004868C3"/>
    <w:rsid w:val="0048767A"/>
    <w:rsid w:val="004907EB"/>
    <w:rsid w:val="00490CD8"/>
    <w:rsid w:val="00490E83"/>
    <w:rsid w:val="00491035"/>
    <w:rsid w:val="00491F9B"/>
    <w:rsid w:val="00492611"/>
    <w:rsid w:val="004926ED"/>
    <w:rsid w:val="00492BC5"/>
    <w:rsid w:val="0049303D"/>
    <w:rsid w:val="0049327D"/>
    <w:rsid w:val="00493C66"/>
    <w:rsid w:val="0049495C"/>
    <w:rsid w:val="0049552E"/>
    <w:rsid w:val="004961B5"/>
    <w:rsid w:val="004961C2"/>
    <w:rsid w:val="004964F1"/>
    <w:rsid w:val="00496A43"/>
    <w:rsid w:val="004A0209"/>
    <w:rsid w:val="004A085D"/>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160"/>
    <w:rsid w:val="004C1262"/>
    <w:rsid w:val="004C34F1"/>
    <w:rsid w:val="004C3898"/>
    <w:rsid w:val="004C3F4C"/>
    <w:rsid w:val="004C42C1"/>
    <w:rsid w:val="004C4F8C"/>
    <w:rsid w:val="004C5C78"/>
    <w:rsid w:val="004C6D6F"/>
    <w:rsid w:val="004C6DE3"/>
    <w:rsid w:val="004C7AFC"/>
    <w:rsid w:val="004D013D"/>
    <w:rsid w:val="004D0F1B"/>
    <w:rsid w:val="004D1037"/>
    <w:rsid w:val="004D110A"/>
    <w:rsid w:val="004D238C"/>
    <w:rsid w:val="004D36B1"/>
    <w:rsid w:val="004D3910"/>
    <w:rsid w:val="004D3BBE"/>
    <w:rsid w:val="004D3E9D"/>
    <w:rsid w:val="004D4A33"/>
    <w:rsid w:val="004D4AAE"/>
    <w:rsid w:val="004D5D41"/>
    <w:rsid w:val="004D68B4"/>
    <w:rsid w:val="004D6C7F"/>
    <w:rsid w:val="004D75AD"/>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5DDC"/>
    <w:rsid w:val="00506557"/>
    <w:rsid w:val="0050677A"/>
    <w:rsid w:val="005108D8"/>
    <w:rsid w:val="00510F79"/>
    <w:rsid w:val="005116F9"/>
    <w:rsid w:val="005118AD"/>
    <w:rsid w:val="0051281A"/>
    <w:rsid w:val="005134A7"/>
    <w:rsid w:val="00513978"/>
    <w:rsid w:val="00513A6D"/>
    <w:rsid w:val="00514EB6"/>
    <w:rsid w:val="00515261"/>
    <w:rsid w:val="005153A7"/>
    <w:rsid w:val="00515499"/>
    <w:rsid w:val="005157AA"/>
    <w:rsid w:val="00516BB3"/>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1D97"/>
    <w:rsid w:val="005322FB"/>
    <w:rsid w:val="0053241E"/>
    <w:rsid w:val="00532DE1"/>
    <w:rsid w:val="005341D8"/>
    <w:rsid w:val="00534356"/>
    <w:rsid w:val="00534695"/>
    <w:rsid w:val="0053476C"/>
    <w:rsid w:val="00534934"/>
    <w:rsid w:val="00534A33"/>
    <w:rsid w:val="00534B59"/>
    <w:rsid w:val="00535A9B"/>
    <w:rsid w:val="00536759"/>
    <w:rsid w:val="00536C12"/>
    <w:rsid w:val="005371DD"/>
    <w:rsid w:val="00537C62"/>
    <w:rsid w:val="00537E42"/>
    <w:rsid w:val="0054089F"/>
    <w:rsid w:val="00540B1D"/>
    <w:rsid w:val="005414BD"/>
    <w:rsid w:val="0054265B"/>
    <w:rsid w:val="00543583"/>
    <w:rsid w:val="00543B48"/>
    <w:rsid w:val="00543F7B"/>
    <w:rsid w:val="005440E5"/>
    <w:rsid w:val="00545740"/>
    <w:rsid w:val="005457B6"/>
    <w:rsid w:val="00546970"/>
    <w:rsid w:val="00546E15"/>
    <w:rsid w:val="00546E31"/>
    <w:rsid w:val="00546F98"/>
    <w:rsid w:val="00547C94"/>
    <w:rsid w:val="00547E33"/>
    <w:rsid w:val="0055072F"/>
    <w:rsid w:val="00551EF8"/>
    <w:rsid w:val="0055483F"/>
    <w:rsid w:val="00554BD8"/>
    <w:rsid w:val="00554E19"/>
    <w:rsid w:val="00555981"/>
    <w:rsid w:val="005569B7"/>
    <w:rsid w:val="00556DCB"/>
    <w:rsid w:val="00557163"/>
    <w:rsid w:val="00557FB0"/>
    <w:rsid w:val="00560150"/>
    <w:rsid w:val="00560D2E"/>
    <w:rsid w:val="00561208"/>
    <w:rsid w:val="0056121F"/>
    <w:rsid w:val="005635B4"/>
    <w:rsid w:val="00566318"/>
    <w:rsid w:val="0056683B"/>
    <w:rsid w:val="00566D01"/>
    <w:rsid w:val="00567F52"/>
    <w:rsid w:val="00572505"/>
    <w:rsid w:val="00573CEA"/>
    <w:rsid w:val="0057487C"/>
    <w:rsid w:val="00574B55"/>
    <w:rsid w:val="00574D01"/>
    <w:rsid w:val="00575E90"/>
    <w:rsid w:val="005765D6"/>
    <w:rsid w:val="00576B43"/>
    <w:rsid w:val="00576E80"/>
    <w:rsid w:val="00577733"/>
    <w:rsid w:val="00580254"/>
    <w:rsid w:val="0058233D"/>
    <w:rsid w:val="005825D4"/>
    <w:rsid w:val="00582809"/>
    <w:rsid w:val="0058341E"/>
    <w:rsid w:val="00583F3D"/>
    <w:rsid w:val="00585183"/>
    <w:rsid w:val="005852F0"/>
    <w:rsid w:val="00586000"/>
    <w:rsid w:val="0058798C"/>
    <w:rsid w:val="00587AF9"/>
    <w:rsid w:val="005900FA"/>
    <w:rsid w:val="00590191"/>
    <w:rsid w:val="005901AA"/>
    <w:rsid w:val="00590DCB"/>
    <w:rsid w:val="00590FED"/>
    <w:rsid w:val="00591489"/>
    <w:rsid w:val="005914F1"/>
    <w:rsid w:val="00591832"/>
    <w:rsid w:val="005925F7"/>
    <w:rsid w:val="00592A90"/>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19B"/>
    <w:rsid w:val="005A3AE8"/>
    <w:rsid w:val="005A3EA2"/>
    <w:rsid w:val="005A4050"/>
    <w:rsid w:val="005A52F5"/>
    <w:rsid w:val="005A662D"/>
    <w:rsid w:val="005A7362"/>
    <w:rsid w:val="005A7B52"/>
    <w:rsid w:val="005B0112"/>
    <w:rsid w:val="005B122A"/>
    <w:rsid w:val="005B1409"/>
    <w:rsid w:val="005B1C82"/>
    <w:rsid w:val="005B1F7D"/>
    <w:rsid w:val="005B22E9"/>
    <w:rsid w:val="005B2F35"/>
    <w:rsid w:val="005B35D7"/>
    <w:rsid w:val="005B381A"/>
    <w:rsid w:val="005B392A"/>
    <w:rsid w:val="005B3AA3"/>
    <w:rsid w:val="005B3BDD"/>
    <w:rsid w:val="005B3F5C"/>
    <w:rsid w:val="005B4092"/>
    <w:rsid w:val="005B4496"/>
    <w:rsid w:val="005B5231"/>
    <w:rsid w:val="005B5988"/>
    <w:rsid w:val="005B6F2C"/>
    <w:rsid w:val="005B6F83"/>
    <w:rsid w:val="005B7AA2"/>
    <w:rsid w:val="005B7B70"/>
    <w:rsid w:val="005C0619"/>
    <w:rsid w:val="005C0B23"/>
    <w:rsid w:val="005C1320"/>
    <w:rsid w:val="005C1B56"/>
    <w:rsid w:val="005C1DDC"/>
    <w:rsid w:val="005C227C"/>
    <w:rsid w:val="005C3B27"/>
    <w:rsid w:val="005C4252"/>
    <w:rsid w:val="005C4486"/>
    <w:rsid w:val="005C4D97"/>
    <w:rsid w:val="005C4FAC"/>
    <w:rsid w:val="005C5F8B"/>
    <w:rsid w:val="005C62F3"/>
    <w:rsid w:val="005C71C1"/>
    <w:rsid w:val="005C74FB"/>
    <w:rsid w:val="005C76A7"/>
    <w:rsid w:val="005C78C1"/>
    <w:rsid w:val="005C7A3C"/>
    <w:rsid w:val="005D0370"/>
    <w:rsid w:val="005D1602"/>
    <w:rsid w:val="005D1DC3"/>
    <w:rsid w:val="005D1EED"/>
    <w:rsid w:val="005D229D"/>
    <w:rsid w:val="005D24BF"/>
    <w:rsid w:val="005D2CAD"/>
    <w:rsid w:val="005D2FE9"/>
    <w:rsid w:val="005D38F5"/>
    <w:rsid w:val="005D4290"/>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851"/>
    <w:rsid w:val="005F5C67"/>
    <w:rsid w:val="005F5D2F"/>
    <w:rsid w:val="005F618C"/>
    <w:rsid w:val="005F67FE"/>
    <w:rsid w:val="005F70BD"/>
    <w:rsid w:val="006004FA"/>
    <w:rsid w:val="00600C67"/>
    <w:rsid w:val="0060283C"/>
    <w:rsid w:val="00603D6D"/>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3BFE"/>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1A"/>
    <w:rsid w:val="006241CE"/>
    <w:rsid w:val="006243E3"/>
    <w:rsid w:val="0062635B"/>
    <w:rsid w:val="006268FC"/>
    <w:rsid w:val="00627705"/>
    <w:rsid w:val="00627AC9"/>
    <w:rsid w:val="00630001"/>
    <w:rsid w:val="006302E6"/>
    <w:rsid w:val="00630685"/>
    <w:rsid w:val="00630D77"/>
    <w:rsid w:val="0063107B"/>
    <w:rsid w:val="006311B3"/>
    <w:rsid w:val="0063211C"/>
    <w:rsid w:val="0063284C"/>
    <w:rsid w:val="00632CF6"/>
    <w:rsid w:val="00634A41"/>
    <w:rsid w:val="00635198"/>
    <w:rsid w:val="006358BA"/>
    <w:rsid w:val="00636398"/>
    <w:rsid w:val="006368D3"/>
    <w:rsid w:val="00636F30"/>
    <w:rsid w:val="00636F32"/>
    <w:rsid w:val="006377EC"/>
    <w:rsid w:val="00637F0D"/>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7F8"/>
    <w:rsid w:val="00652A35"/>
    <w:rsid w:val="00653696"/>
    <w:rsid w:val="006544BB"/>
    <w:rsid w:val="006545CB"/>
    <w:rsid w:val="00654D22"/>
    <w:rsid w:val="00655733"/>
    <w:rsid w:val="006557EE"/>
    <w:rsid w:val="00655800"/>
    <w:rsid w:val="00655ACD"/>
    <w:rsid w:val="00656A92"/>
    <w:rsid w:val="00656DDE"/>
    <w:rsid w:val="00657652"/>
    <w:rsid w:val="00657E67"/>
    <w:rsid w:val="00657E8D"/>
    <w:rsid w:val="0066011D"/>
    <w:rsid w:val="006607C0"/>
    <w:rsid w:val="00660D09"/>
    <w:rsid w:val="006613A6"/>
    <w:rsid w:val="00661EEC"/>
    <w:rsid w:val="0066209D"/>
    <w:rsid w:val="006627A2"/>
    <w:rsid w:val="006634E6"/>
    <w:rsid w:val="0066527E"/>
    <w:rsid w:val="006655EE"/>
    <w:rsid w:val="006656ED"/>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5E7F"/>
    <w:rsid w:val="006761B8"/>
    <w:rsid w:val="006766F1"/>
    <w:rsid w:val="0067682B"/>
    <w:rsid w:val="00676F8E"/>
    <w:rsid w:val="006771F9"/>
    <w:rsid w:val="006776D7"/>
    <w:rsid w:val="006804F4"/>
    <w:rsid w:val="00680F2C"/>
    <w:rsid w:val="00681003"/>
    <w:rsid w:val="006817C9"/>
    <w:rsid w:val="00681B1C"/>
    <w:rsid w:val="00681D02"/>
    <w:rsid w:val="006821BF"/>
    <w:rsid w:val="0068234B"/>
    <w:rsid w:val="006827AF"/>
    <w:rsid w:val="006827FD"/>
    <w:rsid w:val="00682DF4"/>
    <w:rsid w:val="00683ECE"/>
    <w:rsid w:val="006841AA"/>
    <w:rsid w:val="0068493D"/>
    <w:rsid w:val="00684CE9"/>
    <w:rsid w:val="00684EE6"/>
    <w:rsid w:val="00685FB5"/>
    <w:rsid w:val="00687106"/>
    <w:rsid w:val="006877F1"/>
    <w:rsid w:val="006903D3"/>
    <w:rsid w:val="0069093F"/>
    <w:rsid w:val="00690C4C"/>
    <w:rsid w:val="0069173E"/>
    <w:rsid w:val="006938C2"/>
    <w:rsid w:val="00694191"/>
    <w:rsid w:val="006942AD"/>
    <w:rsid w:val="006956B0"/>
    <w:rsid w:val="00695BB7"/>
    <w:rsid w:val="00695FC2"/>
    <w:rsid w:val="006964A9"/>
    <w:rsid w:val="00696949"/>
    <w:rsid w:val="00696C2D"/>
    <w:rsid w:val="00697052"/>
    <w:rsid w:val="00697574"/>
    <w:rsid w:val="00697A72"/>
    <w:rsid w:val="006A03ED"/>
    <w:rsid w:val="006A0899"/>
    <w:rsid w:val="006A24B1"/>
    <w:rsid w:val="006A2D54"/>
    <w:rsid w:val="006A3312"/>
    <w:rsid w:val="006A431D"/>
    <w:rsid w:val="006A46FB"/>
    <w:rsid w:val="006A4889"/>
    <w:rsid w:val="006A5320"/>
    <w:rsid w:val="006A5E28"/>
    <w:rsid w:val="006A5F21"/>
    <w:rsid w:val="006A631A"/>
    <w:rsid w:val="006A65C3"/>
    <w:rsid w:val="006A697B"/>
    <w:rsid w:val="006A6DD0"/>
    <w:rsid w:val="006A774E"/>
    <w:rsid w:val="006A7AFF"/>
    <w:rsid w:val="006A7D3F"/>
    <w:rsid w:val="006B0ADF"/>
    <w:rsid w:val="006B1100"/>
    <w:rsid w:val="006B1595"/>
    <w:rsid w:val="006B1816"/>
    <w:rsid w:val="006B2099"/>
    <w:rsid w:val="006B2769"/>
    <w:rsid w:val="006B3A96"/>
    <w:rsid w:val="006B41E1"/>
    <w:rsid w:val="006B4C8B"/>
    <w:rsid w:val="006B50CF"/>
    <w:rsid w:val="006B63B3"/>
    <w:rsid w:val="006B7FA5"/>
    <w:rsid w:val="006C004B"/>
    <w:rsid w:val="006C03B8"/>
    <w:rsid w:val="006C043A"/>
    <w:rsid w:val="006C135E"/>
    <w:rsid w:val="006C17CA"/>
    <w:rsid w:val="006C1DBD"/>
    <w:rsid w:val="006C3BF1"/>
    <w:rsid w:val="006C4772"/>
    <w:rsid w:val="006C4BA8"/>
    <w:rsid w:val="006C4D2E"/>
    <w:rsid w:val="006C5997"/>
    <w:rsid w:val="006C5EC9"/>
    <w:rsid w:val="006C6059"/>
    <w:rsid w:val="006C652C"/>
    <w:rsid w:val="006C6965"/>
    <w:rsid w:val="006C6A0F"/>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5F18"/>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666"/>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2E03"/>
    <w:rsid w:val="0070338C"/>
    <w:rsid w:val="0070346E"/>
    <w:rsid w:val="00704EDB"/>
    <w:rsid w:val="007057EF"/>
    <w:rsid w:val="00706101"/>
    <w:rsid w:val="0070665F"/>
    <w:rsid w:val="00706999"/>
    <w:rsid w:val="00706D8C"/>
    <w:rsid w:val="00707072"/>
    <w:rsid w:val="00707266"/>
    <w:rsid w:val="00707888"/>
    <w:rsid w:val="00707A03"/>
    <w:rsid w:val="00707A9E"/>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7207"/>
    <w:rsid w:val="007204B4"/>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9E6"/>
    <w:rsid w:val="00725DF1"/>
    <w:rsid w:val="00725E90"/>
    <w:rsid w:val="0072680C"/>
    <w:rsid w:val="00726EA6"/>
    <w:rsid w:val="00727208"/>
    <w:rsid w:val="00727291"/>
    <w:rsid w:val="00727344"/>
    <w:rsid w:val="00727680"/>
    <w:rsid w:val="00727811"/>
    <w:rsid w:val="00727F54"/>
    <w:rsid w:val="007318A9"/>
    <w:rsid w:val="00731989"/>
    <w:rsid w:val="00734361"/>
    <w:rsid w:val="007344F1"/>
    <w:rsid w:val="007348B1"/>
    <w:rsid w:val="007351AB"/>
    <w:rsid w:val="00735C06"/>
    <w:rsid w:val="00735C80"/>
    <w:rsid w:val="00735FA4"/>
    <w:rsid w:val="007362A6"/>
    <w:rsid w:val="00736310"/>
    <w:rsid w:val="0073659F"/>
    <w:rsid w:val="007365F1"/>
    <w:rsid w:val="00736D7D"/>
    <w:rsid w:val="0073707D"/>
    <w:rsid w:val="00737AE3"/>
    <w:rsid w:val="00740E58"/>
    <w:rsid w:val="00741551"/>
    <w:rsid w:val="0074352D"/>
    <w:rsid w:val="007445A0"/>
    <w:rsid w:val="0074524B"/>
    <w:rsid w:val="007461AB"/>
    <w:rsid w:val="00747B54"/>
    <w:rsid w:val="00747D8B"/>
    <w:rsid w:val="00750B38"/>
    <w:rsid w:val="00751228"/>
    <w:rsid w:val="00751451"/>
    <w:rsid w:val="00752785"/>
    <w:rsid w:val="007528E6"/>
    <w:rsid w:val="00752C61"/>
    <w:rsid w:val="007531AC"/>
    <w:rsid w:val="00754983"/>
    <w:rsid w:val="007571E1"/>
    <w:rsid w:val="007579F0"/>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5F97"/>
    <w:rsid w:val="00766720"/>
    <w:rsid w:val="00766B52"/>
    <w:rsid w:val="00766BAD"/>
    <w:rsid w:val="007671F4"/>
    <w:rsid w:val="00767796"/>
    <w:rsid w:val="0077117E"/>
    <w:rsid w:val="007715BE"/>
    <w:rsid w:val="0077161B"/>
    <w:rsid w:val="007729A2"/>
    <w:rsid w:val="007733F3"/>
    <w:rsid w:val="0077366B"/>
    <w:rsid w:val="0077492B"/>
    <w:rsid w:val="00774E11"/>
    <w:rsid w:val="00775151"/>
    <w:rsid w:val="007755F2"/>
    <w:rsid w:val="00776971"/>
    <w:rsid w:val="00776D80"/>
    <w:rsid w:val="00776F51"/>
    <w:rsid w:val="0077706B"/>
    <w:rsid w:val="00777E4D"/>
    <w:rsid w:val="00780A80"/>
    <w:rsid w:val="0078145B"/>
    <w:rsid w:val="0078177E"/>
    <w:rsid w:val="00781B8F"/>
    <w:rsid w:val="00782855"/>
    <w:rsid w:val="0078304C"/>
    <w:rsid w:val="00783673"/>
    <w:rsid w:val="00784A15"/>
    <w:rsid w:val="00785490"/>
    <w:rsid w:val="00785660"/>
    <w:rsid w:val="00786E9D"/>
    <w:rsid w:val="00787FE1"/>
    <w:rsid w:val="00790C18"/>
    <w:rsid w:val="00790E55"/>
    <w:rsid w:val="00791F65"/>
    <w:rsid w:val="0079220E"/>
    <w:rsid w:val="00792553"/>
    <w:rsid w:val="007925EA"/>
    <w:rsid w:val="00792D58"/>
    <w:rsid w:val="00793CD8"/>
    <w:rsid w:val="00794231"/>
    <w:rsid w:val="007946B7"/>
    <w:rsid w:val="007947EB"/>
    <w:rsid w:val="00795B09"/>
    <w:rsid w:val="00795C92"/>
    <w:rsid w:val="00795E3A"/>
    <w:rsid w:val="00796231"/>
    <w:rsid w:val="007965A2"/>
    <w:rsid w:val="0079685A"/>
    <w:rsid w:val="00796DC1"/>
    <w:rsid w:val="00797A43"/>
    <w:rsid w:val="00797AD6"/>
    <w:rsid w:val="007A0395"/>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2948"/>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4EF7"/>
    <w:rsid w:val="007D5901"/>
    <w:rsid w:val="007D61F6"/>
    <w:rsid w:val="007D633D"/>
    <w:rsid w:val="007D66FE"/>
    <w:rsid w:val="007D74E2"/>
    <w:rsid w:val="007D7526"/>
    <w:rsid w:val="007E0DE8"/>
    <w:rsid w:val="007E15D2"/>
    <w:rsid w:val="007E2092"/>
    <w:rsid w:val="007E2484"/>
    <w:rsid w:val="007E2D0A"/>
    <w:rsid w:val="007E458D"/>
    <w:rsid w:val="007E4610"/>
    <w:rsid w:val="007E4715"/>
    <w:rsid w:val="007E4B5C"/>
    <w:rsid w:val="007E505B"/>
    <w:rsid w:val="007E61F6"/>
    <w:rsid w:val="007E6C13"/>
    <w:rsid w:val="007E7091"/>
    <w:rsid w:val="007E756A"/>
    <w:rsid w:val="007E7A36"/>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7C6F"/>
    <w:rsid w:val="00800DAE"/>
    <w:rsid w:val="00801A15"/>
    <w:rsid w:val="008022A7"/>
    <w:rsid w:val="00802587"/>
    <w:rsid w:val="00802E41"/>
    <w:rsid w:val="00802E43"/>
    <w:rsid w:val="00803011"/>
    <w:rsid w:val="008031A8"/>
    <w:rsid w:val="00803DEF"/>
    <w:rsid w:val="00803FAE"/>
    <w:rsid w:val="0080532C"/>
    <w:rsid w:val="008054A3"/>
    <w:rsid w:val="00805857"/>
    <w:rsid w:val="0080605F"/>
    <w:rsid w:val="008068F9"/>
    <w:rsid w:val="00807116"/>
    <w:rsid w:val="00807786"/>
    <w:rsid w:val="00807D9C"/>
    <w:rsid w:val="00811A53"/>
    <w:rsid w:val="00811FCB"/>
    <w:rsid w:val="00812CCF"/>
    <w:rsid w:val="008138C4"/>
    <w:rsid w:val="008138DA"/>
    <w:rsid w:val="0081410C"/>
    <w:rsid w:val="0081452C"/>
    <w:rsid w:val="00814F2C"/>
    <w:rsid w:val="008158D6"/>
    <w:rsid w:val="00815AE8"/>
    <w:rsid w:val="00816B32"/>
    <w:rsid w:val="00816E1F"/>
    <w:rsid w:val="00816ECE"/>
    <w:rsid w:val="00817196"/>
    <w:rsid w:val="00817905"/>
    <w:rsid w:val="008212A8"/>
    <w:rsid w:val="008214D4"/>
    <w:rsid w:val="008229DA"/>
    <w:rsid w:val="00822CC3"/>
    <w:rsid w:val="008231AB"/>
    <w:rsid w:val="008235DB"/>
    <w:rsid w:val="00823844"/>
    <w:rsid w:val="00824307"/>
    <w:rsid w:val="0082437E"/>
    <w:rsid w:val="00824AB4"/>
    <w:rsid w:val="00824B93"/>
    <w:rsid w:val="00824EF2"/>
    <w:rsid w:val="0082512E"/>
    <w:rsid w:val="00825C42"/>
    <w:rsid w:val="00825D25"/>
    <w:rsid w:val="008260F7"/>
    <w:rsid w:val="008261F7"/>
    <w:rsid w:val="008265A6"/>
    <w:rsid w:val="0082702F"/>
    <w:rsid w:val="00827B3E"/>
    <w:rsid w:val="00827D6F"/>
    <w:rsid w:val="00830352"/>
    <w:rsid w:val="00831963"/>
    <w:rsid w:val="0083257F"/>
    <w:rsid w:val="00832672"/>
    <w:rsid w:val="00833017"/>
    <w:rsid w:val="00833A85"/>
    <w:rsid w:val="00833F27"/>
    <w:rsid w:val="00834CDF"/>
    <w:rsid w:val="00835655"/>
    <w:rsid w:val="00835DF7"/>
    <w:rsid w:val="00836B14"/>
    <w:rsid w:val="00837529"/>
    <w:rsid w:val="008376AC"/>
    <w:rsid w:val="008400E6"/>
    <w:rsid w:val="00840273"/>
    <w:rsid w:val="008408EC"/>
    <w:rsid w:val="00840CF9"/>
    <w:rsid w:val="00840F46"/>
    <w:rsid w:val="008411CF"/>
    <w:rsid w:val="008415F6"/>
    <w:rsid w:val="00841FEF"/>
    <w:rsid w:val="00842CFB"/>
    <w:rsid w:val="00843684"/>
    <w:rsid w:val="00843FD4"/>
    <w:rsid w:val="008444E8"/>
    <w:rsid w:val="00844A26"/>
    <w:rsid w:val="00844E80"/>
    <w:rsid w:val="00846508"/>
    <w:rsid w:val="00846FE7"/>
    <w:rsid w:val="0084728C"/>
    <w:rsid w:val="00850360"/>
    <w:rsid w:val="00850C3C"/>
    <w:rsid w:val="00851502"/>
    <w:rsid w:val="00851A76"/>
    <w:rsid w:val="00851BAD"/>
    <w:rsid w:val="00851F93"/>
    <w:rsid w:val="008520BC"/>
    <w:rsid w:val="0085229C"/>
    <w:rsid w:val="00852326"/>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1FB6"/>
    <w:rsid w:val="008620DF"/>
    <w:rsid w:val="00862DF6"/>
    <w:rsid w:val="008649DD"/>
    <w:rsid w:val="00864CE7"/>
    <w:rsid w:val="00865FB7"/>
    <w:rsid w:val="00866953"/>
    <w:rsid w:val="008677FD"/>
    <w:rsid w:val="00867B97"/>
    <w:rsid w:val="00867FC8"/>
    <w:rsid w:val="00870568"/>
    <w:rsid w:val="0087068B"/>
    <w:rsid w:val="008706D4"/>
    <w:rsid w:val="00870F8A"/>
    <w:rsid w:val="008719A4"/>
    <w:rsid w:val="00871D23"/>
    <w:rsid w:val="008727D3"/>
    <w:rsid w:val="008728FD"/>
    <w:rsid w:val="00872AC9"/>
    <w:rsid w:val="0087365B"/>
    <w:rsid w:val="00873775"/>
    <w:rsid w:val="00874312"/>
    <w:rsid w:val="0087437C"/>
    <w:rsid w:val="00874382"/>
    <w:rsid w:val="00874AA0"/>
    <w:rsid w:val="008756A8"/>
    <w:rsid w:val="00875701"/>
    <w:rsid w:val="00875CD7"/>
    <w:rsid w:val="00876A93"/>
    <w:rsid w:val="00876B4D"/>
    <w:rsid w:val="00877C89"/>
    <w:rsid w:val="00877F18"/>
    <w:rsid w:val="00880158"/>
    <w:rsid w:val="0088019D"/>
    <w:rsid w:val="0088037E"/>
    <w:rsid w:val="008807DC"/>
    <w:rsid w:val="008821B6"/>
    <w:rsid w:val="00882253"/>
    <w:rsid w:val="00882D2B"/>
    <w:rsid w:val="008830B2"/>
    <w:rsid w:val="00884942"/>
    <w:rsid w:val="008852A1"/>
    <w:rsid w:val="008857C8"/>
    <w:rsid w:val="00885866"/>
    <w:rsid w:val="00885AC1"/>
    <w:rsid w:val="00885F87"/>
    <w:rsid w:val="00886726"/>
    <w:rsid w:val="00890084"/>
    <w:rsid w:val="00890BDB"/>
    <w:rsid w:val="00890C9F"/>
    <w:rsid w:val="00890F93"/>
    <w:rsid w:val="008919EC"/>
    <w:rsid w:val="008923B8"/>
    <w:rsid w:val="008941E3"/>
    <w:rsid w:val="00894397"/>
    <w:rsid w:val="00894A88"/>
    <w:rsid w:val="00895386"/>
    <w:rsid w:val="00897C73"/>
    <w:rsid w:val="008A01C6"/>
    <w:rsid w:val="008A02C7"/>
    <w:rsid w:val="008A0A98"/>
    <w:rsid w:val="008A0AA5"/>
    <w:rsid w:val="008A0B93"/>
    <w:rsid w:val="008A15A6"/>
    <w:rsid w:val="008A1D76"/>
    <w:rsid w:val="008A21FF"/>
    <w:rsid w:val="008A2695"/>
    <w:rsid w:val="008A2CBD"/>
    <w:rsid w:val="008A2CE2"/>
    <w:rsid w:val="008A30AC"/>
    <w:rsid w:val="008A3121"/>
    <w:rsid w:val="008A3B58"/>
    <w:rsid w:val="008A44B8"/>
    <w:rsid w:val="008A4779"/>
    <w:rsid w:val="008A4D94"/>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1A96"/>
    <w:rsid w:val="008C2017"/>
    <w:rsid w:val="008C22A0"/>
    <w:rsid w:val="008C2A77"/>
    <w:rsid w:val="008C3231"/>
    <w:rsid w:val="008C3682"/>
    <w:rsid w:val="008C4958"/>
    <w:rsid w:val="008C4BAA"/>
    <w:rsid w:val="008C5164"/>
    <w:rsid w:val="008C55E4"/>
    <w:rsid w:val="008C6374"/>
    <w:rsid w:val="008C6AE8"/>
    <w:rsid w:val="008C7573"/>
    <w:rsid w:val="008C7650"/>
    <w:rsid w:val="008D00A5"/>
    <w:rsid w:val="008D0EF1"/>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3458"/>
    <w:rsid w:val="008E4C52"/>
    <w:rsid w:val="008E513F"/>
    <w:rsid w:val="008E5762"/>
    <w:rsid w:val="008E5ADC"/>
    <w:rsid w:val="008E6E3A"/>
    <w:rsid w:val="008E7D72"/>
    <w:rsid w:val="008E7D76"/>
    <w:rsid w:val="008F03FC"/>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239"/>
    <w:rsid w:val="0090336B"/>
    <w:rsid w:val="00903587"/>
    <w:rsid w:val="00905143"/>
    <w:rsid w:val="009053AA"/>
    <w:rsid w:val="009055D4"/>
    <w:rsid w:val="00906939"/>
    <w:rsid w:val="00906ACA"/>
    <w:rsid w:val="00906B1A"/>
    <w:rsid w:val="009072BA"/>
    <w:rsid w:val="009078B7"/>
    <w:rsid w:val="009102F6"/>
    <w:rsid w:val="009104AD"/>
    <w:rsid w:val="00910B7D"/>
    <w:rsid w:val="00910BA1"/>
    <w:rsid w:val="0091105C"/>
    <w:rsid w:val="009113DE"/>
    <w:rsid w:val="00911674"/>
    <w:rsid w:val="0091167F"/>
    <w:rsid w:val="00911BB5"/>
    <w:rsid w:val="00911DFB"/>
    <w:rsid w:val="009127CF"/>
    <w:rsid w:val="0091319E"/>
    <w:rsid w:val="00913589"/>
    <w:rsid w:val="00913794"/>
    <w:rsid w:val="0091392E"/>
    <w:rsid w:val="009139D9"/>
    <w:rsid w:val="009140C9"/>
    <w:rsid w:val="0091455C"/>
    <w:rsid w:val="0091463A"/>
    <w:rsid w:val="00914AD8"/>
    <w:rsid w:val="00914F30"/>
    <w:rsid w:val="00915EE1"/>
    <w:rsid w:val="00916079"/>
    <w:rsid w:val="00917CE9"/>
    <w:rsid w:val="00920BF2"/>
    <w:rsid w:val="00920F57"/>
    <w:rsid w:val="009214D9"/>
    <w:rsid w:val="00922010"/>
    <w:rsid w:val="009221C0"/>
    <w:rsid w:val="00922F6D"/>
    <w:rsid w:val="009231FA"/>
    <w:rsid w:val="009238D7"/>
    <w:rsid w:val="009239BA"/>
    <w:rsid w:val="00924180"/>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295"/>
    <w:rsid w:val="00947713"/>
    <w:rsid w:val="00947EE8"/>
    <w:rsid w:val="009506D8"/>
    <w:rsid w:val="00950DE7"/>
    <w:rsid w:val="0095135D"/>
    <w:rsid w:val="0095145B"/>
    <w:rsid w:val="00951A37"/>
    <w:rsid w:val="00951FF2"/>
    <w:rsid w:val="00952357"/>
    <w:rsid w:val="00952411"/>
    <w:rsid w:val="00952D5F"/>
    <w:rsid w:val="00953920"/>
    <w:rsid w:val="00953D47"/>
    <w:rsid w:val="00953D70"/>
    <w:rsid w:val="00954319"/>
    <w:rsid w:val="00954399"/>
    <w:rsid w:val="009543A7"/>
    <w:rsid w:val="00954701"/>
    <w:rsid w:val="0095481F"/>
    <w:rsid w:val="00954E01"/>
    <w:rsid w:val="009551D4"/>
    <w:rsid w:val="009553B3"/>
    <w:rsid w:val="0095576B"/>
    <w:rsid w:val="00955DF7"/>
    <w:rsid w:val="00956515"/>
    <w:rsid w:val="0095681E"/>
    <w:rsid w:val="00956C7F"/>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063D"/>
    <w:rsid w:val="00982D26"/>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46C"/>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548"/>
    <w:rsid w:val="009B0A85"/>
    <w:rsid w:val="009B0AD8"/>
    <w:rsid w:val="009B1AAD"/>
    <w:rsid w:val="009B1F30"/>
    <w:rsid w:val="009B242F"/>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67C0"/>
    <w:rsid w:val="009C73D9"/>
    <w:rsid w:val="009D0F17"/>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3C2"/>
    <w:rsid w:val="009E47A3"/>
    <w:rsid w:val="009E590A"/>
    <w:rsid w:val="009E5930"/>
    <w:rsid w:val="009E6015"/>
    <w:rsid w:val="009E66E2"/>
    <w:rsid w:val="009E795F"/>
    <w:rsid w:val="009F08F3"/>
    <w:rsid w:val="009F09F8"/>
    <w:rsid w:val="009F0D61"/>
    <w:rsid w:val="009F0F66"/>
    <w:rsid w:val="009F1CA4"/>
    <w:rsid w:val="009F1F61"/>
    <w:rsid w:val="009F24B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923"/>
    <w:rsid w:val="00A04F49"/>
    <w:rsid w:val="00A060E9"/>
    <w:rsid w:val="00A0622F"/>
    <w:rsid w:val="00A0747E"/>
    <w:rsid w:val="00A07C97"/>
    <w:rsid w:val="00A07CF5"/>
    <w:rsid w:val="00A07D45"/>
    <w:rsid w:val="00A11511"/>
    <w:rsid w:val="00A12E0F"/>
    <w:rsid w:val="00A132BA"/>
    <w:rsid w:val="00A13E54"/>
    <w:rsid w:val="00A1429B"/>
    <w:rsid w:val="00A14C65"/>
    <w:rsid w:val="00A14ED2"/>
    <w:rsid w:val="00A1533E"/>
    <w:rsid w:val="00A15C5E"/>
    <w:rsid w:val="00A17E06"/>
    <w:rsid w:val="00A17F63"/>
    <w:rsid w:val="00A20CA4"/>
    <w:rsid w:val="00A211E3"/>
    <w:rsid w:val="00A21268"/>
    <w:rsid w:val="00A2193B"/>
    <w:rsid w:val="00A22218"/>
    <w:rsid w:val="00A23261"/>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A8E"/>
    <w:rsid w:val="00A32E1B"/>
    <w:rsid w:val="00A3420D"/>
    <w:rsid w:val="00A3448A"/>
    <w:rsid w:val="00A34D73"/>
    <w:rsid w:val="00A36297"/>
    <w:rsid w:val="00A377F7"/>
    <w:rsid w:val="00A37D34"/>
    <w:rsid w:val="00A401EA"/>
    <w:rsid w:val="00A40717"/>
    <w:rsid w:val="00A40CC9"/>
    <w:rsid w:val="00A40F99"/>
    <w:rsid w:val="00A41578"/>
    <w:rsid w:val="00A4162F"/>
    <w:rsid w:val="00A416C2"/>
    <w:rsid w:val="00A41BCA"/>
    <w:rsid w:val="00A41E2B"/>
    <w:rsid w:val="00A42349"/>
    <w:rsid w:val="00A428F8"/>
    <w:rsid w:val="00A42BB4"/>
    <w:rsid w:val="00A4325C"/>
    <w:rsid w:val="00A4340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595"/>
    <w:rsid w:val="00A67C96"/>
    <w:rsid w:val="00A67C9E"/>
    <w:rsid w:val="00A67E6C"/>
    <w:rsid w:val="00A67EC3"/>
    <w:rsid w:val="00A701B1"/>
    <w:rsid w:val="00A71B99"/>
    <w:rsid w:val="00A737F5"/>
    <w:rsid w:val="00A739D0"/>
    <w:rsid w:val="00A74B4C"/>
    <w:rsid w:val="00A74FE2"/>
    <w:rsid w:val="00A760D4"/>
    <w:rsid w:val="00A761D4"/>
    <w:rsid w:val="00A76340"/>
    <w:rsid w:val="00A76A72"/>
    <w:rsid w:val="00A76D37"/>
    <w:rsid w:val="00A77EC4"/>
    <w:rsid w:val="00A805AF"/>
    <w:rsid w:val="00A806C6"/>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442A"/>
    <w:rsid w:val="00A94676"/>
    <w:rsid w:val="00A94A72"/>
    <w:rsid w:val="00A94C5E"/>
    <w:rsid w:val="00A95472"/>
    <w:rsid w:val="00A96BEC"/>
    <w:rsid w:val="00AA009B"/>
    <w:rsid w:val="00AA016F"/>
    <w:rsid w:val="00AA13F9"/>
    <w:rsid w:val="00AA152F"/>
    <w:rsid w:val="00AA1EB5"/>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C21"/>
    <w:rsid w:val="00AB7DF0"/>
    <w:rsid w:val="00AC007F"/>
    <w:rsid w:val="00AC0DF7"/>
    <w:rsid w:val="00AC0E99"/>
    <w:rsid w:val="00AC20C1"/>
    <w:rsid w:val="00AC2ECD"/>
    <w:rsid w:val="00AC2FD2"/>
    <w:rsid w:val="00AC3119"/>
    <w:rsid w:val="00AC49FB"/>
    <w:rsid w:val="00AC4F1D"/>
    <w:rsid w:val="00AC51FF"/>
    <w:rsid w:val="00AC5319"/>
    <w:rsid w:val="00AC55EA"/>
    <w:rsid w:val="00AC593B"/>
    <w:rsid w:val="00AC5A10"/>
    <w:rsid w:val="00AC78F3"/>
    <w:rsid w:val="00AC7AED"/>
    <w:rsid w:val="00AD0AA3"/>
    <w:rsid w:val="00AD0B75"/>
    <w:rsid w:val="00AD1BD2"/>
    <w:rsid w:val="00AD2C0D"/>
    <w:rsid w:val="00AD2E46"/>
    <w:rsid w:val="00AD3F94"/>
    <w:rsid w:val="00AD4A5A"/>
    <w:rsid w:val="00AD501C"/>
    <w:rsid w:val="00AD5409"/>
    <w:rsid w:val="00AD5E16"/>
    <w:rsid w:val="00AD663E"/>
    <w:rsid w:val="00AD6E56"/>
    <w:rsid w:val="00AE075A"/>
    <w:rsid w:val="00AE142F"/>
    <w:rsid w:val="00AE15DF"/>
    <w:rsid w:val="00AE27AC"/>
    <w:rsid w:val="00AE2A93"/>
    <w:rsid w:val="00AE3FB8"/>
    <w:rsid w:val="00AE40E0"/>
    <w:rsid w:val="00AE4DBA"/>
    <w:rsid w:val="00AE4E6D"/>
    <w:rsid w:val="00AE4F07"/>
    <w:rsid w:val="00AE5E5D"/>
    <w:rsid w:val="00AE6591"/>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6213"/>
    <w:rsid w:val="00B07DC9"/>
    <w:rsid w:val="00B07F10"/>
    <w:rsid w:val="00B10458"/>
    <w:rsid w:val="00B106A6"/>
    <w:rsid w:val="00B10A86"/>
    <w:rsid w:val="00B10B43"/>
    <w:rsid w:val="00B113FF"/>
    <w:rsid w:val="00B13CC3"/>
    <w:rsid w:val="00B156B7"/>
    <w:rsid w:val="00B157F9"/>
    <w:rsid w:val="00B15AD0"/>
    <w:rsid w:val="00B16157"/>
    <w:rsid w:val="00B20256"/>
    <w:rsid w:val="00B20C76"/>
    <w:rsid w:val="00B20D09"/>
    <w:rsid w:val="00B21660"/>
    <w:rsid w:val="00B21DDC"/>
    <w:rsid w:val="00B2218D"/>
    <w:rsid w:val="00B224FD"/>
    <w:rsid w:val="00B2327D"/>
    <w:rsid w:val="00B236A6"/>
    <w:rsid w:val="00B23D1B"/>
    <w:rsid w:val="00B247B3"/>
    <w:rsid w:val="00B24959"/>
    <w:rsid w:val="00B25221"/>
    <w:rsid w:val="00B25482"/>
    <w:rsid w:val="00B25D77"/>
    <w:rsid w:val="00B2763F"/>
    <w:rsid w:val="00B2769B"/>
    <w:rsid w:val="00B27AAC"/>
    <w:rsid w:val="00B27B8C"/>
    <w:rsid w:val="00B30929"/>
    <w:rsid w:val="00B314C3"/>
    <w:rsid w:val="00B31E8E"/>
    <w:rsid w:val="00B32445"/>
    <w:rsid w:val="00B33017"/>
    <w:rsid w:val="00B33E5A"/>
    <w:rsid w:val="00B345A3"/>
    <w:rsid w:val="00B34F52"/>
    <w:rsid w:val="00B34FCC"/>
    <w:rsid w:val="00B350A0"/>
    <w:rsid w:val="00B35424"/>
    <w:rsid w:val="00B357AA"/>
    <w:rsid w:val="00B372AA"/>
    <w:rsid w:val="00B37AD9"/>
    <w:rsid w:val="00B37E63"/>
    <w:rsid w:val="00B403DC"/>
    <w:rsid w:val="00B40445"/>
    <w:rsid w:val="00B409D9"/>
    <w:rsid w:val="00B409E0"/>
    <w:rsid w:val="00B412FD"/>
    <w:rsid w:val="00B4159E"/>
    <w:rsid w:val="00B41888"/>
    <w:rsid w:val="00B42364"/>
    <w:rsid w:val="00B42778"/>
    <w:rsid w:val="00B427B1"/>
    <w:rsid w:val="00B43021"/>
    <w:rsid w:val="00B4326E"/>
    <w:rsid w:val="00B43B6B"/>
    <w:rsid w:val="00B441FF"/>
    <w:rsid w:val="00B45657"/>
    <w:rsid w:val="00B45692"/>
    <w:rsid w:val="00B45A52"/>
    <w:rsid w:val="00B4606B"/>
    <w:rsid w:val="00B46175"/>
    <w:rsid w:val="00B46B54"/>
    <w:rsid w:val="00B470D4"/>
    <w:rsid w:val="00B47AA5"/>
    <w:rsid w:val="00B50562"/>
    <w:rsid w:val="00B51432"/>
    <w:rsid w:val="00B515DF"/>
    <w:rsid w:val="00B51EDE"/>
    <w:rsid w:val="00B51F26"/>
    <w:rsid w:val="00B51F7F"/>
    <w:rsid w:val="00B53EA9"/>
    <w:rsid w:val="00B548B7"/>
    <w:rsid w:val="00B54F64"/>
    <w:rsid w:val="00B54F83"/>
    <w:rsid w:val="00B55C76"/>
    <w:rsid w:val="00B5605E"/>
    <w:rsid w:val="00B56A52"/>
    <w:rsid w:val="00B56F3B"/>
    <w:rsid w:val="00B579CD"/>
    <w:rsid w:val="00B57E9F"/>
    <w:rsid w:val="00B57EC3"/>
    <w:rsid w:val="00B60A5A"/>
    <w:rsid w:val="00B61AA7"/>
    <w:rsid w:val="00B629C9"/>
    <w:rsid w:val="00B62F2E"/>
    <w:rsid w:val="00B63378"/>
    <w:rsid w:val="00B635DC"/>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81A6C"/>
    <w:rsid w:val="00B81D93"/>
    <w:rsid w:val="00B8202F"/>
    <w:rsid w:val="00B834E9"/>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2D0"/>
    <w:rsid w:val="00B97718"/>
    <w:rsid w:val="00B97DA2"/>
    <w:rsid w:val="00BA1564"/>
    <w:rsid w:val="00BA175B"/>
    <w:rsid w:val="00BA2280"/>
    <w:rsid w:val="00BA2A08"/>
    <w:rsid w:val="00BA2D5C"/>
    <w:rsid w:val="00BA2D6F"/>
    <w:rsid w:val="00BA3259"/>
    <w:rsid w:val="00BA3809"/>
    <w:rsid w:val="00BA56D2"/>
    <w:rsid w:val="00BA5E0C"/>
    <w:rsid w:val="00BA61FA"/>
    <w:rsid w:val="00BA705D"/>
    <w:rsid w:val="00BA76E0"/>
    <w:rsid w:val="00BB13D9"/>
    <w:rsid w:val="00BB2A25"/>
    <w:rsid w:val="00BB32DF"/>
    <w:rsid w:val="00BB36F4"/>
    <w:rsid w:val="00BB4978"/>
    <w:rsid w:val="00BB51E9"/>
    <w:rsid w:val="00BB67D6"/>
    <w:rsid w:val="00BB6FB7"/>
    <w:rsid w:val="00BB7007"/>
    <w:rsid w:val="00BB7C24"/>
    <w:rsid w:val="00BB7FAE"/>
    <w:rsid w:val="00BC0FDC"/>
    <w:rsid w:val="00BC1ED0"/>
    <w:rsid w:val="00BC2795"/>
    <w:rsid w:val="00BC3053"/>
    <w:rsid w:val="00BC410E"/>
    <w:rsid w:val="00BC44C4"/>
    <w:rsid w:val="00BC4D2E"/>
    <w:rsid w:val="00BC5371"/>
    <w:rsid w:val="00BC54ED"/>
    <w:rsid w:val="00BC5824"/>
    <w:rsid w:val="00BC5F4B"/>
    <w:rsid w:val="00BC650B"/>
    <w:rsid w:val="00BC699B"/>
    <w:rsid w:val="00BC73AC"/>
    <w:rsid w:val="00BD0698"/>
    <w:rsid w:val="00BD07C6"/>
    <w:rsid w:val="00BD07CD"/>
    <w:rsid w:val="00BD0AC4"/>
    <w:rsid w:val="00BD2761"/>
    <w:rsid w:val="00BD299B"/>
    <w:rsid w:val="00BD3374"/>
    <w:rsid w:val="00BD39DC"/>
    <w:rsid w:val="00BD48AC"/>
    <w:rsid w:val="00BD4D68"/>
    <w:rsid w:val="00BD5942"/>
    <w:rsid w:val="00BD5F1A"/>
    <w:rsid w:val="00BD6059"/>
    <w:rsid w:val="00BD6CDD"/>
    <w:rsid w:val="00BD756F"/>
    <w:rsid w:val="00BE05B4"/>
    <w:rsid w:val="00BE061B"/>
    <w:rsid w:val="00BE0D40"/>
    <w:rsid w:val="00BE1234"/>
    <w:rsid w:val="00BE1675"/>
    <w:rsid w:val="00BE27AF"/>
    <w:rsid w:val="00BE2C6F"/>
    <w:rsid w:val="00BE2FA6"/>
    <w:rsid w:val="00BE30D0"/>
    <w:rsid w:val="00BE333F"/>
    <w:rsid w:val="00BE3C70"/>
    <w:rsid w:val="00BE41B1"/>
    <w:rsid w:val="00BE48AE"/>
    <w:rsid w:val="00BE4CDE"/>
    <w:rsid w:val="00BE5332"/>
    <w:rsid w:val="00BE5B45"/>
    <w:rsid w:val="00BE6564"/>
    <w:rsid w:val="00BE6715"/>
    <w:rsid w:val="00BE6B58"/>
    <w:rsid w:val="00BE6CD8"/>
    <w:rsid w:val="00BE7078"/>
    <w:rsid w:val="00BE7406"/>
    <w:rsid w:val="00BE7603"/>
    <w:rsid w:val="00BE7E05"/>
    <w:rsid w:val="00BF07E1"/>
    <w:rsid w:val="00BF09A2"/>
    <w:rsid w:val="00BF133D"/>
    <w:rsid w:val="00BF1FA2"/>
    <w:rsid w:val="00BF2B27"/>
    <w:rsid w:val="00BF2CB4"/>
    <w:rsid w:val="00BF2CE9"/>
    <w:rsid w:val="00BF2EAD"/>
    <w:rsid w:val="00BF3279"/>
    <w:rsid w:val="00BF372B"/>
    <w:rsid w:val="00BF4680"/>
    <w:rsid w:val="00BF4F84"/>
    <w:rsid w:val="00BF57F1"/>
    <w:rsid w:val="00BF6B83"/>
    <w:rsid w:val="00BF74C7"/>
    <w:rsid w:val="00BF7E48"/>
    <w:rsid w:val="00C008AF"/>
    <w:rsid w:val="00C00B01"/>
    <w:rsid w:val="00C00F4A"/>
    <w:rsid w:val="00C01134"/>
    <w:rsid w:val="00C015F1"/>
    <w:rsid w:val="00C01836"/>
    <w:rsid w:val="00C01BD1"/>
    <w:rsid w:val="00C01F33"/>
    <w:rsid w:val="00C0294A"/>
    <w:rsid w:val="00C02CC6"/>
    <w:rsid w:val="00C040F7"/>
    <w:rsid w:val="00C044AB"/>
    <w:rsid w:val="00C0545C"/>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17B79"/>
    <w:rsid w:val="00C20048"/>
    <w:rsid w:val="00C20108"/>
    <w:rsid w:val="00C203B9"/>
    <w:rsid w:val="00C203FF"/>
    <w:rsid w:val="00C21519"/>
    <w:rsid w:val="00C217D6"/>
    <w:rsid w:val="00C21A6F"/>
    <w:rsid w:val="00C21A8D"/>
    <w:rsid w:val="00C21DD8"/>
    <w:rsid w:val="00C22072"/>
    <w:rsid w:val="00C22199"/>
    <w:rsid w:val="00C2238C"/>
    <w:rsid w:val="00C2290B"/>
    <w:rsid w:val="00C22EB8"/>
    <w:rsid w:val="00C23840"/>
    <w:rsid w:val="00C259FD"/>
    <w:rsid w:val="00C264BF"/>
    <w:rsid w:val="00C279B5"/>
    <w:rsid w:val="00C27C45"/>
    <w:rsid w:val="00C306D2"/>
    <w:rsid w:val="00C317D9"/>
    <w:rsid w:val="00C31A37"/>
    <w:rsid w:val="00C31E08"/>
    <w:rsid w:val="00C3246F"/>
    <w:rsid w:val="00C327E1"/>
    <w:rsid w:val="00C329F3"/>
    <w:rsid w:val="00C33233"/>
    <w:rsid w:val="00C345A5"/>
    <w:rsid w:val="00C345C8"/>
    <w:rsid w:val="00C34D86"/>
    <w:rsid w:val="00C3537C"/>
    <w:rsid w:val="00C35DDC"/>
    <w:rsid w:val="00C3719D"/>
    <w:rsid w:val="00C3787A"/>
    <w:rsid w:val="00C37CB2"/>
    <w:rsid w:val="00C404A9"/>
    <w:rsid w:val="00C40FA7"/>
    <w:rsid w:val="00C41206"/>
    <w:rsid w:val="00C412DA"/>
    <w:rsid w:val="00C426AF"/>
    <w:rsid w:val="00C43412"/>
    <w:rsid w:val="00C43F87"/>
    <w:rsid w:val="00C44A47"/>
    <w:rsid w:val="00C456EF"/>
    <w:rsid w:val="00C473A5"/>
    <w:rsid w:val="00C502C3"/>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57F71"/>
    <w:rsid w:val="00C60783"/>
    <w:rsid w:val="00C628DF"/>
    <w:rsid w:val="00C62948"/>
    <w:rsid w:val="00C62C81"/>
    <w:rsid w:val="00C63ED8"/>
    <w:rsid w:val="00C64672"/>
    <w:rsid w:val="00C650C6"/>
    <w:rsid w:val="00C650CD"/>
    <w:rsid w:val="00C6511B"/>
    <w:rsid w:val="00C65ACB"/>
    <w:rsid w:val="00C65EC8"/>
    <w:rsid w:val="00C66240"/>
    <w:rsid w:val="00C6637A"/>
    <w:rsid w:val="00C6684D"/>
    <w:rsid w:val="00C66DC4"/>
    <w:rsid w:val="00C679B2"/>
    <w:rsid w:val="00C67B25"/>
    <w:rsid w:val="00C70697"/>
    <w:rsid w:val="00C71A5A"/>
    <w:rsid w:val="00C72093"/>
    <w:rsid w:val="00C72DCD"/>
    <w:rsid w:val="00C72EF4"/>
    <w:rsid w:val="00C744FE"/>
    <w:rsid w:val="00C75130"/>
    <w:rsid w:val="00C755EF"/>
    <w:rsid w:val="00C758FA"/>
    <w:rsid w:val="00C75D2F"/>
    <w:rsid w:val="00C76659"/>
    <w:rsid w:val="00C76764"/>
    <w:rsid w:val="00C767BE"/>
    <w:rsid w:val="00C76E3C"/>
    <w:rsid w:val="00C76FA4"/>
    <w:rsid w:val="00C77516"/>
    <w:rsid w:val="00C801A7"/>
    <w:rsid w:val="00C80809"/>
    <w:rsid w:val="00C81269"/>
    <w:rsid w:val="00C81568"/>
    <w:rsid w:val="00C82A3C"/>
    <w:rsid w:val="00C82E7E"/>
    <w:rsid w:val="00C83524"/>
    <w:rsid w:val="00C83FEA"/>
    <w:rsid w:val="00C84787"/>
    <w:rsid w:val="00C84D60"/>
    <w:rsid w:val="00C8503A"/>
    <w:rsid w:val="00C85C19"/>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DD2"/>
    <w:rsid w:val="00C97F35"/>
    <w:rsid w:val="00CA010B"/>
    <w:rsid w:val="00CA04C8"/>
    <w:rsid w:val="00CA0863"/>
    <w:rsid w:val="00CA181E"/>
    <w:rsid w:val="00CA1ED8"/>
    <w:rsid w:val="00CA2661"/>
    <w:rsid w:val="00CA3600"/>
    <w:rsid w:val="00CA4B18"/>
    <w:rsid w:val="00CA51BE"/>
    <w:rsid w:val="00CA6480"/>
    <w:rsid w:val="00CA6DDC"/>
    <w:rsid w:val="00CA7608"/>
    <w:rsid w:val="00CA7BAB"/>
    <w:rsid w:val="00CB01D7"/>
    <w:rsid w:val="00CB133D"/>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0B2"/>
    <w:rsid w:val="00CC6161"/>
    <w:rsid w:val="00CC701C"/>
    <w:rsid w:val="00CC7453"/>
    <w:rsid w:val="00CC7B45"/>
    <w:rsid w:val="00CD1188"/>
    <w:rsid w:val="00CD11BA"/>
    <w:rsid w:val="00CD2141"/>
    <w:rsid w:val="00CD2C4E"/>
    <w:rsid w:val="00CD2D77"/>
    <w:rsid w:val="00CD2ED1"/>
    <w:rsid w:val="00CD3308"/>
    <w:rsid w:val="00CD337B"/>
    <w:rsid w:val="00CD3593"/>
    <w:rsid w:val="00CD3EC4"/>
    <w:rsid w:val="00CD4129"/>
    <w:rsid w:val="00CD4293"/>
    <w:rsid w:val="00CD445C"/>
    <w:rsid w:val="00CD462E"/>
    <w:rsid w:val="00CD51C1"/>
    <w:rsid w:val="00CD568A"/>
    <w:rsid w:val="00CD5BA9"/>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31F"/>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4BA"/>
    <w:rsid w:val="00D00902"/>
    <w:rsid w:val="00D01158"/>
    <w:rsid w:val="00D013C3"/>
    <w:rsid w:val="00D01D1B"/>
    <w:rsid w:val="00D02D8C"/>
    <w:rsid w:val="00D0349B"/>
    <w:rsid w:val="00D036C7"/>
    <w:rsid w:val="00D0435A"/>
    <w:rsid w:val="00D04921"/>
    <w:rsid w:val="00D0539B"/>
    <w:rsid w:val="00D06717"/>
    <w:rsid w:val="00D07629"/>
    <w:rsid w:val="00D10229"/>
    <w:rsid w:val="00D10249"/>
    <w:rsid w:val="00D10831"/>
    <w:rsid w:val="00D10A4A"/>
    <w:rsid w:val="00D10ABF"/>
    <w:rsid w:val="00D115C3"/>
    <w:rsid w:val="00D11897"/>
    <w:rsid w:val="00D11DB9"/>
    <w:rsid w:val="00D121A9"/>
    <w:rsid w:val="00D13135"/>
    <w:rsid w:val="00D1388B"/>
    <w:rsid w:val="00D13E4E"/>
    <w:rsid w:val="00D13F2D"/>
    <w:rsid w:val="00D143AD"/>
    <w:rsid w:val="00D15BA4"/>
    <w:rsid w:val="00D15F96"/>
    <w:rsid w:val="00D176C5"/>
    <w:rsid w:val="00D179DD"/>
    <w:rsid w:val="00D22AB5"/>
    <w:rsid w:val="00D232E2"/>
    <w:rsid w:val="00D239A7"/>
    <w:rsid w:val="00D23BDB"/>
    <w:rsid w:val="00D23F47"/>
    <w:rsid w:val="00D24611"/>
    <w:rsid w:val="00D250FB"/>
    <w:rsid w:val="00D25E03"/>
    <w:rsid w:val="00D263D5"/>
    <w:rsid w:val="00D27AB8"/>
    <w:rsid w:val="00D309F9"/>
    <w:rsid w:val="00D317BF"/>
    <w:rsid w:val="00D31E34"/>
    <w:rsid w:val="00D32373"/>
    <w:rsid w:val="00D32494"/>
    <w:rsid w:val="00D33CBB"/>
    <w:rsid w:val="00D35302"/>
    <w:rsid w:val="00D354E3"/>
    <w:rsid w:val="00D3553E"/>
    <w:rsid w:val="00D359F5"/>
    <w:rsid w:val="00D35CF3"/>
    <w:rsid w:val="00D36720"/>
    <w:rsid w:val="00D3695E"/>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5A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2E69"/>
    <w:rsid w:val="00D63DD2"/>
    <w:rsid w:val="00D64097"/>
    <w:rsid w:val="00D64ABA"/>
    <w:rsid w:val="00D652B5"/>
    <w:rsid w:val="00D65F83"/>
    <w:rsid w:val="00D66155"/>
    <w:rsid w:val="00D661D3"/>
    <w:rsid w:val="00D66CEB"/>
    <w:rsid w:val="00D66FDD"/>
    <w:rsid w:val="00D7005A"/>
    <w:rsid w:val="00D708B0"/>
    <w:rsid w:val="00D70C11"/>
    <w:rsid w:val="00D7171F"/>
    <w:rsid w:val="00D71D43"/>
    <w:rsid w:val="00D720FE"/>
    <w:rsid w:val="00D72811"/>
    <w:rsid w:val="00D72E6A"/>
    <w:rsid w:val="00D7475A"/>
    <w:rsid w:val="00D74978"/>
    <w:rsid w:val="00D7613D"/>
    <w:rsid w:val="00D7699B"/>
    <w:rsid w:val="00D76E30"/>
    <w:rsid w:val="00D77B1D"/>
    <w:rsid w:val="00D77EEA"/>
    <w:rsid w:val="00D8021F"/>
    <w:rsid w:val="00D80383"/>
    <w:rsid w:val="00D80FAB"/>
    <w:rsid w:val="00D823C6"/>
    <w:rsid w:val="00D8327F"/>
    <w:rsid w:val="00D8394D"/>
    <w:rsid w:val="00D83BE1"/>
    <w:rsid w:val="00D84228"/>
    <w:rsid w:val="00D853A5"/>
    <w:rsid w:val="00D8563A"/>
    <w:rsid w:val="00D86CA3"/>
    <w:rsid w:val="00D86D75"/>
    <w:rsid w:val="00D871CE"/>
    <w:rsid w:val="00D879A9"/>
    <w:rsid w:val="00D90D7F"/>
    <w:rsid w:val="00D915D7"/>
    <w:rsid w:val="00D9196D"/>
    <w:rsid w:val="00D91EE8"/>
    <w:rsid w:val="00D92982"/>
    <w:rsid w:val="00D92DA4"/>
    <w:rsid w:val="00D94D7E"/>
    <w:rsid w:val="00D94FF7"/>
    <w:rsid w:val="00D9771A"/>
    <w:rsid w:val="00D9790E"/>
    <w:rsid w:val="00D97993"/>
    <w:rsid w:val="00DA0904"/>
    <w:rsid w:val="00DA0BED"/>
    <w:rsid w:val="00DA1656"/>
    <w:rsid w:val="00DA1876"/>
    <w:rsid w:val="00DA18C3"/>
    <w:rsid w:val="00DA1B68"/>
    <w:rsid w:val="00DA2A23"/>
    <w:rsid w:val="00DA305E"/>
    <w:rsid w:val="00DA3B83"/>
    <w:rsid w:val="00DA4255"/>
    <w:rsid w:val="00DA4CB4"/>
    <w:rsid w:val="00DA4F17"/>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BC"/>
    <w:rsid w:val="00DC53EF"/>
    <w:rsid w:val="00DC5B11"/>
    <w:rsid w:val="00DC5EB6"/>
    <w:rsid w:val="00DC6854"/>
    <w:rsid w:val="00DC6A78"/>
    <w:rsid w:val="00DC6DB9"/>
    <w:rsid w:val="00DC784D"/>
    <w:rsid w:val="00DC7C78"/>
    <w:rsid w:val="00DD0932"/>
    <w:rsid w:val="00DD22BB"/>
    <w:rsid w:val="00DD2A9E"/>
    <w:rsid w:val="00DD3B3E"/>
    <w:rsid w:val="00DD3EB5"/>
    <w:rsid w:val="00DD42E1"/>
    <w:rsid w:val="00DD4411"/>
    <w:rsid w:val="00DD4729"/>
    <w:rsid w:val="00DD4F2F"/>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1949"/>
    <w:rsid w:val="00DF3245"/>
    <w:rsid w:val="00DF37A0"/>
    <w:rsid w:val="00DF5DAD"/>
    <w:rsid w:val="00DF73CF"/>
    <w:rsid w:val="00E01D5E"/>
    <w:rsid w:val="00E0203B"/>
    <w:rsid w:val="00E02929"/>
    <w:rsid w:val="00E0355A"/>
    <w:rsid w:val="00E04332"/>
    <w:rsid w:val="00E04F6C"/>
    <w:rsid w:val="00E06BFB"/>
    <w:rsid w:val="00E06F7F"/>
    <w:rsid w:val="00E078F5"/>
    <w:rsid w:val="00E07D7D"/>
    <w:rsid w:val="00E110E7"/>
    <w:rsid w:val="00E112E0"/>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46C"/>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A4E"/>
    <w:rsid w:val="00E451E7"/>
    <w:rsid w:val="00E45C2B"/>
    <w:rsid w:val="00E46886"/>
    <w:rsid w:val="00E46BB3"/>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B3"/>
    <w:rsid w:val="00E757FC"/>
    <w:rsid w:val="00E758EC"/>
    <w:rsid w:val="00E77675"/>
    <w:rsid w:val="00E779A8"/>
    <w:rsid w:val="00E77FA0"/>
    <w:rsid w:val="00E80668"/>
    <w:rsid w:val="00E80683"/>
    <w:rsid w:val="00E8102C"/>
    <w:rsid w:val="00E813C4"/>
    <w:rsid w:val="00E818B1"/>
    <w:rsid w:val="00E819B8"/>
    <w:rsid w:val="00E8234C"/>
    <w:rsid w:val="00E823EE"/>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74B"/>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DB5"/>
    <w:rsid w:val="00EA1F10"/>
    <w:rsid w:val="00EA2B10"/>
    <w:rsid w:val="00EA3EE7"/>
    <w:rsid w:val="00EA42EE"/>
    <w:rsid w:val="00EA45D1"/>
    <w:rsid w:val="00EA4B85"/>
    <w:rsid w:val="00EA5762"/>
    <w:rsid w:val="00EA6CE1"/>
    <w:rsid w:val="00EA75AA"/>
    <w:rsid w:val="00EA783B"/>
    <w:rsid w:val="00EA7A41"/>
    <w:rsid w:val="00EB04A7"/>
    <w:rsid w:val="00EB067E"/>
    <w:rsid w:val="00EB077B"/>
    <w:rsid w:val="00EB0841"/>
    <w:rsid w:val="00EB1E78"/>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BD0"/>
    <w:rsid w:val="00EC2C29"/>
    <w:rsid w:val="00EC321E"/>
    <w:rsid w:val="00EC3520"/>
    <w:rsid w:val="00EC3C25"/>
    <w:rsid w:val="00EC41C1"/>
    <w:rsid w:val="00EC4207"/>
    <w:rsid w:val="00EC4447"/>
    <w:rsid w:val="00EC4794"/>
    <w:rsid w:val="00EC4CB7"/>
    <w:rsid w:val="00EC4E34"/>
    <w:rsid w:val="00EC4F10"/>
    <w:rsid w:val="00EC5387"/>
    <w:rsid w:val="00EC5653"/>
    <w:rsid w:val="00EC5916"/>
    <w:rsid w:val="00EC5A73"/>
    <w:rsid w:val="00EC5E68"/>
    <w:rsid w:val="00EC66A0"/>
    <w:rsid w:val="00EC71CE"/>
    <w:rsid w:val="00EC7E19"/>
    <w:rsid w:val="00EC7F3F"/>
    <w:rsid w:val="00ED1006"/>
    <w:rsid w:val="00ED101A"/>
    <w:rsid w:val="00ED257D"/>
    <w:rsid w:val="00ED29F7"/>
    <w:rsid w:val="00ED2AFD"/>
    <w:rsid w:val="00ED3D00"/>
    <w:rsid w:val="00ED4056"/>
    <w:rsid w:val="00ED536E"/>
    <w:rsid w:val="00ED5CD8"/>
    <w:rsid w:val="00ED68C1"/>
    <w:rsid w:val="00ED6CAB"/>
    <w:rsid w:val="00ED7508"/>
    <w:rsid w:val="00ED7A31"/>
    <w:rsid w:val="00ED7A40"/>
    <w:rsid w:val="00ED7DB8"/>
    <w:rsid w:val="00EE04C0"/>
    <w:rsid w:val="00EE0E1B"/>
    <w:rsid w:val="00EE1355"/>
    <w:rsid w:val="00EE1B8C"/>
    <w:rsid w:val="00EE21B3"/>
    <w:rsid w:val="00EE32C1"/>
    <w:rsid w:val="00EE3496"/>
    <w:rsid w:val="00EE3E05"/>
    <w:rsid w:val="00EE4129"/>
    <w:rsid w:val="00EE4A1F"/>
    <w:rsid w:val="00EE4C33"/>
    <w:rsid w:val="00EE5414"/>
    <w:rsid w:val="00EE575E"/>
    <w:rsid w:val="00EE5A9C"/>
    <w:rsid w:val="00EE6290"/>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C72"/>
    <w:rsid w:val="00EF5F23"/>
    <w:rsid w:val="00EF60D0"/>
    <w:rsid w:val="00EF73CC"/>
    <w:rsid w:val="00EF7818"/>
    <w:rsid w:val="00F00096"/>
    <w:rsid w:val="00F0014E"/>
    <w:rsid w:val="00F008E6"/>
    <w:rsid w:val="00F00FDB"/>
    <w:rsid w:val="00F01613"/>
    <w:rsid w:val="00F01CF9"/>
    <w:rsid w:val="00F020C3"/>
    <w:rsid w:val="00F032FF"/>
    <w:rsid w:val="00F03379"/>
    <w:rsid w:val="00F04476"/>
    <w:rsid w:val="00F04F2B"/>
    <w:rsid w:val="00F0528D"/>
    <w:rsid w:val="00F05F52"/>
    <w:rsid w:val="00F06484"/>
    <w:rsid w:val="00F06C67"/>
    <w:rsid w:val="00F06DFD"/>
    <w:rsid w:val="00F071D1"/>
    <w:rsid w:val="00F07374"/>
    <w:rsid w:val="00F07533"/>
    <w:rsid w:val="00F10629"/>
    <w:rsid w:val="00F11840"/>
    <w:rsid w:val="00F12834"/>
    <w:rsid w:val="00F1336D"/>
    <w:rsid w:val="00F15FA5"/>
    <w:rsid w:val="00F165E7"/>
    <w:rsid w:val="00F16ED2"/>
    <w:rsid w:val="00F17804"/>
    <w:rsid w:val="00F203E0"/>
    <w:rsid w:val="00F209B7"/>
    <w:rsid w:val="00F20BFB"/>
    <w:rsid w:val="00F21F3F"/>
    <w:rsid w:val="00F22C18"/>
    <w:rsid w:val="00F234C3"/>
    <w:rsid w:val="00F2376F"/>
    <w:rsid w:val="00F243D8"/>
    <w:rsid w:val="00F2457A"/>
    <w:rsid w:val="00F26237"/>
    <w:rsid w:val="00F26D0F"/>
    <w:rsid w:val="00F30270"/>
    <w:rsid w:val="00F3054F"/>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5307"/>
    <w:rsid w:val="00F559BD"/>
    <w:rsid w:val="00F566F1"/>
    <w:rsid w:val="00F56844"/>
    <w:rsid w:val="00F56F71"/>
    <w:rsid w:val="00F57709"/>
    <w:rsid w:val="00F601BA"/>
    <w:rsid w:val="00F60203"/>
    <w:rsid w:val="00F607C5"/>
    <w:rsid w:val="00F60CAE"/>
    <w:rsid w:val="00F60DEA"/>
    <w:rsid w:val="00F610EF"/>
    <w:rsid w:val="00F61E00"/>
    <w:rsid w:val="00F622B3"/>
    <w:rsid w:val="00F62CD5"/>
    <w:rsid w:val="00F6302A"/>
    <w:rsid w:val="00F6328F"/>
    <w:rsid w:val="00F6387F"/>
    <w:rsid w:val="00F63950"/>
    <w:rsid w:val="00F64AA4"/>
    <w:rsid w:val="00F64C2B"/>
    <w:rsid w:val="00F64C70"/>
    <w:rsid w:val="00F64E3E"/>
    <w:rsid w:val="00F64EA9"/>
    <w:rsid w:val="00F64F0C"/>
    <w:rsid w:val="00F651BE"/>
    <w:rsid w:val="00F65E66"/>
    <w:rsid w:val="00F664DB"/>
    <w:rsid w:val="00F665CA"/>
    <w:rsid w:val="00F6668E"/>
    <w:rsid w:val="00F66BD0"/>
    <w:rsid w:val="00F66D5E"/>
    <w:rsid w:val="00F6712D"/>
    <w:rsid w:val="00F67192"/>
    <w:rsid w:val="00F672B9"/>
    <w:rsid w:val="00F67F53"/>
    <w:rsid w:val="00F703BE"/>
    <w:rsid w:val="00F709E3"/>
    <w:rsid w:val="00F71863"/>
    <w:rsid w:val="00F71F69"/>
    <w:rsid w:val="00F72695"/>
    <w:rsid w:val="00F729A4"/>
    <w:rsid w:val="00F72B72"/>
    <w:rsid w:val="00F72C58"/>
    <w:rsid w:val="00F74BB9"/>
    <w:rsid w:val="00F75582"/>
    <w:rsid w:val="00F76EFA"/>
    <w:rsid w:val="00F77307"/>
    <w:rsid w:val="00F80021"/>
    <w:rsid w:val="00F804BE"/>
    <w:rsid w:val="00F80726"/>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97BEC"/>
    <w:rsid w:val="00FA0EC9"/>
    <w:rsid w:val="00FA2399"/>
    <w:rsid w:val="00FA2BB3"/>
    <w:rsid w:val="00FA3B5D"/>
    <w:rsid w:val="00FA5F86"/>
    <w:rsid w:val="00FA63CE"/>
    <w:rsid w:val="00FA7840"/>
    <w:rsid w:val="00FB035B"/>
    <w:rsid w:val="00FB1309"/>
    <w:rsid w:val="00FB2ACF"/>
    <w:rsid w:val="00FB3C94"/>
    <w:rsid w:val="00FB3E00"/>
    <w:rsid w:val="00FB499C"/>
    <w:rsid w:val="00FB4C80"/>
    <w:rsid w:val="00FB4FFD"/>
    <w:rsid w:val="00FB51C6"/>
    <w:rsid w:val="00FB6639"/>
    <w:rsid w:val="00FB6A6A"/>
    <w:rsid w:val="00FB6DEC"/>
    <w:rsid w:val="00FB7C1F"/>
    <w:rsid w:val="00FB7CC6"/>
    <w:rsid w:val="00FC0863"/>
    <w:rsid w:val="00FC2619"/>
    <w:rsid w:val="00FC2DA5"/>
    <w:rsid w:val="00FC329E"/>
    <w:rsid w:val="00FC3D90"/>
    <w:rsid w:val="00FC40E6"/>
    <w:rsid w:val="00FC4C3C"/>
    <w:rsid w:val="00FC5028"/>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794"/>
    <w:rsid w:val="00FD6F56"/>
    <w:rsid w:val="00FD71B8"/>
    <w:rsid w:val="00FD74DB"/>
    <w:rsid w:val="00FD7660"/>
    <w:rsid w:val="00FD7B3D"/>
    <w:rsid w:val="00FD7B4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2CBA"/>
    <w:rsid w:val="00FF35AC"/>
    <w:rsid w:val="00FF37C3"/>
    <w:rsid w:val="00FF45A5"/>
    <w:rsid w:val="00FF5247"/>
    <w:rsid w:val="00FF5560"/>
    <w:rsid w:val="00FF5865"/>
    <w:rsid w:val="00FF5C91"/>
    <w:rsid w:val="00FF66A2"/>
    <w:rsid w:val="00FF77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06913090">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732001811">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4239312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d8762117-8292-4133-b1c7-eab5c6487cfd"/>
    <ds:schemaRef ds:uri="http://schemas.openxmlformats.org/package/2006/metadata/core-properties"/>
    <ds:schemaRef ds:uri="http://schemas.microsoft.com/sharepoint/v3"/>
    <ds:schemaRef ds:uri="9b239327-9e80-40e4-b1b7-4394fed77a33"/>
    <ds:schemaRef ds:uri="http://purl.org/dc/dcmitype/"/>
    <ds:schemaRef ds:uri="http://purl.org/dc/elements/1.1/"/>
    <ds:schemaRef ds:uri="http://schemas.microsoft.com/office/infopath/2007/PartnerControls"/>
    <ds:schemaRef ds:uri="http://schemas.microsoft.com/office/2006/documentManagement/types"/>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99ED6F8F-AB8A-44A6-9EE8-C28620739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8767</TotalTime>
  <Pages>3</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7464</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1849</cp:revision>
  <cp:lastPrinted>2008-02-01T05:09:00Z</cp:lastPrinted>
  <dcterms:created xsi:type="dcterms:W3CDTF">2020-10-16T08:01:00Z</dcterms:created>
  <dcterms:modified xsi:type="dcterms:W3CDTF">2023-05-11T15:37:00Z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