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3327" w14:textId="6D0DD465" w:rsidR="0058391C" w:rsidRPr="003205F3"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FD4559">
        <w:t>2</w:t>
      </w:r>
      <w:r w:rsidR="00DF36D3">
        <w:t>2</w:t>
      </w:r>
      <w:r w:rsidRPr="003205F3">
        <w:tab/>
      </w:r>
      <w:r>
        <w:tab/>
      </w:r>
      <w:r>
        <w:tab/>
      </w:r>
      <w:r>
        <w:tab/>
      </w:r>
      <w:r>
        <w:tab/>
      </w:r>
      <w:r>
        <w:tab/>
      </w:r>
      <w:r w:rsidRPr="00452150">
        <w:t>R2-</w:t>
      </w:r>
      <w:r w:rsidR="002B52FF" w:rsidRPr="002B52FF">
        <w:t>230</w:t>
      </w:r>
      <w:r w:rsidR="00E725FC">
        <w:t>5525</w:t>
      </w:r>
    </w:p>
    <w:p w14:paraId="41920DEC" w14:textId="56A875F2" w:rsidR="0058391C" w:rsidRPr="00AE3A2C" w:rsidRDefault="00DF36D3" w:rsidP="0058391C">
      <w:pPr>
        <w:pStyle w:val="Header"/>
      </w:pPr>
      <w:r>
        <w:t>Incheon</w:t>
      </w:r>
      <w:r w:rsidR="0058391C" w:rsidRPr="003205F3">
        <w:t xml:space="preserve">, </w:t>
      </w:r>
      <w:r w:rsidR="00F20B73" w:rsidRPr="00444830">
        <w:rPr>
          <w:lang w:val="en-US"/>
        </w:rPr>
        <w:t>Republic of Korea, May 22 – 26, 2023</w:t>
      </w:r>
    </w:p>
    <w:p w14:paraId="446C55B5" w14:textId="3E4F9D04"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p>
    <w:p w14:paraId="0B20D2A7" w14:textId="66C7528B"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.1</w:t>
      </w:r>
      <w:r w:rsidR="002B194E">
        <w:rPr>
          <w:rFonts w:ascii="Calibri" w:eastAsia="MS Mincho" w:hAnsi="Calibri" w:cs="Calibri"/>
          <w:b/>
          <w:sz w:val="24"/>
          <w:lang w:val="en-US" w:eastAsia="en-US"/>
        </w:rPr>
        <w:t>6</w:t>
      </w:r>
      <w:r w:rsidR="003D2D0F">
        <w:rPr>
          <w:rFonts w:ascii="Calibri" w:eastAsia="MS Mincho" w:hAnsi="Calibri" w:cs="Calibri"/>
          <w:b/>
          <w:sz w:val="24"/>
          <w:lang w:val="en-US" w:eastAsia="en-US"/>
        </w:rPr>
        <w:t>.</w:t>
      </w:r>
      <w:r w:rsidR="00B800F2">
        <w:rPr>
          <w:rFonts w:ascii="Calibri" w:eastAsia="MS Mincho" w:hAnsi="Calibri" w:cs="Calibri"/>
          <w:b/>
          <w:sz w:val="24"/>
          <w:lang w:val="en-US" w:eastAsia="en-US"/>
        </w:rPr>
        <w:t>2.2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55C142BF"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AE6F44" w:rsidRPr="00743C0D">
        <w:rPr>
          <w:rFonts w:ascii="Calibri" w:eastAsia="MS Mincho" w:hAnsi="Calibri" w:cs="Calibri"/>
          <w:b/>
          <w:sz w:val="24"/>
          <w:lang w:val="en-US" w:eastAsia="en-US"/>
        </w:rPr>
        <w:t>S</w:t>
      </w:r>
      <w:r w:rsidR="001939DA" w:rsidRPr="00743C0D">
        <w:rPr>
          <w:rFonts w:ascii="Calibri" w:eastAsia="MS Mincho" w:hAnsi="Calibri" w:cs="Calibri"/>
          <w:b/>
          <w:sz w:val="24"/>
          <w:lang w:val="en-US" w:eastAsia="en-US"/>
        </w:rPr>
        <w:t xml:space="preserve">ome considerations about </w:t>
      </w:r>
      <w:r w:rsidR="00CD0D6D" w:rsidRPr="00743C0D">
        <w:rPr>
          <w:rFonts w:ascii="Calibri" w:eastAsia="MS Mincho" w:hAnsi="Calibri" w:cs="Calibri"/>
          <w:b/>
          <w:sz w:val="24"/>
          <w:lang w:val="en-US" w:eastAsia="en-US"/>
        </w:rPr>
        <w:t>data collection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5C43AAF0" w14:textId="28E6B9F8" w:rsidR="000F3C75" w:rsidRDefault="000F3C75" w:rsidP="00D753CE">
      <w:pPr>
        <w:rPr>
          <w:rFonts w:asciiTheme="minorHAnsi" w:hAnsiTheme="minorHAnsi" w:cstheme="minorHAnsi"/>
        </w:rPr>
      </w:pPr>
      <w:r>
        <w:rPr>
          <w:rFonts w:asciiTheme="minorHAnsi" w:hAnsiTheme="minorHAnsi" w:cstheme="minorHAnsi"/>
        </w:rPr>
        <w:t>RAN2_121 made following agreeme</w:t>
      </w:r>
      <w:r w:rsidR="002A1066">
        <w:rPr>
          <w:rFonts w:asciiTheme="minorHAnsi" w:hAnsiTheme="minorHAnsi" w:cstheme="minorHAnsi"/>
        </w:rPr>
        <w:t>nt:</w:t>
      </w:r>
    </w:p>
    <w:tbl>
      <w:tblPr>
        <w:tblStyle w:val="TableGrid"/>
        <w:tblW w:w="0" w:type="auto"/>
        <w:tblLook w:val="04A0" w:firstRow="1" w:lastRow="0" w:firstColumn="1" w:lastColumn="0" w:noHBand="0" w:noVBand="1"/>
      </w:tblPr>
      <w:tblGrid>
        <w:gridCol w:w="9631"/>
      </w:tblGrid>
      <w:tr w:rsidR="002A1066" w14:paraId="31A10B71" w14:textId="77777777" w:rsidTr="002A1066">
        <w:tc>
          <w:tcPr>
            <w:tcW w:w="9631" w:type="dxa"/>
          </w:tcPr>
          <w:p w14:paraId="1B1FE501" w14:textId="0E690D85" w:rsidR="002A1066" w:rsidRPr="002A1066" w:rsidRDefault="002A1066" w:rsidP="002A1066">
            <w:pPr>
              <w:pStyle w:val="ListParagraph"/>
              <w:numPr>
                <w:ilvl w:val="0"/>
                <w:numId w:val="54"/>
              </w:numPr>
              <w:rPr>
                <w:rFonts w:asciiTheme="minorHAnsi" w:hAnsiTheme="minorHAnsi" w:cstheme="minorHAnsi"/>
              </w:rPr>
            </w:pPr>
            <w:r w:rsidRPr="002A1066">
              <w:rPr>
                <w:rFonts w:asciiTheme="minorHAnsi" w:hAnsiTheme="minorHAnsi" w:cstheme="minorHAnsi"/>
              </w:rPr>
              <w:t>R2 may consider including the existing EVEX framework for this SI, FFS exactly what this means, can discuss next meeting.</w:t>
            </w:r>
          </w:p>
        </w:tc>
      </w:tr>
    </w:tbl>
    <w:p w14:paraId="5EF24F64" w14:textId="77777777" w:rsidR="002A1066" w:rsidRDefault="002A1066" w:rsidP="00D753CE">
      <w:pPr>
        <w:rPr>
          <w:rFonts w:asciiTheme="minorHAnsi" w:hAnsiTheme="minorHAnsi" w:cstheme="minorHAnsi"/>
        </w:rPr>
      </w:pPr>
    </w:p>
    <w:p w14:paraId="049DB251" w14:textId="1596987D" w:rsidR="00F20B73" w:rsidRDefault="00961ED7" w:rsidP="00D753CE">
      <w:pPr>
        <w:rPr>
          <w:rFonts w:asciiTheme="minorHAnsi" w:hAnsiTheme="minorHAnsi" w:cstheme="minorHAnsi"/>
        </w:rPr>
      </w:pPr>
      <w:r>
        <w:rPr>
          <w:rFonts w:asciiTheme="minorHAnsi" w:hAnsiTheme="minorHAnsi" w:cstheme="minorHAnsi"/>
        </w:rPr>
        <w:t xml:space="preserve">And </w:t>
      </w:r>
      <w:r w:rsidR="00F20B73">
        <w:rPr>
          <w:rFonts w:asciiTheme="minorHAnsi" w:hAnsiTheme="minorHAnsi" w:cstheme="minorHAnsi"/>
        </w:rPr>
        <w:t>RAN2_121bis agreements</w:t>
      </w:r>
      <w:r w:rsidR="00CD0D6D">
        <w:rPr>
          <w:rFonts w:asciiTheme="minorHAnsi" w:hAnsiTheme="minorHAnsi" w:cstheme="minorHAnsi"/>
        </w:rPr>
        <w:t xml:space="preserve"> on data collection</w:t>
      </w:r>
      <w:r w:rsidR="00F20B73">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F20B73" w:rsidRPr="003A595D" w14:paraId="4866ED70" w14:textId="77777777" w:rsidTr="00F20B73">
        <w:tc>
          <w:tcPr>
            <w:tcW w:w="9631" w:type="dxa"/>
          </w:tcPr>
          <w:p w14:paraId="6515E2C1" w14:textId="0C65E0AE" w:rsidR="006252C2" w:rsidRPr="003A595D" w:rsidRDefault="006252C2" w:rsidP="005C30B7">
            <w:pPr>
              <w:pStyle w:val="ListParagraph"/>
              <w:numPr>
                <w:ilvl w:val="0"/>
                <w:numId w:val="54"/>
              </w:numPr>
              <w:rPr>
                <w:rFonts w:asciiTheme="minorHAnsi" w:hAnsiTheme="minorHAnsi" w:cstheme="minorHAnsi"/>
                <w:bCs/>
              </w:rPr>
            </w:pPr>
            <w:r w:rsidRPr="003A595D">
              <w:rPr>
                <w:rFonts w:asciiTheme="minorHAnsi" w:hAnsiTheme="minorHAnsi" w:cstheme="minorHAnsi"/>
                <w:bCs/>
                <w:lang w:eastAsia="zh-CN"/>
              </w:rPr>
              <w:t>The general AI/ML framework consist of, (</w:t>
            </w:r>
            <w:proofErr w:type="spellStart"/>
            <w:r w:rsidRPr="003A595D">
              <w:rPr>
                <w:rFonts w:asciiTheme="minorHAnsi" w:hAnsiTheme="minorHAnsi" w:cstheme="minorHAnsi"/>
                <w:bCs/>
                <w:lang w:eastAsia="zh-CN"/>
              </w:rPr>
              <w:t>i</w:t>
            </w:r>
            <w:proofErr w:type="spellEnd"/>
            <w:r w:rsidRPr="003A595D">
              <w:rPr>
                <w:rFonts w:asciiTheme="minorHAnsi" w:hAnsiTheme="minorHAnsi" w:cstheme="minorHAnsi"/>
                <w:bCs/>
                <w:lang w:eastAsia="zh-CN"/>
              </w:rPr>
              <w:t>) Data Collection, (ii) Model Training, (iii) Model Management, (iv) Model Inference, and (v) Model Storage</w:t>
            </w:r>
          </w:p>
          <w:p w14:paraId="1D781408" w14:textId="77777777" w:rsidR="00484A72" w:rsidRPr="003A595D" w:rsidRDefault="00484A72" w:rsidP="003A595D">
            <w:pPr>
              <w:pStyle w:val="Agreement"/>
              <w:numPr>
                <w:ilvl w:val="0"/>
                <w:numId w:val="54"/>
              </w:numPr>
              <w:rPr>
                <w:rFonts w:asciiTheme="minorHAnsi" w:hAnsiTheme="minorHAnsi" w:cstheme="minorHAnsi"/>
                <w:b w:val="0"/>
                <w:bCs/>
              </w:rPr>
            </w:pPr>
            <w:bookmarkStart w:id="13" w:name="OLE_LINK113"/>
            <w:r w:rsidRPr="003A595D">
              <w:rPr>
                <w:rFonts w:asciiTheme="minorHAnsi" w:hAnsiTheme="minorHAnsi" w:cstheme="minorHAnsi"/>
                <w:b w:val="0"/>
                <w:bCs/>
              </w:rPr>
              <w:t>Extend the previously endorsed table with 3 columns: Inference, Monitoring and Training, and explain in free text the applicability of the data collection method to the LCM purpose and the use case(s).</w:t>
            </w:r>
          </w:p>
          <w:bookmarkEnd w:id="13"/>
          <w:p w14:paraId="5161C7AF" w14:textId="77777777" w:rsidR="008A635E" w:rsidRPr="003A595D" w:rsidRDefault="008A635E" w:rsidP="003A595D">
            <w:pPr>
              <w:pStyle w:val="Agreement"/>
              <w:numPr>
                <w:ilvl w:val="0"/>
                <w:numId w:val="54"/>
              </w:numPr>
              <w:rPr>
                <w:rFonts w:asciiTheme="minorHAnsi" w:hAnsiTheme="minorHAnsi" w:cstheme="minorHAnsi"/>
                <w:b w:val="0"/>
                <w:bCs/>
              </w:rPr>
            </w:pPr>
            <w:r w:rsidRPr="003A595D">
              <w:rPr>
                <w:rFonts w:asciiTheme="minorHAnsi" w:hAnsiTheme="minorHAnsi" w:cstheme="minorHAnsi"/>
                <w:b w:val="0"/>
                <w:bCs/>
              </w:rPr>
              <w:t xml:space="preserve">P1: RAN2 to understand/determine/capture requirements of data collection for the LCM functionalities and document the results. FFS on the exact presentation format. Expect RAN1 to provide some related information. </w:t>
            </w:r>
          </w:p>
          <w:p w14:paraId="2F365353" w14:textId="77777777" w:rsidR="008A635E" w:rsidRPr="003A595D" w:rsidRDefault="008A635E" w:rsidP="003A595D">
            <w:pPr>
              <w:pStyle w:val="Agreement"/>
              <w:numPr>
                <w:ilvl w:val="0"/>
                <w:numId w:val="54"/>
              </w:numPr>
              <w:rPr>
                <w:rFonts w:asciiTheme="minorHAnsi" w:hAnsiTheme="minorHAnsi" w:cstheme="minorHAnsi"/>
                <w:b w:val="0"/>
                <w:bCs/>
              </w:rPr>
            </w:pPr>
            <w:r w:rsidRPr="003A595D">
              <w:rPr>
                <w:rFonts w:asciiTheme="minorHAnsi" w:hAnsiTheme="minorHAnsi" w:cstheme="minorHAnsi"/>
                <w:b w:val="0"/>
                <w:bCs/>
              </w:rPr>
              <w:t xml:space="preserve">P2: RAN2 to capture the analysis (see P1 above) separately for the use-cases, i.e., CSI feedback enhancement, beam management and positioning enhancement.  FFS how we do the formatting/presentation of the results. </w:t>
            </w:r>
          </w:p>
          <w:p w14:paraId="52276D52" w14:textId="77777777" w:rsidR="008A635E" w:rsidRPr="003A595D" w:rsidRDefault="008A635E" w:rsidP="003A595D">
            <w:pPr>
              <w:pStyle w:val="Agreement"/>
              <w:numPr>
                <w:ilvl w:val="0"/>
                <w:numId w:val="54"/>
              </w:numPr>
              <w:rPr>
                <w:rFonts w:asciiTheme="minorHAnsi" w:hAnsiTheme="minorHAnsi" w:cstheme="minorHAnsi"/>
              </w:rPr>
            </w:pPr>
            <w:r w:rsidRPr="003A595D">
              <w:rPr>
                <w:rFonts w:asciiTheme="minorHAnsi" w:hAnsiTheme="minorHAnsi" w:cstheme="minorHAnsi"/>
              </w:rPr>
              <w:t>P3: Study the applicability (and limitations) of each identified data collection framework for each of the identified LCM purposes, i.e., inference, monitoring and (offline) training. FFS how we do the formatting/presentation of the results.</w:t>
            </w:r>
          </w:p>
          <w:p w14:paraId="4D99B848" w14:textId="77777777" w:rsidR="008A635E" w:rsidRPr="003A595D" w:rsidRDefault="008A635E" w:rsidP="003A595D">
            <w:pPr>
              <w:pStyle w:val="Agreement"/>
              <w:numPr>
                <w:ilvl w:val="0"/>
                <w:numId w:val="54"/>
              </w:numPr>
              <w:rPr>
                <w:rFonts w:asciiTheme="minorHAnsi" w:hAnsiTheme="minorHAnsi" w:cstheme="minorHAnsi"/>
                <w:b w:val="0"/>
                <w:bCs/>
              </w:rPr>
            </w:pPr>
            <w:r w:rsidRPr="003A595D">
              <w:rPr>
                <w:rFonts w:asciiTheme="minorHAnsi" w:hAnsiTheme="minorHAnsi" w:cstheme="minorHAnsi"/>
                <w:b w:val="0"/>
                <w:bCs/>
              </w:rP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1D3F85AA" w14:textId="77777777" w:rsidR="008A635E" w:rsidRPr="003A595D" w:rsidRDefault="008A635E" w:rsidP="008A635E">
            <w:pPr>
              <w:pStyle w:val="Agreement"/>
              <w:numPr>
                <w:ilvl w:val="0"/>
                <w:numId w:val="0"/>
              </w:numPr>
              <w:tabs>
                <w:tab w:val="left" w:pos="720"/>
              </w:tabs>
              <w:ind w:left="1619"/>
              <w:rPr>
                <w:rFonts w:asciiTheme="minorHAnsi" w:hAnsiTheme="minorHAnsi" w:cstheme="minorHAnsi"/>
                <w:b w:val="0"/>
                <w:bCs/>
              </w:rPr>
            </w:pPr>
            <w:r w:rsidRPr="003A595D">
              <w:rPr>
                <w:rFonts w:asciiTheme="minorHAnsi" w:hAnsiTheme="minorHAnsi" w:cstheme="minorHAnsi"/>
                <w:b w:val="0"/>
                <w:bCs/>
              </w:rPr>
              <w:t xml:space="preserve">- Model sidedness (UE side, NW side, two sided) FFS </w:t>
            </w:r>
          </w:p>
          <w:p w14:paraId="28F786A1" w14:textId="77777777" w:rsidR="008A635E" w:rsidRPr="003A595D" w:rsidRDefault="008A635E" w:rsidP="008A635E">
            <w:pPr>
              <w:pStyle w:val="Agreement"/>
              <w:numPr>
                <w:ilvl w:val="0"/>
                <w:numId w:val="0"/>
              </w:numPr>
              <w:tabs>
                <w:tab w:val="left" w:pos="720"/>
              </w:tabs>
              <w:ind w:left="1619"/>
              <w:rPr>
                <w:rFonts w:asciiTheme="minorHAnsi" w:hAnsiTheme="minorHAnsi" w:cstheme="minorHAnsi"/>
                <w:b w:val="0"/>
                <w:bCs/>
              </w:rPr>
            </w:pPr>
            <w:r w:rsidRPr="003A595D">
              <w:rPr>
                <w:rFonts w:asciiTheme="minorHAnsi" w:hAnsiTheme="minorHAnsi" w:cstheme="minorHAnsi"/>
                <w:b w:val="0"/>
                <w:bCs/>
              </w:rPr>
              <w:t>- Use case mapping FFS</w:t>
            </w:r>
          </w:p>
          <w:p w14:paraId="0A489490" w14:textId="3AF486FC" w:rsidR="00484A72" w:rsidRPr="003A595D" w:rsidRDefault="008A635E" w:rsidP="003A595D">
            <w:pPr>
              <w:pStyle w:val="ListParagraph"/>
              <w:numPr>
                <w:ilvl w:val="0"/>
                <w:numId w:val="55"/>
              </w:numPr>
              <w:rPr>
                <w:rFonts w:asciiTheme="minorHAnsi" w:hAnsiTheme="minorHAnsi" w:cstheme="minorHAnsi"/>
                <w:bCs/>
              </w:rPr>
            </w:pPr>
            <w:r w:rsidRPr="003A595D">
              <w:rPr>
                <w:rFonts w:asciiTheme="minorHAnsi" w:hAnsiTheme="minorHAnsi" w:cstheme="minorHAnsi"/>
                <w:bCs/>
              </w:rPr>
              <w:t>P5: RAN2 to modify the previously endorsed table by adding 3 additional columns: inference; monitoring and (offline) training. Whether to, and how to further restructure the table is FFS</w:t>
            </w:r>
          </w:p>
          <w:p w14:paraId="4F4F3603" w14:textId="1EB5D92C" w:rsidR="006252C2" w:rsidRPr="00CD0D6D" w:rsidRDefault="005D7FF3">
            <w:pPr>
              <w:pStyle w:val="Agreement"/>
              <w:numPr>
                <w:ilvl w:val="0"/>
                <w:numId w:val="55"/>
              </w:numPr>
              <w:rPr>
                <w:rFonts w:asciiTheme="minorHAnsi" w:hAnsiTheme="minorHAnsi" w:cstheme="minorHAnsi"/>
                <w:b w:val="0"/>
                <w:bCs/>
              </w:rPr>
            </w:pPr>
            <w:r w:rsidRPr="00CD0D6D">
              <w:rPr>
                <w:rFonts w:asciiTheme="minorHAnsi" w:hAnsiTheme="minorHAnsi" w:cstheme="minorHAnsi"/>
                <w:b w:val="0"/>
                <w:bCs/>
              </w:rPr>
              <w:t xml:space="preserve">Observation: RAN2 may need to consider enhancements for AIML to existing functionality for data collection, </w:t>
            </w:r>
            <w:proofErr w:type="gramStart"/>
            <w:r w:rsidRPr="00CD0D6D">
              <w:rPr>
                <w:rFonts w:asciiTheme="minorHAnsi" w:hAnsiTheme="minorHAnsi" w:cstheme="minorHAnsi"/>
                <w:b w:val="0"/>
                <w:bCs/>
              </w:rPr>
              <w:t>e.g.</w:t>
            </w:r>
            <w:proofErr w:type="gramEnd"/>
            <w:r w:rsidRPr="00CD0D6D">
              <w:rPr>
                <w:rFonts w:asciiTheme="minorHAnsi" w:hAnsiTheme="minorHAnsi" w:cstheme="minorHAnsi"/>
                <w:b w:val="0"/>
                <w:bCs/>
              </w:rPr>
              <w:t xml:space="preserve"> for timing control (e.g. for MDT/RRM). </w:t>
            </w:r>
          </w:p>
          <w:p w14:paraId="66A44E91" w14:textId="7D88D7DD" w:rsidR="008E2EC7" w:rsidRPr="003A595D" w:rsidRDefault="008E2EC7" w:rsidP="00182F17">
            <w:pPr>
              <w:rPr>
                <w:rFonts w:asciiTheme="minorHAnsi" w:hAnsiTheme="minorHAnsi" w:cstheme="minorHAnsi"/>
                <w:bCs/>
              </w:rPr>
            </w:pPr>
          </w:p>
        </w:tc>
      </w:tr>
    </w:tbl>
    <w:p w14:paraId="5686C15D" w14:textId="77777777" w:rsidR="00F20B73" w:rsidRDefault="00F20B73" w:rsidP="00D753CE">
      <w:pPr>
        <w:rPr>
          <w:rFonts w:asciiTheme="minorHAnsi" w:hAnsiTheme="minorHAnsi" w:cstheme="minorHAnsi"/>
        </w:rPr>
      </w:pPr>
    </w:p>
    <w:p w14:paraId="73927188" w14:textId="10B99B22" w:rsidR="00F24C62" w:rsidRPr="00594315" w:rsidRDefault="00F92A22" w:rsidP="00F24C62">
      <w:pPr>
        <w:rPr>
          <w:rFonts w:asciiTheme="minorHAnsi" w:hAnsiTheme="minorHAnsi" w:cstheme="minorHAnsi"/>
        </w:rPr>
      </w:pPr>
      <w:r w:rsidRPr="00594315">
        <w:rPr>
          <w:rFonts w:asciiTheme="minorHAnsi" w:hAnsiTheme="minorHAnsi" w:cstheme="minorHAnsi"/>
        </w:rPr>
        <w:t xml:space="preserve">And then the </w:t>
      </w:r>
      <w:r w:rsidR="00594315" w:rsidRPr="00594315">
        <w:rPr>
          <w:rFonts w:asciiTheme="minorHAnsi" w:hAnsiTheme="minorHAnsi" w:cstheme="minorHAnsi"/>
        </w:rPr>
        <w:t xml:space="preserve">table for data collection methods was appended with three new columns </w:t>
      </w:r>
    </w:p>
    <w:tbl>
      <w:tblPr>
        <w:tblStyle w:val="TableGrid"/>
        <w:tblW w:w="5000" w:type="pct"/>
        <w:tblLayout w:type="fixed"/>
        <w:tblLook w:val="04A0" w:firstRow="1" w:lastRow="0" w:firstColumn="1" w:lastColumn="0" w:noHBand="0" w:noVBand="1"/>
      </w:tblPr>
      <w:tblGrid>
        <w:gridCol w:w="1272"/>
        <w:gridCol w:w="713"/>
        <w:gridCol w:w="990"/>
        <w:gridCol w:w="1273"/>
        <w:gridCol w:w="992"/>
        <w:gridCol w:w="992"/>
        <w:gridCol w:w="570"/>
        <w:gridCol w:w="994"/>
        <w:gridCol w:w="568"/>
        <w:gridCol w:w="572"/>
        <w:gridCol w:w="695"/>
      </w:tblGrid>
      <w:tr w:rsidR="00F24C62" w14:paraId="7112727E" w14:textId="77777777">
        <w:trPr>
          <w:cantSplit/>
          <w:trHeight w:val="1180"/>
        </w:trPr>
        <w:tc>
          <w:tcPr>
            <w:tcW w:w="660" w:type="pct"/>
          </w:tcPr>
          <w:p w14:paraId="541A5488" w14:textId="77777777" w:rsidR="00F24C62" w:rsidRDefault="00F24C62"/>
        </w:tc>
        <w:tc>
          <w:tcPr>
            <w:tcW w:w="370" w:type="pct"/>
            <w:textDirection w:val="btLr"/>
          </w:tcPr>
          <w:p w14:paraId="1129D56D" w14:textId="77777777" w:rsidR="00F24C62" w:rsidRDefault="00F24C62">
            <w:pPr>
              <w:ind w:left="113" w:right="113"/>
              <w:rPr>
                <w:lang w:val="it-IT"/>
              </w:rPr>
            </w:pPr>
            <w:r>
              <w:rPr>
                <w:lang w:val="en-US" w:eastAsia="zh-CN"/>
              </w:rPr>
              <w:t xml:space="preserve">Involved Network </w:t>
            </w:r>
            <w:r>
              <w:rPr>
                <w:lang w:val="en-US"/>
              </w:rPr>
              <w:t>entity</w:t>
            </w:r>
          </w:p>
        </w:tc>
        <w:tc>
          <w:tcPr>
            <w:tcW w:w="514" w:type="pct"/>
            <w:textDirection w:val="btLr"/>
          </w:tcPr>
          <w:p w14:paraId="0CED7F48" w14:textId="77777777" w:rsidR="00F24C62" w:rsidRDefault="00F24C62">
            <w:pPr>
              <w:ind w:left="113" w:right="113"/>
            </w:pPr>
            <w:r>
              <w:rPr>
                <w:lang w:val="en-US"/>
              </w:rPr>
              <w:t>RRC state to generate data</w:t>
            </w:r>
          </w:p>
        </w:tc>
        <w:tc>
          <w:tcPr>
            <w:tcW w:w="661" w:type="pct"/>
            <w:textDirection w:val="btLr"/>
          </w:tcPr>
          <w:p w14:paraId="0E38A7FA" w14:textId="77777777" w:rsidR="00F24C62" w:rsidRDefault="00F24C62">
            <w:pPr>
              <w:ind w:left="113" w:right="113"/>
            </w:pPr>
            <w:r>
              <w:rPr>
                <w:lang w:val="en-US"/>
              </w:rPr>
              <w:t>Max payload size per reporting*</w:t>
            </w:r>
          </w:p>
        </w:tc>
        <w:tc>
          <w:tcPr>
            <w:tcW w:w="515" w:type="pct"/>
            <w:textDirection w:val="btLr"/>
          </w:tcPr>
          <w:p w14:paraId="2E90EBDA" w14:textId="77777777" w:rsidR="00F24C62" w:rsidRDefault="00F24C62">
            <w:pPr>
              <w:ind w:left="113" w:right="113"/>
              <w:rPr>
                <w:lang w:val="it-IT"/>
              </w:rPr>
            </w:pPr>
            <w:r>
              <w:rPr>
                <w:lang w:val="en-US"/>
              </w:rPr>
              <w:t>Contents to be collected</w:t>
            </w:r>
          </w:p>
        </w:tc>
        <w:tc>
          <w:tcPr>
            <w:tcW w:w="515" w:type="pct"/>
            <w:textDirection w:val="btLr"/>
          </w:tcPr>
          <w:p w14:paraId="08B4CF5C" w14:textId="77777777" w:rsidR="00F24C62" w:rsidRDefault="00F24C62">
            <w:pPr>
              <w:ind w:left="113" w:right="113"/>
            </w:pPr>
            <w:r>
              <w:rPr>
                <w:lang w:val="en-US"/>
              </w:rPr>
              <w:t>End-to-End report latency**</w:t>
            </w:r>
          </w:p>
        </w:tc>
        <w:tc>
          <w:tcPr>
            <w:tcW w:w="296" w:type="pct"/>
            <w:textDirection w:val="btLr"/>
          </w:tcPr>
          <w:p w14:paraId="1B83A2A3" w14:textId="77777777" w:rsidR="00F24C62" w:rsidRDefault="00F24C62">
            <w:pPr>
              <w:ind w:left="113" w:right="113"/>
              <w:rPr>
                <w:lang w:val="it-IT"/>
              </w:rPr>
            </w:pPr>
            <w:r>
              <w:rPr>
                <w:lang w:val="en-US"/>
              </w:rPr>
              <w:t>Report type</w:t>
            </w:r>
          </w:p>
        </w:tc>
        <w:tc>
          <w:tcPr>
            <w:tcW w:w="516" w:type="pct"/>
            <w:textDirection w:val="btLr"/>
          </w:tcPr>
          <w:p w14:paraId="2403131F" w14:textId="77777777" w:rsidR="00F24C62" w:rsidRDefault="00F24C62">
            <w:pPr>
              <w:ind w:left="113" w:right="113"/>
              <w:rPr>
                <w:lang w:val="it-IT"/>
              </w:rPr>
            </w:pPr>
            <w:r>
              <w:rPr>
                <w:lang w:val="en-US"/>
              </w:rPr>
              <w:t>Security and Privacy</w:t>
            </w:r>
          </w:p>
        </w:tc>
        <w:tc>
          <w:tcPr>
            <w:tcW w:w="295" w:type="pct"/>
            <w:textDirection w:val="btLr"/>
          </w:tcPr>
          <w:p w14:paraId="25013FD0" w14:textId="77777777" w:rsidR="00F24C62" w:rsidRDefault="00F24C62">
            <w:pPr>
              <w:ind w:left="113" w:right="113"/>
              <w:rPr>
                <w:lang w:val="it-IT"/>
              </w:rPr>
            </w:pPr>
            <w:r>
              <w:rPr>
                <w:lang w:val="en-US"/>
              </w:rPr>
              <w:t>Inference</w:t>
            </w:r>
          </w:p>
        </w:tc>
        <w:tc>
          <w:tcPr>
            <w:tcW w:w="297" w:type="pct"/>
            <w:textDirection w:val="btLr"/>
          </w:tcPr>
          <w:p w14:paraId="3BF9E734" w14:textId="77777777" w:rsidR="00F24C62" w:rsidRDefault="00F24C62">
            <w:pPr>
              <w:ind w:left="113" w:right="113"/>
              <w:rPr>
                <w:lang w:val="it-IT"/>
              </w:rPr>
            </w:pPr>
            <w:r>
              <w:rPr>
                <w:lang w:val="en-US"/>
              </w:rPr>
              <w:t>Monitoring</w:t>
            </w:r>
          </w:p>
        </w:tc>
        <w:tc>
          <w:tcPr>
            <w:tcW w:w="361" w:type="pct"/>
            <w:textDirection w:val="btLr"/>
          </w:tcPr>
          <w:p w14:paraId="7D278B28" w14:textId="77777777" w:rsidR="00F24C62" w:rsidRDefault="00F24C62">
            <w:pPr>
              <w:spacing w:after="0"/>
              <w:ind w:left="113" w:right="113"/>
              <w:rPr>
                <w:lang w:val="it-IT"/>
              </w:rPr>
            </w:pPr>
            <w:r>
              <w:rPr>
                <w:lang w:val="en-US"/>
              </w:rPr>
              <w:t>Offline Training</w:t>
            </w:r>
          </w:p>
        </w:tc>
      </w:tr>
      <w:tr w:rsidR="00F24C62" w14:paraId="28610DBA" w14:textId="77777777">
        <w:trPr>
          <w:trHeight w:val="600"/>
        </w:trPr>
        <w:tc>
          <w:tcPr>
            <w:tcW w:w="660" w:type="pct"/>
          </w:tcPr>
          <w:p w14:paraId="6BBF3A71" w14:textId="77777777" w:rsidR="00F24C62" w:rsidRDefault="00F24C62">
            <w:pPr>
              <w:rPr>
                <w:rStyle w:val="CommentReference"/>
                <w:lang w:val="it-IT"/>
              </w:rPr>
            </w:pPr>
            <w:r>
              <w:rPr>
                <w:rStyle w:val="CommentReference"/>
                <w:lang w:val="it-IT"/>
              </w:rPr>
              <w:lastRenderedPageBreak/>
              <w:t>Framework</w:t>
            </w:r>
          </w:p>
        </w:tc>
        <w:tc>
          <w:tcPr>
            <w:tcW w:w="370" w:type="pct"/>
          </w:tcPr>
          <w:p w14:paraId="2231E5D5" w14:textId="77777777" w:rsidR="00F24C62" w:rsidRDefault="00F24C62">
            <w:pPr>
              <w:rPr>
                <w:lang w:val="en-US" w:eastAsia="zh-CN"/>
              </w:rPr>
            </w:pPr>
          </w:p>
        </w:tc>
        <w:tc>
          <w:tcPr>
            <w:tcW w:w="514" w:type="pct"/>
          </w:tcPr>
          <w:p w14:paraId="6F4ADBB1" w14:textId="77777777" w:rsidR="00F24C62" w:rsidRDefault="00F24C62">
            <w:pPr>
              <w:rPr>
                <w:lang w:val="en-US"/>
              </w:rPr>
            </w:pPr>
          </w:p>
        </w:tc>
        <w:tc>
          <w:tcPr>
            <w:tcW w:w="661" w:type="pct"/>
          </w:tcPr>
          <w:p w14:paraId="25DB01CD" w14:textId="77777777" w:rsidR="00F24C62" w:rsidRDefault="00F24C62">
            <w:pPr>
              <w:rPr>
                <w:lang w:val="en-US"/>
              </w:rPr>
            </w:pPr>
          </w:p>
        </w:tc>
        <w:tc>
          <w:tcPr>
            <w:tcW w:w="515" w:type="pct"/>
          </w:tcPr>
          <w:p w14:paraId="5DE0C98C" w14:textId="77777777" w:rsidR="00F24C62" w:rsidRDefault="00F24C62">
            <w:pPr>
              <w:rPr>
                <w:lang w:val="en-US"/>
              </w:rPr>
            </w:pPr>
          </w:p>
        </w:tc>
        <w:tc>
          <w:tcPr>
            <w:tcW w:w="515" w:type="pct"/>
          </w:tcPr>
          <w:p w14:paraId="13A0E2EB" w14:textId="77777777" w:rsidR="00F24C62" w:rsidRDefault="00F24C62">
            <w:pPr>
              <w:rPr>
                <w:lang w:val="en-US"/>
              </w:rPr>
            </w:pPr>
          </w:p>
        </w:tc>
        <w:tc>
          <w:tcPr>
            <w:tcW w:w="296" w:type="pct"/>
          </w:tcPr>
          <w:p w14:paraId="1E2E09CB" w14:textId="77777777" w:rsidR="00F24C62" w:rsidRDefault="00F24C62">
            <w:pPr>
              <w:rPr>
                <w:lang w:val="en-US"/>
              </w:rPr>
            </w:pPr>
          </w:p>
        </w:tc>
        <w:tc>
          <w:tcPr>
            <w:tcW w:w="516" w:type="pct"/>
          </w:tcPr>
          <w:p w14:paraId="673A81F7" w14:textId="77777777" w:rsidR="00F24C62" w:rsidRDefault="00F24C62">
            <w:pPr>
              <w:rPr>
                <w:lang w:val="en-US"/>
              </w:rPr>
            </w:pPr>
          </w:p>
        </w:tc>
        <w:tc>
          <w:tcPr>
            <w:tcW w:w="295" w:type="pct"/>
          </w:tcPr>
          <w:p w14:paraId="4A98DD09" w14:textId="77777777" w:rsidR="00F24C62" w:rsidRDefault="00F24C62">
            <w:pPr>
              <w:rPr>
                <w:lang w:val="en-US"/>
              </w:rPr>
            </w:pPr>
          </w:p>
        </w:tc>
        <w:tc>
          <w:tcPr>
            <w:tcW w:w="297" w:type="pct"/>
          </w:tcPr>
          <w:p w14:paraId="65648938" w14:textId="77777777" w:rsidR="00F24C62" w:rsidRDefault="00F24C62">
            <w:pPr>
              <w:rPr>
                <w:lang w:val="en-US"/>
              </w:rPr>
            </w:pPr>
          </w:p>
        </w:tc>
        <w:tc>
          <w:tcPr>
            <w:tcW w:w="361" w:type="pct"/>
          </w:tcPr>
          <w:p w14:paraId="5CF11936" w14:textId="77777777" w:rsidR="00F24C62" w:rsidRDefault="00F24C62">
            <w:pPr>
              <w:spacing w:after="0"/>
              <w:rPr>
                <w:lang w:val="en-US"/>
              </w:rPr>
            </w:pPr>
          </w:p>
        </w:tc>
      </w:tr>
    </w:tbl>
    <w:p w14:paraId="68319EE2" w14:textId="77777777" w:rsidR="00F24C62" w:rsidRDefault="00F24C62" w:rsidP="00D753CE">
      <w:pPr>
        <w:rPr>
          <w:rFonts w:asciiTheme="minorHAnsi" w:hAnsiTheme="minorHAnsi" w:cstheme="minorHAnsi"/>
        </w:rPr>
      </w:pPr>
    </w:p>
    <w:p w14:paraId="39C301FB" w14:textId="7CAC49EF" w:rsidR="0027687A" w:rsidRPr="0027687A" w:rsidRDefault="0027687A" w:rsidP="0027687A">
      <w:pPr>
        <w:rPr>
          <w:rFonts w:asciiTheme="minorHAnsi" w:hAnsiTheme="minorHAnsi" w:cstheme="minorHAnsi"/>
        </w:rPr>
      </w:pPr>
      <w:r w:rsidRPr="0027687A">
        <w:rPr>
          <w:rFonts w:asciiTheme="minorHAnsi" w:hAnsiTheme="minorHAnsi" w:cstheme="minorHAnsi"/>
        </w:rPr>
        <w:t xml:space="preserve">MDT and EVEX framework were discussed for data collection during RAN2_121bise meeting and there was no conclusion. In this contribution, we attempt to compare both </w:t>
      </w:r>
      <w:r w:rsidR="00CE45AA">
        <w:rPr>
          <w:rFonts w:asciiTheme="minorHAnsi" w:hAnsiTheme="minorHAnsi" w:cstheme="minorHAnsi"/>
        </w:rPr>
        <w:t xml:space="preserve">EVEX and MDT </w:t>
      </w:r>
      <w:r w:rsidRPr="0027687A">
        <w:rPr>
          <w:rFonts w:asciiTheme="minorHAnsi" w:hAnsiTheme="minorHAnsi" w:cstheme="minorHAnsi"/>
        </w:rPr>
        <w:t>and provide a comparison table</w:t>
      </w:r>
      <w:r w:rsidR="00CE45AA">
        <w:rPr>
          <w:rFonts w:asciiTheme="minorHAnsi" w:hAnsiTheme="minorHAnsi" w:cstheme="minorHAnsi"/>
        </w:rPr>
        <w:t xml:space="preserve"> to start with</w:t>
      </w:r>
      <w:r w:rsidRPr="0027687A">
        <w:rPr>
          <w:rFonts w:asciiTheme="minorHAnsi" w:hAnsiTheme="minorHAnsi" w:cstheme="minorHAnsi"/>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271E3DE1" w14:textId="07DA60BF" w:rsidR="00857FEE" w:rsidRPr="00C31959" w:rsidRDefault="00857FEE" w:rsidP="00857FEE">
      <w:pPr>
        <w:pStyle w:val="Heading2"/>
      </w:pPr>
      <w:r>
        <w:t xml:space="preserve">2.1 </w:t>
      </w:r>
      <w:r w:rsidRPr="00C31959">
        <w:t xml:space="preserve">EVEX </w:t>
      </w:r>
    </w:p>
    <w:p w14:paraId="7129B3A2" w14:textId="6245B52E" w:rsidR="00857FEE" w:rsidRPr="0016352B" w:rsidRDefault="00794D19" w:rsidP="00857FEE">
      <w:pPr>
        <w:rPr>
          <w:rFonts w:asciiTheme="minorHAnsi" w:hAnsiTheme="minorHAnsi" w:cstheme="minorHAnsi"/>
        </w:rPr>
      </w:pPr>
      <w:r w:rsidRPr="0016352B">
        <w:rPr>
          <w:rFonts w:asciiTheme="minorHAnsi" w:hAnsiTheme="minorHAnsi" w:cstheme="minorHAnsi"/>
        </w:rPr>
        <w:t>RAN2_121 discussed a contribution in [</w:t>
      </w:r>
      <w:r w:rsidR="001431B4">
        <w:rPr>
          <w:rFonts w:asciiTheme="minorHAnsi" w:hAnsiTheme="minorHAnsi" w:cstheme="minorHAnsi"/>
        </w:rPr>
        <w:t>3</w:t>
      </w:r>
      <w:r w:rsidRPr="0016352B">
        <w:rPr>
          <w:rFonts w:asciiTheme="minorHAnsi" w:hAnsiTheme="minorHAnsi" w:cstheme="minorHAnsi"/>
        </w:rPr>
        <w:t>]</w:t>
      </w:r>
      <w:r w:rsidR="00857FEE" w:rsidRPr="0016352B">
        <w:rPr>
          <w:rFonts w:asciiTheme="minorHAnsi" w:hAnsiTheme="minorHAnsi" w:cstheme="minorHAnsi"/>
        </w:rPr>
        <w:t xml:space="preserve"> </w:t>
      </w:r>
      <w:r w:rsidRPr="0016352B">
        <w:rPr>
          <w:rFonts w:asciiTheme="minorHAnsi" w:hAnsiTheme="minorHAnsi" w:cstheme="minorHAnsi"/>
        </w:rPr>
        <w:t xml:space="preserve">which </w:t>
      </w:r>
      <w:r w:rsidR="00857FEE" w:rsidRPr="0016352B">
        <w:rPr>
          <w:rFonts w:asciiTheme="minorHAnsi" w:hAnsiTheme="minorHAnsi" w:cstheme="minorHAnsi"/>
        </w:rPr>
        <w:t xml:space="preserve">argued to use EVEX framework for offline training. EVEX framework is spread across different </w:t>
      </w:r>
      <w:r w:rsidRPr="0016352B">
        <w:rPr>
          <w:rFonts w:asciiTheme="minorHAnsi" w:hAnsiTheme="minorHAnsi" w:cstheme="minorHAnsi"/>
        </w:rPr>
        <w:t xml:space="preserve">SA </w:t>
      </w:r>
      <w:r w:rsidR="00857FEE" w:rsidRPr="0016352B">
        <w:rPr>
          <w:rFonts w:asciiTheme="minorHAnsi" w:hAnsiTheme="minorHAnsi" w:cstheme="minorHAnsi"/>
        </w:rPr>
        <w:t xml:space="preserve">WGs, as indicated by the LS </w:t>
      </w:r>
      <w:r w:rsidR="00165268" w:rsidRPr="0016352B">
        <w:rPr>
          <w:rFonts w:asciiTheme="minorHAnsi" w:hAnsiTheme="minorHAnsi" w:cstheme="minorHAnsi"/>
        </w:rPr>
        <w:t xml:space="preserve">on </w:t>
      </w:r>
      <w:r w:rsidR="00062FF4" w:rsidRPr="0016352B">
        <w:rPr>
          <w:rFonts w:asciiTheme="minorHAnsi" w:hAnsiTheme="minorHAnsi" w:cstheme="minorHAnsi"/>
        </w:rPr>
        <w:t>“</w:t>
      </w:r>
      <w:r w:rsidR="00165268" w:rsidRPr="0016352B">
        <w:rPr>
          <w:rFonts w:asciiTheme="minorHAnsi" w:hAnsiTheme="minorHAnsi" w:cstheme="minorHAnsi"/>
        </w:rPr>
        <w:t>Alignment of activities on UE data collection reporting and event exposure</w:t>
      </w:r>
      <w:r w:rsidR="00062FF4" w:rsidRPr="0016352B">
        <w:rPr>
          <w:rFonts w:asciiTheme="minorHAnsi" w:hAnsiTheme="minorHAnsi" w:cstheme="minorHAnsi"/>
        </w:rPr>
        <w:t>”</w:t>
      </w:r>
      <w:r w:rsidR="00165268" w:rsidRPr="0016352B">
        <w:rPr>
          <w:rFonts w:asciiTheme="minorHAnsi" w:hAnsiTheme="minorHAnsi" w:cstheme="minorHAnsi"/>
        </w:rPr>
        <w:t xml:space="preserve"> </w:t>
      </w:r>
      <w:r w:rsidR="00857FEE" w:rsidRPr="0016352B">
        <w:rPr>
          <w:rFonts w:asciiTheme="minorHAnsi" w:hAnsiTheme="minorHAnsi" w:cstheme="minorHAnsi"/>
        </w:rPr>
        <w:t>from SAP</w:t>
      </w:r>
      <w:r w:rsidR="008639CF" w:rsidRPr="0016352B">
        <w:rPr>
          <w:rFonts w:asciiTheme="minorHAnsi" w:hAnsiTheme="minorHAnsi" w:cstheme="minorHAnsi"/>
        </w:rPr>
        <w:t>#99</w:t>
      </w:r>
      <w:r w:rsidR="00857FEE" w:rsidRPr="0016352B">
        <w:rPr>
          <w:rFonts w:asciiTheme="minorHAnsi" w:hAnsiTheme="minorHAnsi" w:cstheme="minorHAnsi"/>
        </w:rPr>
        <w:t xml:space="preserve"> in </w:t>
      </w:r>
      <w:r w:rsidR="00165268" w:rsidRPr="0016352B">
        <w:rPr>
          <w:rFonts w:asciiTheme="minorHAnsi" w:hAnsiTheme="minorHAnsi" w:cstheme="minorHAnsi"/>
        </w:rPr>
        <w:t>[</w:t>
      </w:r>
      <w:r w:rsidR="001431B4">
        <w:rPr>
          <w:rFonts w:asciiTheme="minorHAnsi" w:hAnsiTheme="minorHAnsi" w:cstheme="minorHAnsi"/>
        </w:rPr>
        <w:t>4</w:t>
      </w:r>
      <w:r w:rsidR="00165268" w:rsidRPr="0016352B">
        <w:rPr>
          <w:rFonts w:asciiTheme="minorHAnsi" w:hAnsiTheme="minorHAnsi" w:cstheme="minorHAnsi"/>
        </w:rPr>
        <w:t>]</w:t>
      </w:r>
      <w:r w:rsidR="00857FEE" w:rsidRPr="0016352B">
        <w:rPr>
          <w:rFonts w:asciiTheme="minorHAnsi" w:hAnsiTheme="minorHAnsi" w:cstheme="minorHAnsi"/>
        </w:rPr>
        <w:t xml:space="preserve">.  </w:t>
      </w:r>
      <w:r w:rsidR="00062FF4" w:rsidRPr="0016352B">
        <w:rPr>
          <w:rFonts w:asciiTheme="minorHAnsi" w:hAnsiTheme="minorHAnsi" w:cstheme="minorHAnsi"/>
        </w:rPr>
        <w:t xml:space="preserve">UE data collection reporting and event exposure work </w:t>
      </w:r>
      <w:r w:rsidR="00857FEE" w:rsidRPr="0016352B">
        <w:rPr>
          <w:rFonts w:asciiTheme="minorHAnsi" w:hAnsiTheme="minorHAnsi" w:cstheme="minorHAnsi"/>
        </w:rPr>
        <w:t>is spread between SA4/6/2 WG</w:t>
      </w:r>
      <w:r w:rsidR="00041912" w:rsidRPr="0016352B">
        <w:rPr>
          <w:rFonts w:asciiTheme="minorHAnsi" w:hAnsiTheme="minorHAnsi" w:cstheme="minorHAnsi"/>
        </w:rPr>
        <w:t xml:space="preserve"> specification</w:t>
      </w:r>
      <w:r w:rsidR="009927EF" w:rsidRPr="0016352B">
        <w:rPr>
          <w:rFonts w:asciiTheme="minorHAnsi" w:hAnsiTheme="minorHAnsi" w:cstheme="minorHAnsi"/>
        </w:rPr>
        <w:t>s</w:t>
      </w:r>
      <w:r w:rsidR="00857FEE" w:rsidRPr="0016352B">
        <w:rPr>
          <w:rFonts w:asciiTheme="minorHAnsi" w:hAnsiTheme="minorHAnsi" w:cstheme="minorHAnsi"/>
        </w:rPr>
        <w:t xml:space="preserve"> and this LS </w:t>
      </w:r>
      <w:r w:rsidR="009927EF" w:rsidRPr="0016352B">
        <w:rPr>
          <w:rFonts w:asciiTheme="minorHAnsi" w:hAnsiTheme="minorHAnsi" w:cstheme="minorHAnsi"/>
        </w:rPr>
        <w:t xml:space="preserve">from SA plenary </w:t>
      </w:r>
      <w:r w:rsidR="00857FEE" w:rsidRPr="0016352B">
        <w:rPr>
          <w:rFonts w:asciiTheme="minorHAnsi" w:hAnsiTheme="minorHAnsi" w:cstheme="minorHAnsi"/>
        </w:rPr>
        <w:t>is tasking SA4 to either take the ownership of EVEX framework specifications or leave it for SA2 to maintain EVEX specifications.</w:t>
      </w:r>
    </w:p>
    <w:p w14:paraId="2EF72D0C" w14:textId="15585994" w:rsidR="00857FEE" w:rsidRPr="0016352B" w:rsidRDefault="00857FEE" w:rsidP="00857FEE">
      <w:pPr>
        <w:rPr>
          <w:rFonts w:asciiTheme="minorHAnsi" w:hAnsiTheme="minorHAnsi" w:cstheme="minorHAnsi"/>
        </w:rPr>
      </w:pPr>
      <w:r w:rsidRPr="0016352B">
        <w:rPr>
          <w:rFonts w:asciiTheme="minorHAnsi" w:hAnsiTheme="minorHAnsi" w:cstheme="minorHAnsi"/>
        </w:rPr>
        <w:t xml:space="preserve">SA4 specifications </w:t>
      </w:r>
      <w:r w:rsidR="00041912" w:rsidRPr="0016352B">
        <w:rPr>
          <w:rFonts w:asciiTheme="minorHAnsi" w:hAnsiTheme="minorHAnsi" w:cstheme="minorHAnsi"/>
        </w:rPr>
        <w:t xml:space="preserve">TS </w:t>
      </w:r>
      <w:r w:rsidRPr="0016352B">
        <w:rPr>
          <w:rFonts w:asciiTheme="minorHAnsi" w:hAnsiTheme="minorHAnsi" w:cstheme="minorHAnsi"/>
        </w:rPr>
        <w:t xml:space="preserve">26.531 has </w:t>
      </w:r>
      <w:r w:rsidR="00041912" w:rsidRPr="0016352B">
        <w:rPr>
          <w:rFonts w:asciiTheme="minorHAnsi" w:hAnsiTheme="minorHAnsi" w:cstheme="minorHAnsi"/>
        </w:rPr>
        <w:t xml:space="preserve">a </w:t>
      </w:r>
      <w:r w:rsidRPr="0016352B">
        <w:rPr>
          <w:rFonts w:asciiTheme="minorHAnsi" w:hAnsiTheme="minorHAnsi" w:cstheme="minorHAnsi"/>
        </w:rPr>
        <w:t xml:space="preserve">reference architecture for data collection and reporting. In our understanding, RAN2 focus </w:t>
      </w:r>
      <w:r w:rsidR="00471830" w:rsidRPr="0016352B">
        <w:rPr>
          <w:rFonts w:asciiTheme="minorHAnsi" w:hAnsiTheme="minorHAnsi" w:cstheme="minorHAnsi"/>
        </w:rPr>
        <w:t xml:space="preserve">may be </w:t>
      </w:r>
      <w:r w:rsidRPr="0016352B">
        <w:rPr>
          <w:rFonts w:asciiTheme="minorHAnsi" w:hAnsiTheme="minorHAnsi" w:cstheme="minorHAnsi"/>
        </w:rPr>
        <w:t>on reference point R2</w:t>
      </w:r>
      <w:r w:rsidR="00471830" w:rsidRPr="0016352B">
        <w:rPr>
          <w:rFonts w:asciiTheme="minorHAnsi" w:hAnsiTheme="minorHAnsi" w:cstheme="minorHAnsi"/>
        </w:rPr>
        <w:t>,</w:t>
      </w:r>
      <w:r w:rsidRPr="0016352B">
        <w:rPr>
          <w:rFonts w:asciiTheme="minorHAnsi" w:hAnsiTheme="minorHAnsi" w:cstheme="minorHAnsi"/>
        </w:rPr>
        <w:t xml:space="preserve"> between Direct Data Collection Client and Data Collection AF</w:t>
      </w:r>
      <w:r w:rsidR="002324C9" w:rsidRPr="0016352B">
        <w:rPr>
          <w:rFonts w:asciiTheme="minorHAnsi" w:hAnsiTheme="minorHAnsi" w:cstheme="minorHAnsi"/>
        </w:rPr>
        <w:t>, as shown in figure below:</w:t>
      </w:r>
      <w:r w:rsidRPr="0016352B">
        <w:rPr>
          <w:rFonts w:asciiTheme="minorHAnsi" w:hAnsiTheme="minorHAnsi" w:cstheme="minorHAnsi"/>
        </w:rPr>
        <w:t xml:space="preserve"> </w:t>
      </w:r>
    </w:p>
    <w:p w14:paraId="5B87E040" w14:textId="2F61A63B" w:rsidR="00857FEE" w:rsidRPr="00CC3B1C" w:rsidRDefault="0016352B" w:rsidP="00857FEE">
      <w:pPr>
        <w:rPr>
          <w:lang w:eastAsia="x-none"/>
        </w:rPr>
      </w:pPr>
      <w:r>
        <w:object w:dxaOrig="9691" w:dyaOrig="9691" w14:anchorId="32920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247.5pt" o:ole="">
            <v:imagedata r:id="rId9" o:title=""/>
          </v:shape>
          <o:OLEObject Type="Embed" ProgID="Visio.Drawing.15" ShapeID="_x0000_i1025" DrawAspect="Content" ObjectID="_1745328239" r:id="rId10"/>
        </w:object>
      </w:r>
    </w:p>
    <w:p w14:paraId="06B2EE9D" w14:textId="77777777" w:rsidR="00857FEE" w:rsidRPr="00057D2F" w:rsidRDefault="00857FEE" w:rsidP="00857FEE">
      <w:pPr>
        <w:pStyle w:val="TF"/>
      </w:pPr>
      <w:r w:rsidRPr="00057D2F">
        <w:t>Figure 4.2</w:t>
      </w:r>
      <w:r w:rsidRPr="00057D2F">
        <w:noBreakHyphen/>
        <w:t>1: Reference architecture for data collection and reporting in reference point notation</w:t>
      </w:r>
    </w:p>
    <w:p w14:paraId="4820ABDB" w14:textId="0B0348B5" w:rsidR="00857FEE" w:rsidRPr="00302242" w:rsidRDefault="00857FEE" w:rsidP="00857FEE">
      <w:pPr>
        <w:spacing w:afterLines="50" w:after="120"/>
        <w:jc w:val="both"/>
        <w:rPr>
          <w:rFonts w:asciiTheme="minorHAnsi" w:hAnsiTheme="minorHAnsi" w:cstheme="minorHAnsi"/>
        </w:rPr>
      </w:pPr>
      <w:r w:rsidRPr="00302242">
        <w:rPr>
          <w:rFonts w:asciiTheme="minorHAnsi" w:hAnsiTheme="minorHAnsi" w:cstheme="minorHAnsi"/>
        </w:rPr>
        <w:t xml:space="preserve">Data collection from UE application is further specified in SA2 specification </w:t>
      </w:r>
      <w:r w:rsidR="00471830">
        <w:rPr>
          <w:rFonts w:asciiTheme="minorHAnsi" w:hAnsiTheme="minorHAnsi" w:cstheme="minorHAnsi"/>
        </w:rPr>
        <w:t xml:space="preserve">TS </w:t>
      </w:r>
      <w:r w:rsidRPr="00302242">
        <w:rPr>
          <w:rFonts w:asciiTheme="minorHAnsi" w:hAnsiTheme="minorHAnsi" w:cstheme="minorHAnsi"/>
          <w:b/>
          <w:bCs/>
        </w:rPr>
        <w:t>23.288</w:t>
      </w:r>
      <w:r w:rsidRPr="00302242">
        <w:rPr>
          <w:rFonts w:asciiTheme="minorHAnsi" w:hAnsiTheme="minorHAnsi" w:cstheme="minorHAnsi"/>
        </w:rPr>
        <w:t xml:space="preserve"> section 6.2.8 and a summary of this procedure was </w:t>
      </w:r>
      <w:r w:rsidR="00471830">
        <w:rPr>
          <w:rFonts w:asciiTheme="minorHAnsi" w:hAnsiTheme="minorHAnsi" w:cstheme="minorHAnsi"/>
        </w:rPr>
        <w:t xml:space="preserve">also </w:t>
      </w:r>
      <w:r w:rsidRPr="00302242">
        <w:rPr>
          <w:rFonts w:asciiTheme="minorHAnsi" w:hAnsiTheme="minorHAnsi" w:cstheme="minorHAnsi"/>
        </w:rPr>
        <w:t xml:space="preserve">provided in </w:t>
      </w:r>
      <w:r w:rsidR="00471830" w:rsidRPr="001431B4">
        <w:rPr>
          <w:rFonts w:asciiTheme="minorHAnsi" w:hAnsiTheme="minorHAnsi" w:cstheme="minorHAnsi"/>
        </w:rPr>
        <w:t>[</w:t>
      </w:r>
      <w:r w:rsidR="001431B4" w:rsidRPr="001431B4">
        <w:rPr>
          <w:rFonts w:asciiTheme="minorHAnsi" w:hAnsiTheme="minorHAnsi" w:cstheme="minorHAnsi"/>
        </w:rPr>
        <w:t>3</w:t>
      </w:r>
      <w:r w:rsidR="00471830" w:rsidRPr="001431B4">
        <w:rPr>
          <w:rFonts w:asciiTheme="minorHAnsi" w:hAnsiTheme="minorHAnsi" w:cstheme="minorHAnsi"/>
        </w:rPr>
        <w:t>].</w:t>
      </w:r>
    </w:p>
    <w:p w14:paraId="3646C2CE" w14:textId="70BCDB51" w:rsidR="0027687A" w:rsidRDefault="00324B29" w:rsidP="00324B29">
      <w:pPr>
        <w:pStyle w:val="Heading2"/>
      </w:pPr>
      <w:r>
        <w:t xml:space="preserve">2.2 </w:t>
      </w:r>
      <w:r w:rsidR="0027687A">
        <w:t>MDT</w:t>
      </w:r>
    </w:p>
    <w:p w14:paraId="355D7720" w14:textId="2500F18C" w:rsidR="0027687A" w:rsidRPr="00961ED7" w:rsidRDefault="0027687A" w:rsidP="00797857">
      <w:pPr>
        <w:rPr>
          <w:rFonts w:asciiTheme="minorHAnsi" w:hAnsiTheme="minorHAnsi" w:cstheme="minorHAnsi"/>
        </w:rPr>
      </w:pPr>
      <w:r w:rsidRPr="00961ED7">
        <w:rPr>
          <w:rFonts w:asciiTheme="minorHAnsi" w:hAnsiTheme="minorHAnsi" w:cstheme="minorHAnsi"/>
        </w:rPr>
        <w:t xml:space="preserve">MDT is specified </w:t>
      </w:r>
      <w:r w:rsidR="00961ED7" w:rsidRPr="00961ED7">
        <w:rPr>
          <w:rFonts w:asciiTheme="minorHAnsi" w:hAnsiTheme="minorHAnsi" w:cstheme="minorHAnsi"/>
        </w:rPr>
        <w:t>mainly by RAN2 and RAN3</w:t>
      </w:r>
      <w:r w:rsidR="00961ED7">
        <w:rPr>
          <w:rFonts w:asciiTheme="minorHAnsi" w:hAnsiTheme="minorHAnsi" w:cstheme="minorHAnsi"/>
        </w:rPr>
        <w:t>.</w:t>
      </w:r>
    </w:p>
    <w:p w14:paraId="424EB08D" w14:textId="77777777" w:rsidR="0027687A" w:rsidRDefault="0027687A" w:rsidP="00797857">
      <w:pPr>
        <w:rPr>
          <w:rFonts w:asciiTheme="minorHAnsi" w:hAnsiTheme="minorHAnsi" w:cstheme="minorHAnsi"/>
          <w:b/>
          <w:bCs/>
        </w:rPr>
      </w:pPr>
    </w:p>
    <w:p w14:paraId="766AB8A0" w14:textId="642B6B36" w:rsidR="0027687A" w:rsidRDefault="00324B29" w:rsidP="00324B29">
      <w:pPr>
        <w:pStyle w:val="Heading2"/>
      </w:pPr>
      <w:r>
        <w:lastRenderedPageBreak/>
        <w:t xml:space="preserve">2.3 </w:t>
      </w:r>
      <w:r w:rsidR="00CE32A9">
        <w:t>Comparison</w:t>
      </w:r>
    </w:p>
    <w:p w14:paraId="42C8A547" w14:textId="4F1CB419" w:rsidR="00CE32A9" w:rsidRDefault="00CE32A9" w:rsidP="00797857">
      <w:pPr>
        <w:rPr>
          <w:rFonts w:asciiTheme="minorHAnsi" w:hAnsiTheme="minorHAnsi" w:cstheme="minorHAnsi"/>
          <w:b/>
          <w:bCs/>
        </w:rPr>
      </w:pPr>
      <w:r>
        <w:rPr>
          <w:rFonts w:asciiTheme="minorHAnsi" w:hAnsiTheme="minorHAnsi" w:cstheme="minorHAnsi"/>
          <w:b/>
          <w:bCs/>
        </w:rPr>
        <w:t>Offline training</w:t>
      </w:r>
    </w:p>
    <w:p w14:paraId="4BCCC1D9" w14:textId="6A026C84" w:rsidR="00EC79AF" w:rsidRDefault="00A37F3A" w:rsidP="00797857">
      <w:pPr>
        <w:rPr>
          <w:rFonts w:asciiTheme="minorHAnsi" w:hAnsiTheme="minorHAnsi" w:cstheme="minorHAnsi"/>
        </w:rPr>
      </w:pPr>
      <w:r w:rsidRPr="00A37F3A">
        <w:rPr>
          <w:rFonts w:asciiTheme="minorHAnsi" w:hAnsiTheme="minorHAnsi" w:cstheme="minorHAnsi"/>
        </w:rPr>
        <w:t>In our</w:t>
      </w:r>
      <w:r>
        <w:rPr>
          <w:rFonts w:asciiTheme="minorHAnsi" w:hAnsiTheme="minorHAnsi" w:cstheme="minorHAnsi"/>
        </w:rPr>
        <w:t xml:space="preserve"> understanding, offline training </w:t>
      </w:r>
      <w:r w:rsidR="00AE63BB">
        <w:rPr>
          <w:rFonts w:asciiTheme="minorHAnsi" w:hAnsiTheme="minorHAnsi" w:cstheme="minorHAnsi"/>
        </w:rPr>
        <w:t xml:space="preserve">may require data collection over </w:t>
      </w:r>
      <w:proofErr w:type="gramStart"/>
      <w:r w:rsidR="00AE63BB">
        <w:rPr>
          <w:rFonts w:asciiTheme="minorHAnsi" w:hAnsiTheme="minorHAnsi" w:cstheme="minorHAnsi"/>
        </w:rPr>
        <w:t>a period of time</w:t>
      </w:r>
      <w:proofErr w:type="gramEnd"/>
      <w:r w:rsidR="00AE63BB">
        <w:rPr>
          <w:rFonts w:asciiTheme="minorHAnsi" w:hAnsiTheme="minorHAnsi" w:cstheme="minorHAnsi"/>
        </w:rPr>
        <w:t xml:space="preserve">. </w:t>
      </w:r>
      <w:r w:rsidR="00C967F8">
        <w:rPr>
          <w:rFonts w:asciiTheme="minorHAnsi" w:hAnsiTheme="minorHAnsi" w:cstheme="minorHAnsi"/>
        </w:rPr>
        <w:t>[</w:t>
      </w:r>
      <w:proofErr w:type="spellStart"/>
      <w:r w:rsidR="00C967F8">
        <w:rPr>
          <w:rFonts w:asciiTheme="minorHAnsi" w:hAnsiTheme="minorHAnsi" w:cstheme="minorHAnsi"/>
        </w:rPr>
        <w:t>Qualcommpaper</w:t>
      </w:r>
      <w:proofErr w:type="spellEnd"/>
      <w:r w:rsidR="00C967F8">
        <w:rPr>
          <w:rFonts w:asciiTheme="minorHAnsi" w:hAnsiTheme="minorHAnsi" w:cstheme="minorHAnsi"/>
        </w:rPr>
        <w:t xml:space="preserve">] proposed to use EVEX for offline training </w:t>
      </w:r>
      <w:r w:rsidR="00CE45AA">
        <w:rPr>
          <w:rFonts w:asciiTheme="minorHAnsi" w:hAnsiTheme="minorHAnsi" w:cstheme="minorHAnsi"/>
        </w:rPr>
        <w:t>for a</w:t>
      </w:r>
      <w:r w:rsidR="00C967F8">
        <w:rPr>
          <w:rFonts w:asciiTheme="minorHAnsi" w:hAnsiTheme="minorHAnsi" w:cstheme="minorHAnsi"/>
        </w:rPr>
        <w:t xml:space="preserve"> UE sided model. The assumption is that </w:t>
      </w:r>
      <w:r w:rsidR="00EC79AF">
        <w:rPr>
          <w:rFonts w:asciiTheme="minorHAnsi" w:hAnsiTheme="minorHAnsi" w:cstheme="minorHAnsi"/>
        </w:rPr>
        <w:t xml:space="preserve">offline training may collect data which is not standardised. </w:t>
      </w:r>
    </w:p>
    <w:p w14:paraId="607428FA" w14:textId="4B25EE54" w:rsidR="00042596" w:rsidRDefault="00EC79AF" w:rsidP="00797857">
      <w:pPr>
        <w:rPr>
          <w:rFonts w:asciiTheme="minorHAnsi" w:hAnsiTheme="minorHAnsi" w:cstheme="minorHAnsi"/>
        </w:rPr>
      </w:pPr>
      <w:r>
        <w:rPr>
          <w:rFonts w:asciiTheme="minorHAnsi" w:hAnsiTheme="minorHAnsi" w:cstheme="minorHAnsi"/>
        </w:rPr>
        <w:t xml:space="preserve">We think MDT could also be used for UE sided model </w:t>
      </w:r>
      <w:r w:rsidR="0041671D">
        <w:rPr>
          <w:rFonts w:asciiTheme="minorHAnsi" w:hAnsiTheme="minorHAnsi" w:cstheme="minorHAnsi"/>
        </w:rPr>
        <w:t xml:space="preserve">but then </w:t>
      </w:r>
      <w:r w:rsidR="00CE45AA">
        <w:rPr>
          <w:rFonts w:asciiTheme="minorHAnsi" w:hAnsiTheme="minorHAnsi" w:cstheme="minorHAnsi"/>
        </w:rPr>
        <w:t xml:space="preserve">the </w:t>
      </w:r>
      <w:r w:rsidR="0041671D">
        <w:rPr>
          <w:rFonts w:asciiTheme="minorHAnsi" w:hAnsiTheme="minorHAnsi" w:cstheme="minorHAnsi"/>
        </w:rPr>
        <w:t xml:space="preserve">handling of proprietary data may not </w:t>
      </w:r>
      <w:r w:rsidR="00042596">
        <w:rPr>
          <w:rFonts w:asciiTheme="minorHAnsi" w:hAnsiTheme="minorHAnsi" w:cstheme="minorHAnsi"/>
        </w:rPr>
        <w:t>work well. But then a standardised UE sided model should have standardised data collection method</w:t>
      </w:r>
      <w:r w:rsidR="00CE45AA">
        <w:rPr>
          <w:rFonts w:asciiTheme="minorHAnsi" w:hAnsiTheme="minorHAnsi" w:cstheme="minorHAnsi"/>
        </w:rPr>
        <w:t>s, in our opinion.</w:t>
      </w:r>
    </w:p>
    <w:p w14:paraId="0300A6B8" w14:textId="303F4860" w:rsidR="00CE32A9" w:rsidRPr="0009587C" w:rsidRDefault="00CE45AA" w:rsidP="00797857">
      <w:pPr>
        <w:rPr>
          <w:rFonts w:asciiTheme="minorHAnsi" w:hAnsiTheme="minorHAnsi" w:cstheme="minorHAnsi"/>
          <w:b/>
          <w:bCs/>
        </w:rPr>
      </w:pPr>
      <w:r>
        <w:rPr>
          <w:rFonts w:asciiTheme="minorHAnsi" w:hAnsiTheme="minorHAnsi" w:cstheme="minorHAnsi"/>
          <w:b/>
          <w:bCs/>
        </w:rPr>
        <w:t>P</w:t>
      </w:r>
      <w:r w:rsidR="0009587C" w:rsidRPr="0009587C">
        <w:rPr>
          <w:rFonts w:asciiTheme="minorHAnsi" w:hAnsiTheme="minorHAnsi" w:cstheme="minorHAnsi"/>
          <w:b/>
          <w:bCs/>
        </w:rPr>
        <w:t>roposal</w:t>
      </w:r>
      <w:r w:rsidR="004F227D">
        <w:rPr>
          <w:rFonts w:asciiTheme="minorHAnsi" w:hAnsiTheme="minorHAnsi" w:cstheme="minorHAnsi"/>
          <w:b/>
          <w:bCs/>
        </w:rPr>
        <w:t xml:space="preserve"> 1</w:t>
      </w:r>
      <w:r w:rsidR="00042596" w:rsidRPr="0009587C">
        <w:rPr>
          <w:rFonts w:asciiTheme="minorHAnsi" w:hAnsiTheme="minorHAnsi" w:cstheme="minorHAnsi"/>
          <w:b/>
          <w:bCs/>
        </w:rPr>
        <w:t xml:space="preserve">: </w:t>
      </w:r>
      <w:r>
        <w:rPr>
          <w:rFonts w:asciiTheme="minorHAnsi" w:hAnsiTheme="minorHAnsi" w:cstheme="minorHAnsi"/>
          <w:b/>
          <w:bCs/>
        </w:rPr>
        <w:t xml:space="preserve">RAN2 to discuss if </w:t>
      </w:r>
      <w:r w:rsidR="00042596" w:rsidRPr="0009587C">
        <w:rPr>
          <w:rFonts w:asciiTheme="minorHAnsi" w:hAnsiTheme="minorHAnsi" w:cstheme="minorHAnsi"/>
          <w:b/>
          <w:bCs/>
        </w:rPr>
        <w:t xml:space="preserve">a Standardised UE sided </w:t>
      </w:r>
      <w:r w:rsidR="0009587C" w:rsidRPr="0009587C">
        <w:rPr>
          <w:rFonts w:asciiTheme="minorHAnsi" w:hAnsiTheme="minorHAnsi" w:cstheme="minorHAnsi"/>
          <w:b/>
          <w:bCs/>
        </w:rPr>
        <w:t xml:space="preserve">AI/ML </w:t>
      </w:r>
      <w:r w:rsidR="00042596" w:rsidRPr="0009587C">
        <w:rPr>
          <w:rFonts w:asciiTheme="minorHAnsi" w:hAnsiTheme="minorHAnsi" w:cstheme="minorHAnsi"/>
          <w:b/>
          <w:bCs/>
        </w:rPr>
        <w:t>model</w:t>
      </w:r>
      <w:r w:rsidR="00A37F3A" w:rsidRPr="0009587C">
        <w:rPr>
          <w:rFonts w:asciiTheme="minorHAnsi" w:hAnsiTheme="minorHAnsi" w:cstheme="minorHAnsi"/>
          <w:b/>
          <w:bCs/>
        </w:rPr>
        <w:t xml:space="preserve"> </w:t>
      </w:r>
      <w:r w:rsidR="0009587C" w:rsidRPr="0009587C">
        <w:rPr>
          <w:rFonts w:asciiTheme="minorHAnsi" w:hAnsiTheme="minorHAnsi" w:cstheme="minorHAnsi"/>
          <w:b/>
          <w:bCs/>
        </w:rPr>
        <w:t>should have a standardised data collection method</w:t>
      </w:r>
      <w:r w:rsidR="00961ED7">
        <w:rPr>
          <w:rFonts w:asciiTheme="minorHAnsi" w:hAnsiTheme="minorHAnsi" w:cstheme="minorHAnsi"/>
          <w:b/>
          <w:bCs/>
        </w:rPr>
        <w:t>.</w:t>
      </w:r>
    </w:p>
    <w:p w14:paraId="3B893B39" w14:textId="5029E71E" w:rsidR="008F4DD9" w:rsidRPr="003C78B0" w:rsidRDefault="008F4DD9" w:rsidP="00797857">
      <w:pPr>
        <w:rPr>
          <w:rFonts w:asciiTheme="minorHAnsi" w:hAnsiTheme="minorHAnsi" w:cstheme="minorHAnsi"/>
          <w:b/>
          <w:bCs/>
        </w:rPr>
      </w:pPr>
      <w:r w:rsidRPr="003C78B0">
        <w:rPr>
          <w:rFonts w:asciiTheme="minorHAnsi" w:hAnsiTheme="minorHAnsi" w:cstheme="minorHAnsi"/>
          <w:b/>
          <w:bCs/>
        </w:rPr>
        <w:t xml:space="preserve">Data collection </w:t>
      </w:r>
      <w:r w:rsidR="00FA38AC" w:rsidRPr="003C78B0">
        <w:rPr>
          <w:rFonts w:asciiTheme="minorHAnsi" w:hAnsiTheme="minorHAnsi" w:cstheme="minorHAnsi"/>
          <w:b/>
          <w:bCs/>
        </w:rPr>
        <w:t>spanning over</w:t>
      </w:r>
      <w:r w:rsidRPr="003C78B0">
        <w:rPr>
          <w:rFonts w:asciiTheme="minorHAnsi" w:hAnsiTheme="minorHAnsi" w:cstheme="minorHAnsi"/>
          <w:b/>
          <w:bCs/>
        </w:rPr>
        <w:t xml:space="preserve"> different RRC states</w:t>
      </w:r>
    </w:p>
    <w:p w14:paraId="6731FA37" w14:textId="43A10A96" w:rsidR="008F4DD9" w:rsidRDefault="00CE45AA" w:rsidP="00797857">
      <w:pPr>
        <w:rPr>
          <w:rFonts w:asciiTheme="minorHAnsi" w:hAnsiTheme="minorHAnsi" w:cstheme="minorHAnsi"/>
        </w:rPr>
      </w:pPr>
      <w:r>
        <w:rPr>
          <w:rFonts w:asciiTheme="minorHAnsi" w:hAnsiTheme="minorHAnsi" w:cstheme="minorHAnsi"/>
        </w:rPr>
        <w:t xml:space="preserve">It was pointed out by many companies that EVEX does not support RAN involvement in data collection procedure. </w:t>
      </w:r>
      <w:r w:rsidR="008F4DD9">
        <w:rPr>
          <w:rFonts w:asciiTheme="minorHAnsi" w:hAnsiTheme="minorHAnsi" w:cstheme="minorHAnsi"/>
        </w:rPr>
        <w:t xml:space="preserve">Both EVEX and MDT </w:t>
      </w:r>
      <w:r w:rsidR="00FA38AC">
        <w:rPr>
          <w:rFonts w:asciiTheme="minorHAnsi" w:hAnsiTheme="minorHAnsi" w:cstheme="minorHAnsi"/>
        </w:rPr>
        <w:t xml:space="preserve">need enhancements in collecting data spanning over different RRC states. If a UE state transition takes </w:t>
      </w:r>
      <w:r>
        <w:rPr>
          <w:rFonts w:asciiTheme="minorHAnsi" w:hAnsiTheme="minorHAnsi" w:cstheme="minorHAnsi"/>
        </w:rPr>
        <w:t>place,</w:t>
      </w:r>
      <w:r w:rsidR="00FA38AC">
        <w:rPr>
          <w:rFonts w:asciiTheme="minorHAnsi" w:hAnsiTheme="minorHAnsi" w:cstheme="minorHAnsi"/>
        </w:rPr>
        <w:t xml:space="preserve"> then MDT data continuity is not maintained. EVEX is user plane based so </w:t>
      </w:r>
      <w:r w:rsidR="002535B1">
        <w:rPr>
          <w:rFonts w:asciiTheme="minorHAnsi" w:hAnsiTheme="minorHAnsi" w:cstheme="minorHAnsi"/>
        </w:rPr>
        <w:t xml:space="preserve">data collection only in </w:t>
      </w:r>
      <w:r w:rsidR="00FA38AC">
        <w:rPr>
          <w:rFonts w:asciiTheme="minorHAnsi" w:hAnsiTheme="minorHAnsi" w:cstheme="minorHAnsi"/>
        </w:rPr>
        <w:t xml:space="preserve">connected mode </w:t>
      </w:r>
      <w:r w:rsidR="002535B1">
        <w:rPr>
          <w:rFonts w:asciiTheme="minorHAnsi" w:hAnsiTheme="minorHAnsi" w:cstheme="minorHAnsi"/>
        </w:rPr>
        <w:t>may be supported</w:t>
      </w:r>
      <w:r>
        <w:rPr>
          <w:rFonts w:asciiTheme="minorHAnsi" w:hAnsiTheme="minorHAnsi" w:cstheme="minorHAnsi"/>
        </w:rPr>
        <w:t xml:space="preserve"> and </w:t>
      </w:r>
      <w:r w:rsidR="002535B1">
        <w:rPr>
          <w:rFonts w:asciiTheme="minorHAnsi" w:hAnsiTheme="minorHAnsi" w:cstheme="minorHAnsi"/>
        </w:rPr>
        <w:t>FFS for SDT.</w:t>
      </w:r>
      <w:r>
        <w:rPr>
          <w:rFonts w:asciiTheme="minorHAnsi" w:hAnsiTheme="minorHAnsi" w:cstheme="minorHAnsi"/>
        </w:rPr>
        <w:t xml:space="preserve"> </w:t>
      </w:r>
      <w:r w:rsidR="009E49CE">
        <w:rPr>
          <w:rFonts w:asciiTheme="minorHAnsi" w:hAnsiTheme="minorHAnsi" w:cstheme="minorHAnsi"/>
        </w:rPr>
        <w:t xml:space="preserve">In our understanding, the effort for MDT might be small compared to EVEX because MDT work can be done in RAN2 </w:t>
      </w:r>
      <w:r w:rsidR="00006880">
        <w:rPr>
          <w:rFonts w:asciiTheme="minorHAnsi" w:hAnsiTheme="minorHAnsi" w:cstheme="minorHAnsi"/>
        </w:rPr>
        <w:t>with small changes. EVEX may require coordination with other WGs regarding RAN involvement.,</w:t>
      </w:r>
    </w:p>
    <w:p w14:paraId="5F0FEDFF" w14:textId="418B2EB7" w:rsidR="00006880" w:rsidRPr="003C78B0" w:rsidRDefault="00006880" w:rsidP="00797857">
      <w:pPr>
        <w:rPr>
          <w:rFonts w:asciiTheme="minorHAnsi" w:hAnsiTheme="minorHAnsi" w:cstheme="minorHAnsi"/>
          <w:b/>
          <w:bCs/>
        </w:rPr>
      </w:pPr>
      <w:r w:rsidRPr="003C78B0">
        <w:rPr>
          <w:rFonts w:asciiTheme="minorHAnsi" w:hAnsiTheme="minorHAnsi" w:cstheme="minorHAnsi"/>
          <w:b/>
          <w:bCs/>
        </w:rPr>
        <w:t>Observation</w:t>
      </w:r>
      <w:r w:rsidR="008915E6">
        <w:rPr>
          <w:rFonts w:asciiTheme="minorHAnsi" w:hAnsiTheme="minorHAnsi" w:cstheme="minorHAnsi"/>
          <w:b/>
          <w:bCs/>
        </w:rPr>
        <w:t xml:space="preserve"> 1</w:t>
      </w:r>
      <w:r w:rsidRPr="003C78B0">
        <w:rPr>
          <w:rFonts w:asciiTheme="minorHAnsi" w:hAnsiTheme="minorHAnsi" w:cstheme="minorHAnsi"/>
          <w:b/>
          <w:bCs/>
        </w:rPr>
        <w:t>: MDT effort may be smaller compared to EVEX</w:t>
      </w:r>
      <w:r w:rsidR="00964B0D">
        <w:rPr>
          <w:rFonts w:asciiTheme="minorHAnsi" w:hAnsiTheme="minorHAnsi" w:cstheme="minorHAnsi"/>
          <w:b/>
          <w:bCs/>
        </w:rPr>
        <w:t xml:space="preserve"> for data collection over different RRC states</w:t>
      </w:r>
    </w:p>
    <w:p w14:paraId="0703FB2E" w14:textId="0E71339A" w:rsidR="002535B1" w:rsidRPr="003C78B0" w:rsidRDefault="0092776D" w:rsidP="00797857">
      <w:pPr>
        <w:rPr>
          <w:rFonts w:asciiTheme="minorHAnsi" w:hAnsiTheme="minorHAnsi" w:cstheme="minorHAnsi"/>
          <w:b/>
          <w:bCs/>
        </w:rPr>
      </w:pPr>
      <w:r w:rsidRPr="003C78B0">
        <w:rPr>
          <w:rFonts w:asciiTheme="minorHAnsi" w:hAnsiTheme="minorHAnsi" w:cstheme="minorHAnsi"/>
          <w:b/>
          <w:bCs/>
        </w:rPr>
        <w:t>Granularity of data collection</w:t>
      </w:r>
    </w:p>
    <w:p w14:paraId="16709775" w14:textId="77777777" w:rsidR="00D84CCF" w:rsidRDefault="0092776D" w:rsidP="00797857">
      <w:pPr>
        <w:rPr>
          <w:rFonts w:asciiTheme="minorHAnsi" w:hAnsiTheme="minorHAnsi" w:cstheme="minorHAnsi"/>
        </w:rPr>
      </w:pPr>
      <w:r>
        <w:rPr>
          <w:rFonts w:asciiTheme="minorHAnsi" w:hAnsiTheme="minorHAnsi" w:cstheme="minorHAnsi"/>
        </w:rPr>
        <w:t xml:space="preserve">MDT data collection is done for all </w:t>
      </w:r>
      <w:r w:rsidR="00324B29">
        <w:rPr>
          <w:rFonts w:asciiTheme="minorHAnsi" w:hAnsiTheme="minorHAnsi" w:cstheme="minorHAnsi"/>
        </w:rPr>
        <w:t>configured parameters like RSRP, UE location etc.,</w:t>
      </w:r>
      <w:r>
        <w:rPr>
          <w:rFonts w:asciiTheme="minorHAnsi" w:hAnsiTheme="minorHAnsi" w:cstheme="minorHAnsi"/>
        </w:rPr>
        <w:t xml:space="preserve"> and it is not possible if one item is </w:t>
      </w:r>
      <w:r w:rsidR="00DB0A49">
        <w:rPr>
          <w:rFonts w:asciiTheme="minorHAnsi" w:hAnsiTheme="minorHAnsi" w:cstheme="minorHAnsi"/>
        </w:rPr>
        <w:t>measured and collected at different rate than others</w:t>
      </w:r>
      <w:r w:rsidR="008922BE">
        <w:rPr>
          <w:rFonts w:asciiTheme="minorHAnsi" w:hAnsiTheme="minorHAnsi" w:cstheme="minorHAnsi"/>
        </w:rPr>
        <w:t xml:space="preserve"> </w:t>
      </w:r>
      <w:proofErr w:type="gramStart"/>
      <w:r w:rsidR="008922BE">
        <w:rPr>
          <w:rFonts w:asciiTheme="minorHAnsi" w:hAnsiTheme="minorHAnsi" w:cstheme="minorHAnsi"/>
        </w:rPr>
        <w:t>e.g.</w:t>
      </w:r>
      <w:proofErr w:type="gramEnd"/>
      <w:r w:rsidR="008922BE">
        <w:rPr>
          <w:rFonts w:asciiTheme="minorHAnsi" w:hAnsiTheme="minorHAnsi" w:cstheme="minorHAnsi"/>
        </w:rPr>
        <w:t xml:space="preserve"> UE location is reported more frequently</w:t>
      </w:r>
      <w:r w:rsidR="00DB0A49">
        <w:rPr>
          <w:rFonts w:asciiTheme="minorHAnsi" w:hAnsiTheme="minorHAnsi" w:cstheme="minorHAnsi"/>
        </w:rPr>
        <w:t xml:space="preserve">. It is not clear if EVEX can support such a </w:t>
      </w:r>
      <w:r w:rsidR="008922BE">
        <w:rPr>
          <w:rFonts w:asciiTheme="minorHAnsi" w:hAnsiTheme="minorHAnsi" w:cstheme="minorHAnsi"/>
        </w:rPr>
        <w:t>behaviour</w:t>
      </w:r>
      <w:r w:rsidR="00DB0A49">
        <w:rPr>
          <w:rFonts w:asciiTheme="minorHAnsi" w:hAnsiTheme="minorHAnsi" w:cstheme="minorHAnsi"/>
        </w:rPr>
        <w:t>.</w:t>
      </w:r>
      <w:r w:rsidR="00F0507B">
        <w:rPr>
          <w:rFonts w:asciiTheme="minorHAnsi" w:hAnsiTheme="minorHAnsi" w:cstheme="minorHAnsi"/>
        </w:rPr>
        <w:t xml:space="preserve"> </w:t>
      </w:r>
    </w:p>
    <w:p w14:paraId="5C74C2F4" w14:textId="43E99B21" w:rsidR="00D84CCF" w:rsidRPr="0033481E" w:rsidRDefault="00D84CCF" w:rsidP="00797857">
      <w:pPr>
        <w:rPr>
          <w:rFonts w:asciiTheme="minorHAnsi" w:hAnsiTheme="minorHAnsi" w:cstheme="minorHAnsi"/>
          <w:b/>
          <w:bCs/>
        </w:rPr>
      </w:pPr>
      <w:r w:rsidRPr="0033481E">
        <w:rPr>
          <w:rFonts w:asciiTheme="minorHAnsi" w:hAnsiTheme="minorHAnsi" w:cstheme="minorHAnsi"/>
          <w:b/>
          <w:bCs/>
        </w:rPr>
        <w:t xml:space="preserve">Observation 2: </w:t>
      </w:r>
      <w:r w:rsidR="0033481E" w:rsidRPr="0033481E">
        <w:rPr>
          <w:rFonts w:asciiTheme="minorHAnsi" w:hAnsiTheme="minorHAnsi" w:cstheme="minorHAnsi"/>
          <w:b/>
          <w:bCs/>
        </w:rPr>
        <w:t>if any parameter needs to be collected with different frequency, such flexibility does not exist in MDT. FFS for EVEX</w:t>
      </w:r>
    </w:p>
    <w:p w14:paraId="66FF2F4A" w14:textId="786F2F41" w:rsidR="003C78B0" w:rsidRDefault="003C78B0" w:rsidP="00797857">
      <w:pPr>
        <w:rPr>
          <w:rFonts w:asciiTheme="minorHAnsi" w:hAnsiTheme="minorHAnsi" w:cstheme="minorHAnsi"/>
        </w:rPr>
      </w:pPr>
      <w:r>
        <w:rPr>
          <w:rFonts w:asciiTheme="minorHAnsi" w:hAnsiTheme="minorHAnsi" w:cstheme="minorHAnsi"/>
        </w:rPr>
        <w:t>Based on above, we propose following table for comparison:</w:t>
      </w:r>
    </w:p>
    <w:tbl>
      <w:tblPr>
        <w:tblStyle w:val="TableGrid"/>
        <w:tblW w:w="0" w:type="auto"/>
        <w:tblLook w:val="04A0" w:firstRow="1" w:lastRow="0" w:firstColumn="1" w:lastColumn="0" w:noHBand="0" w:noVBand="1"/>
      </w:tblPr>
      <w:tblGrid>
        <w:gridCol w:w="3210"/>
        <w:gridCol w:w="3210"/>
        <w:gridCol w:w="3211"/>
      </w:tblGrid>
      <w:tr w:rsidR="00DF65E6" w:rsidRPr="0002221D" w14:paraId="03FBD4AD" w14:textId="77777777">
        <w:tc>
          <w:tcPr>
            <w:tcW w:w="3210" w:type="dxa"/>
          </w:tcPr>
          <w:p w14:paraId="31F615DB" w14:textId="77777777" w:rsidR="00DF65E6" w:rsidRPr="0002221D" w:rsidRDefault="00DF65E6">
            <w:pPr>
              <w:rPr>
                <w:rFonts w:asciiTheme="minorHAnsi" w:hAnsiTheme="minorHAnsi" w:cstheme="minorHAnsi"/>
                <w:b/>
                <w:bCs/>
              </w:rPr>
            </w:pPr>
            <w:r>
              <w:rPr>
                <w:rFonts w:asciiTheme="minorHAnsi" w:hAnsiTheme="minorHAnsi" w:cstheme="minorHAnsi"/>
                <w:b/>
                <w:bCs/>
              </w:rPr>
              <w:t>Feature</w:t>
            </w:r>
          </w:p>
        </w:tc>
        <w:tc>
          <w:tcPr>
            <w:tcW w:w="3210" w:type="dxa"/>
          </w:tcPr>
          <w:p w14:paraId="48B14042" w14:textId="77777777" w:rsidR="00DF65E6" w:rsidRPr="0002221D" w:rsidRDefault="00DF65E6">
            <w:pPr>
              <w:rPr>
                <w:rFonts w:asciiTheme="minorHAnsi" w:hAnsiTheme="minorHAnsi" w:cstheme="minorHAnsi"/>
                <w:b/>
                <w:bCs/>
              </w:rPr>
            </w:pPr>
            <w:r w:rsidRPr="0002221D">
              <w:rPr>
                <w:rFonts w:asciiTheme="minorHAnsi" w:hAnsiTheme="minorHAnsi" w:cstheme="minorHAnsi"/>
                <w:b/>
                <w:bCs/>
              </w:rPr>
              <w:t>EVEX</w:t>
            </w:r>
          </w:p>
        </w:tc>
        <w:tc>
          <w:tcPr>
            <w:tcW w:w="3211" w:type="dxa"/>
          </w:tcPr>
          <w:p w14:paraId="52FB0BAD" w14:textId="77777777" w:rsidR="00DF65E6" w:rsidRPr="0002221D" w:rsidRDefault="00DF65E6">
            <w:pPr>
              <w:rPr>
                <w:rFonts w:asciiTheme="minorHAnsi" w:hAnsiTheme="minorHAnsi" w:cstheme="minorHAnsi"/>
                <w:b/>
                <w:bCs/>
              </w:rPr>
            </w:pPr>
            <w:r w:rsidRPr="0002221D">
              <w:rPr>
                <w:rFonts w:asciiTheme="minorHAnsi" w:hAnsiTheme="minorHAnsi" w:cstheme="minorHAnsi"/>
                <w:b/>
                <w:bCs/>
              </w:rPr>
              <w:t>MDT</w:t>
            </w:r>
          </w:p>
        </w:tc>
      </w:tr>
      <w:tr w:rsidR="00DF65E6" w:rsidRPr="0002221D" w14:paraId="2E412F6B" w14:textId="77777777">
        <w:tc>
          <w:tcPr>
            <w:tcW w:w="3210" w:type="dxa"/>
          </w:tcPr>
          <w:p w14:paraId="6F1AA8BE" w14:textId="77777777" w:rsidR="00DF65E6" w:rsidRPr="0002221D" w:rsidRDefault="00DF65E6">
            <w:pPr>
              <w:rPr>
                <w:rFonts w:asciiTheme="minorHAnsi" w:hAnsiTheme="minorHAnsi" w:cstheme="minorHAnsi"/>
              </w:rPr>
            </w:pPr>
            <w:r w:rsidRPr="0002221D">
              <w:rPr>
                <w:rFonts w:asciiTheme="minorHAnsi" w:hAnsiTheme="minorHAnsi" w:cstheme="minorHAnsi"/>
              </w:rPr>
              <w:t>RAN involvement</w:t>
            </w:r>
            <w:r>
              <w:rPr>
                <w:rFonts w:asciiTheme="minorHAnsi" w:hAnsiTheme="minorHAnsi" w:cstheme="minorHAnsi"/>
              </w:rPr>
              <w:t xml:space="preserve"> in data collection </w:t>
            </w:r>
          </w:p>
        </w:tc>
        <w:tc>
          <w:tcPr>
            <w:tcW w:w="3210" w:type="dxa"/>
          </w:tcPr>
          <w:p w14:paraId="6CC86E31" w14:textId="77777777" w:rsidR="00DF65E6" w:rsidRDefault="00DF65E6">
            <w:pPr>
              <w:rPr>
                <w:rFonts w:asciiTheme="minorHAnsi" w:hAnsiTheme="minorHAnsi" w:cstheme="minorHAnsi"/>
              </w:rPr>
            </w:pPr>
            <w:r w:rsidRPr="0002221D">
              <w:rPr>
                <w:rFonts w:asciiTheme="minorHAnsi" w:hAnsiTheme="minorHAnsi" w:cstheme="minorHAnsi"/>
              </w:rPr>
              <w:t xml:space="preserve">No, </w:t>
            </w:r>
          </w:p>
          <w:p w14:paraId="603840AA" w14:textId="77777777" w:rsidR="00DF65E6" w:rsidRPr="0002221D" w:rsidRDefault="00DF65E6">
            <w:pPr>
              <w:rPr>
                <w:rFonts w:asciiTheme="minorHAnsi" w:hAnsiTheme="minorHAnsi" w:cstheme="minorHAnsi"/>
              </w:rPr>
            </w:pPr>
            <w:r w:rsidRPr="0002221D">
              <w:rPr>
                <w:rFonts w:asciiTheme="minorHAnsi" w:hAnsiTheme="minorHAnsi" w:cstheme="minorHAnsi"/>
              </w:rPr>
              <w:t>data collection is done via using user plane path.</w:t>
            </w:r>
            <w:r>
              <w:rPr>
                <w:rFonts w:asciiTheme="minorHAnsi" w:hAnsiTheme="minorHAnsi" w:cstheme="minorHAnsi"/>
              </w:rPr>
              <w:t xml:space="preserve"> </w:t>
            </w:r>
            <w:r w:rsidRPr="0002221D">
              <w:rPr>
                <w:rFonts w:asciiTheme="minorHAnsi" w:hAnsiTheme="minorHAnsi" w:cstheme="minorHAnsi"/>
              </w:rPr>
              <w:t>Need enhancements to involve RAN</w:t>
            </w:r>
            <w:r>
              <w:rPr>
                <w:rFonts w:asciiTheme="minorHAnsi" w:hAnsiTheme="minorHAnsi" w:cstheme="minorHAnsi"/>
              </w:rPr>
              <w:t>.</w:t>
            </w:r>
          </w:p>
        </w:tc>
        <w:tc>
          <w:tcPr>
            <w:tcW w:w="3211" w:type="dxa"/>
          </w:tcPr>
          <w:p w14:paraId="6915A521" w14:textId="77777777" w:rsidR="00DF65E6" w:rsidRDefault="00DF65E6">
            <w:pPr>
              <w:rPr>
                <w:rFonts w:asciiTheme="minorHAnsi" w:hAnsiTheme="minorHAnsi" w:cstheme="minorHAnsi"/>
              </w:rPr>
            </w:pPr>
            <w:r w:rsidRPr="0002221D">
              <w:rPr>
                <w:rFonts w:asciiTheme="minorHAnsi" w:hAnsiTheme="minorHAnsi" w:cstheme="minorHAnsi"/>
              </w:rPr>
              <w:t xml:space="preserve">Yes, </w:t>
            </w:r>
          </w:p>
          <w:p w14:paraId="7E6CC7FD" w14:textId="77777777" w:rsidR="00DF65E6" w:rsidRPr="0002221D" w:rsidRDefault="00DF65E6">
            <w:pPr>
              <w:rPr>
                <w:rFonts w:asciiTheme="minorHAnsi" w:hAnsiTheme="minorHAnsi" w:cstheme="minorHAnsi"/>
              </w:rPr>
            </w:pPr>
            <w:r w:rsidRPr="0002221D">
              <w:rPr>
                <w:rFonts w:asciiTheme="minorHAnsi" w:hAnsiTheme="minorHAnsi" w:cstheme="minorHAnsi"/>
              </w:rPr>
              <w:t>data collection is done via using RRC</w:t>
            </w:r>
          </w:p>
        </w:tc>
      </w:tr>
      <w:tr w:rsidR="00DF65E6" w:rsidRPr="0002221D" w14:paraId="11B66756" w14:textId="77777777">
        <w:tc>
          <w:tcPr>
            <w:tcW w:w="3210" w:type="dxa"/>
          </w:tcPr>
          <w:p w14:paraId="15C4F51D" w14:textId="77777777" w:rsidR="00DF65E6" w:rsidRPr="0002221D" w:rsidRDefault="00DF65E6">
            <w:pPr>
              <w:rPr>
                <w:rFonts w:asciiTheme="minorHAnsi" w:hAnsiTheme="minorHAnsi" w:cstheme="minorHAnsi"/>
              </w:rPr>
            </w:pPr>
            <w:r w:rsidRPr="0002221D">
              <w:rPr>
                <w:rFonts w:asciiTheme="minorHAnsi" w:hAnsiTheme="minorHAnsi" w:cstheme="minorHAnsi"/>
              </w:rPr>
              <w:t>Data collection in RRC states</w:t>
            </w:r>
          </w:p>
        </w:tc>
        <w:tc>
          <w:tcPr>
            <w:tcW w:w="3210" w:type="dxa"/>
          </w:tcPr>
          <w:p w14:paraId="3FFC19D3" w14:textId="77777777" w:rsidR="00DF65E6" w:rsidRPr="0002221D" w:rsidRDefault="00DF65E6">
            <w:pPr>
              <w:rPr>
                <w:rFonts w:asciiTheme="minorHAnsi" w:hAnsiTheme="minorHAnsi" w:cstheme="minorHAnsi"/>
              </w:rPr>
            </w:pPr>
            <w:r w:rsidRPr="0002221D">
              <w:rPr>
                <w:rFonts w:asciiTheme="minorHAnsi" w:hAnsiTheme="minorHAnsi" w:cstheme="minorHAnsi"/>
              </w:rPr>
              <w:t>User plane path is available in connected mode only. FFS for SDT</w:t>
            </w:r>
          </w:p>
        </w:tc>
        <w:tc>
          <w:tcPr>
            <w:tcW w:w="3211" w:type="dxa"/>
          </w:tcPr>
          <w:p w14:paraId="457787A6" w14:textId="77777777" w:rsidR="00DF65E6" w:rsidRPr="0002221D" w:rsidRDefault="00DF65E6">
            <w:pPr>
              <w:rPr>
                <w:rFonts w:asciiTheme="minorHAnsi" w:hAnsiTheme="minorHAnsi" w:cstheme="minorHAnsi"/>
              </w:rPr>
            </w:pPr>
            <w:r w:rsidRPr="0002221D">
              <w:rPr>
                <w:rFonts w:asciiTheme="minorHAnsi" w:hAnsiTheme="minorHAnsi" w:cstheme="minorHAnsi"/>
              </w:rPr>
              <w:t>Data collection possible in all RRC states.</w:t>
            </w:r>
          </w:p>
          <w:p w14:paraId="159BB689" w14:textId="77777777" w:rsidR="00DF65E6" w:rsidRPr="0002221D" w:rsidRDefault="00DF65E6">
            <w:pPr>
              <w:rPr>
                <w:rFonts w:asciiTheme="minorHAnsi" w:hAnsiTheme="minorHAnsi" w:cstheme="minorHAnsi"/>
              </w:rPr>
            </w:pPr>
            <w:r w:rsidRPr="0002221D">
              <w:rPr>
                <w:rFonts w:asciiTheme="minorHAnsi" w:hAnsiTheme="minorHAnsi" w:cstheme="minorHAnsi"/>
              </w:rPr>
              <w:t>However, data collection continuity during RRC state change is not supported yet</w:t>
            </w:r>
          </w:p>
        </w:tc>
      </w:tr>
      <w:tr w:rsidR="00DF65E6" w:rsidRPr="0002221D" w14:paraId="0199AD82" w14:textId="77777777">
        <w:tc>
          <w:tcPr>
            <w:tcW w:w="3210" w:type="dxa"/>
          </w:tcPr>
          <w:p w14:paraId="1DA6FF3F" w14:textId="77777777" w:rsidR="00DF65E6" w:rsidRPr="0002221D" w:rsidRDefault="00DF65E6">
            <w:pPr>
              <w:rPr>
                <w:rFonts w:asciiTheme="minorHAnsi" w:hAnsiTheme="minorHAnsi" w:cstheme="minorHAnsi"/>
              </w:rPr>
            </w:pPr>
            <w:r>
              <w:rPr>
                <w:rFonts w:asciiTheme="minorHAnsi" w:hAnsiTheme="minorHAnsi" w:cstheme="minorHAnsi"/>
              </w:rPr>
              <w:t>User consent for measurement collection</w:t>
            </w:r>
          </w:p>
        </w:tc>
        <w:tc>
          <w:tcPr>
            <w:tcW w:w="3210" w:type="dxa"/>
          </w:tcPr>
          <w:p w14:paraId="2A9AE5C9" w14:textId="77777777" w:rsidR="00DF65E6" w:rsidRPr="0002221D" w:rsidRDefault="00DF65E6">
            <w:pPr>
              <w:rPr>
                <w:rFonts w:asciiTheme="minorHAnsi" w:hAnsiTheme="minorHAnsi" w:cstheme="minorHAnsi"/>
              </w:rPr>
            </w:pPr>
            <w:r>
              <w:rPr>
                <w:rFonts w:asciiTheme="minorHAnsi" w:hAnsiTheme="minorHAnsi" w:cstheme="minorHAnsi"/>
              </w:rPr>
              <w:t>Yes</w:t>
            </w:r>
          </w:p>
        </w:tc>
        <w:tc>
          <w:tcPr>
            <w:tcW w:w="3211" w:type="dxa"/>
          </w:tcPr>
          <w:p w14:paraId="136E17F4" w14:textId="77777777" w:rsidR="00DF65E6" w:rsidRPr="0002221D" w:rsidRDefault="00DF65E6">
            <w:pPr>
              <w:rPr>
                <w:rFonts w:asciiTheme="minorHAnsi" w:hAnsiTheme="minorHAnsi" w:cstheme="minorHAnsi"/>
              </w:rPr>
            </w:pPr>
            <w:r w:rsidRPr="0002221D">
              <w:rPr>
                <w:rFonts w:asciiTheme="minorHAnsi" w:hAnsiTheme="minorHAnsi" w:cstheme="minorHAnsi"/>
              </w:rPr>
              <w:t>Yes</w:t>
            </w:r>
          </w:p>
        </w:tc>
      </w:tr>
      <w:tr w:rsidR="00DF65E6" w:rsidRPr="0002221D" w14:paraId="7AE35AFD" w14:textId="77777777">
        <w:tc>
          <w:tcPr>
            <w:tcW w:w="3210" w:type="dxa"/>
          </w:tcPr>
          <w:p w14:paraId="7FA1FABC" w14:textId="77777777" w:rsidR="00DF65E6" w:rsidRPr="0002221D" w:rsidRDefault="00DF65E6">
            <w:pPr>
              <w:rPr>
                <w:rFonts w:asciiTheme="minorHAnsi" w:hAnsiTheme="minorHAnsi" w:cstheme="minorHAnsi"/>
              </w:rPr>
            </w:pPr>
            <w:r w:rsidRPr="0002221D">
              <w:rPr>
                <w:rFonts w:asciiTheme="minorHAnsi" w:hAnsiTheme="minorHAnsi" w:cstheme="minorHAnsi"/>
              </w:rPr>
              <w:t>Record interval per measurement quantity</w:t>
            </w:r>
          </w:p>
        </w:tc>
        <w:tc>
          <w:tcPr>
            <w:tcW w:w="3210" w:type="dxa"/>
          </w:tcPr>
          <w:p w14:paraId="041D0C71" w14:textId="77777777" w:rsidR="00DF65E6" w:rsidRPr="0002221D" w:rsidRDefault="00DF65E6">
            <w:pPr>
              <w:rPr>
                <w:rFonts w:asciiTheme="minorHAnsi" w:hAnsiTheme="minorHAnsi" w:cstheme="minorHAnsi"/>
              </w:rPr>
            </w:pPr>
            <w:r>
              <w:rPr>
                <w:rFonts w:asciiTheme="minorHAnsi" w:hAnsiTheme="minorHAnsi" w:cstheme="minorHAnsi"/>
              </w:rPr>
              <w:t>TBD</w:t>
            </w:r>
          </w:p>
        </w:tc>
        <w:tc>
          <w:tcPr>
            <w:tcW w:w="3211" w:type="dxa"/>
          </w:tcPr>
          <w:p w14:paraId="6972F9BB" w14:textId="77777777" w:rsidR="00DF65E6" w:rsidRPr="0002221D" w:rsidRDefault="00DF65E6">
            <w:pPr>
              <w:rPr>
                <w:rFonts w:asciiTheme="minorHAnsi" w:hAnsiTheme="minorHAnsi" w:cstheme="minorHAnsi"/>
              </w:rPr>
            </w:pPr>
            <w:r w:rsidRPr="0002221D">
              <w:rPr>
                <w:rFonts w:asciiTheme="minorHAnsi" w:hAnsiTheme="minorHAnsi" w:cstheme="minorHAnsi"/>
              </w:rPr>
              <w:t>Not supported yet</w:t>
            </w:r>
          </w:p>
        </w:tc>
      </w:tr>
      <w:tr w:rsidR="00DF65E6" w:rsidRPr="0002221D" w14:paraId="256CA3FA" w14:textId="77777777">
        <w:tc>
          <w:tcPr>
            <w:tcW w:w="3210" w:type="dxa"/>
          </w:tcPr>
          <w:p w14:paraId="7F2696DD" w14:textId="77777777" w:rsidR="00DF65E6" w:rsidRPr="0002221D" w:rsidRDefault="00DF65E6">
            <w:pPr>
              <w:rPr>
                <w:rFonts w:asciiTheme="minorHAnsi" w:hAnsiTheme="minorHAnsi" w:cstheme="minorHAnsi"/>
              </w:rPr>
            </w:pPr>
            <w:r>
              <w:rPr>
                <w:rFonts w:asciiTheme="minorHAnsi" w:hAnsiTheme="minorHAnsi" w:cstheme="minorHAnsi"/>
              </w:rPr>
              <w:t>Non standardised data collection</w:t>
            </w:r>
          </w:p>
        </w:tc>
        <w:tc>
          <w:tcPr>
            <w:tcW w:w="3210" w:type="dxa"/>
          </w:tcPr>
          <w:p w14:paraId="06769F57" w14:textId="77777777" w:rsidR="00DF65E6" w:rsidRDefault="00DF65E6">
            <w:pPr>
              <w:rPr>
                <w:rFonts w:asciiTheme="minorHAnsi" w:hAnsiTheme="minorHAnsi" w:cstheme="minorHAnsi"/>
              </w:rPr>
            </w:pPr>
            <w:r>
              <w:rPr>
                <w:rFonts w:asciiTheme="minorHAnsi" w:hAnsiTheme="minorHAnsi" w:cstheme="minorHAnsi"/>
              </w:rPr>
              <w:t>Yes</w:t>
            </w:r>
          </w:p>
          <w:p w14:paraId="0FCB743F" w14:textId="77777777" w:rsidR="00DF65E6" w:rsidRPr="0002221D" w:rsidRDefault="00DF65E6">
            <w:pPr>
              <w:rPr>
                <w:rFonts w:asciiTheme="minorHAnsi" w:hAnsiTheme="minorHAnsi" w:cstheme="minorHAnsi"/>
              </w:rPr>
            </w:pPr>
            <w:r>
              <w:rPr>
                <w:rFonts w:asciiTheme="minorHAnsi" w:hAnsiTheme="minorHAnsi" w:cstheme="minorHAnsi"/>
              </w:rPr>
              <w:t>Ideal for UE sided model and handling of non-standardised measurements</w:t>
            </w:r>
          </w:p>
        </w:tc>
        <w:tc>
          <w:tcPr>
            <w:tcW w:w="3211" w:type="dxa"/>
          </w:tcPr>
          <w:p w14:paraId="0B374BBD" w14:textId="77777777" w:rsidR="00DF65E6" w:rsidRDefault="00DF65E6">
            <w:pPr>
              <w:rPr>
                <w:rFonts w:asciiTheme="minorHAnsi" w:hAnsiTheme="minorHAnsi" w:cstheme="minorHAnsi"/>
              </w:rPr>
            </w:pPr>
            <w:r>
              <w:rPr>
                <w:rFonts w:asciiTheme="minorHAnsi" w:hAnsiTheme="minorHAnsi" w:cstheme="minorHAnsi"/>
              </w:rPr>
              <w:t>No</w:t>
            </w:r>
          </w:p>
          <w:p w14:paraId="636143A3" w14:textId="1BBBDF4A" w:rsidR="00DF65E6" w:rsidRPr="0002221D" w:rsidRDefault="00DF65E6">
            <w:pPr>
              <w:rPr>
                <w:rFonts w:asciiTheme="minorHAnsi" w:hAnsiTheme="minorHAnsi" w:cstheme="minorHAnsi"/>
              </w:rPr>
            </w:pPr>
            <w:r>
              <w:rPr>
                <w:rFonts w:asciiTheme="minorHAnsi" w:hAnsiTheme="minorHAnsi" w:cstheme="minorHAnsi"/>
              </w:rPr>
              <w:t>Ideal for UE sided and NW sided models</w:t>
            </w:r>
          </w:p>
        </w:tc>
      </w:tr>
      <w:tr w:rsidR="00DF65E6" w:rsidRPr="0002221D" w14:paraId="05FB7048" w14:textId="77777777">
        <w:tc>
          <w:tcPr>
            <w:tcW w:w="3210" w:type="dxa"/>
          </w:tcPr>
          <w:p w14:paraId="53DB668A" w14:textId="77777777" w:rsidR="00DF65E6" w:rsidRDefault="00DF65E6">
            <w:pPr>
              <w:rPr>
                <w:rFonts w:asciiTheme="minorHAnsi" w:hAnsiTheme="minorHAnsi" w:cstheme="minorHAnsi"/>
              </w:rPr>
            </w:pPr>
            <w:r>
              <w:rPr>
                <w:rFonts w:asciiTheme="minorHAnsi" w:hAnsiTheme="minorHAnsi" w:cstheme="minorHAnsi"/>
              </w:rPr>
              <w:lastRenderedPageBreak/>
              <w:t>Transport mechanism</w:t>
            </w:r>
          </w:p>
        </w:tc>
        <w:tc>
          <w:tcPr>
            <w:tcW w:w="3210" w:type="dxa"/>
          </w:tcPr>
          <w:p w14:paraId="22F9A93B" w14:textId="77777777" w:rsidR="00DF65E6" w:rsidRDefault="00DF65E6">
            <w:pPr>
              <w:rPr>
                <w:rFonts w:asciiTheme="minorHAnsi" w:hAnsiTheme="minorHAnsi" w:cstheme="minorHAnsi"/>
              </w:rPr>
            </w:pPr>
            <w:r>
              <w:rPr>
                <w:rFonts w:asciiTheme="minorHAnsi" w:hAnsiTheme="minorHAnsi" w:cstheme="minorHAnsi"/>
              </w:rPr>
              <w:t>User plane</w:t>
            </w:r>
          </w:p>
        </w:tc>
        <w:tc>
          <w:tcPr>
            <w:tcW w:w="3211" w:type="dxa"/>
          </w:tcPr>
          <w:p w14:paraId="5EDE01E4" w14:textId="77777777" w:rsidR="00DF65E6" w:rsidRDefault="00DF65E6">
            <w:pPr>
              <w:rPr>
                <w:rFonts w:asciiTheme="minorHAnsi" w:hAnsiTheme="minorHAnsi" w:cstheme="minorHAnsi"/>
              </w:rPr>
            </w:pPr>
            <w:r>
              <w:rPr>
                <w:rFonts w:asciiTheme="minorHAnsi" w:hAnsiTheme="minorHAnsi" w:cstheme="minorHAnsi"/>
              </w:rPr>
              <w:t>Control plane</w:t>
            </w:r>
          </w:p>
        </w:tc>
      </w:tr>
    </w:tbl>
    <w:p w14:paraId="009756E6" w14:textId="77777777" w:rsidR="00DF65E6" w:rsidRDefault="00DF65E6" w:rsidP="00797857">
      <w:pPr>
        <w:rPr>
          <w:rFonts w:asciiTheme="minorHAnsi" w:hAnsiTheme="minorHAnsi" w:cstheme="minorHAnsi"/>
        </w:rPr>
      </w:pPr>
    </w:p>
    <w:p w14:paraId="1723614E" w14:textId="1ABFC79D" w:rsidR="00DF65E6" w:rsidRDefault="00012086" w:rsidP="00797857">
      <w:pPr>
        <w:rPr>
          <w:rFonts w:asciiTheme="minorHAnsi" w:hAnsiTheme="minorHAnsi" w:cstheme="minorHAnsi"/>
        </w:rPr>
      </w:pPr>
      <w:r>
        <w:rPr>
          <w:rFonts w:asciiTheme="minorHAnsi" w:hAnsiTheme="minorHAnsi" w:cstheme="minorHAnsi"/>
        </w:rPr>
        <w:t xml:space="preserve">We think its bit early to populate the </w:t>
      </w:r>
      <w:r w:rsidR="00B13F57">
        <w:rPr>
          <w:rFonts w:asciiTheme="minorHAnsi" w:hAnsiTheme="minorHAnsi" w:cstheme="minorHAnsi"/>
        </w:rPr>
        <w:t>data collection table based on agreements so far and above comparison table should be used as a reference.</w:t>
      </w:r>
    </w:p>
    <w:p w14:paraId="1F4FA5CB" w14:textId="24CF202F" w:rsidR="007008A2" w:rsidRPr="00166263" w:rsidRDefault="007008A2" w:rsidP="00797857">
      <w:pPr>
        <w:rPr>
          <w:rFonts w:asciiTheme="minorHAnsi" w:hAnsiTheme="minorHAnsi" w:cstheme="minorHAnsi"/>
          <w:b/>
          <w:bCs/>
        </w:rPr>
      </w:pPr>
      <w:r w:rsidRPr="00166263">
        <w:rPr>
          <w:rFonts w:asciiTheme="minorHAnsi" w:hAnsiTheme="minorHAnsi" w:cstheme="minorHAnsi"/>
          <w:b/>
          <w:bCs/>
        </w:rPr>
        <w:t>Proposal</w:t>
      </w:r>
      <w:r w:rsidR="00D84CCF">
        <w:rPr>
          <w:rFonts w:asciiTheme="minorHAnsi" w:hAnsiTheme="minorHAnsi" w:cstheme="minorHAnsi"/>
          <w:b/>
          <w:bCs/>
        </w:rPr>
        <w:t xml:space="preserve"> 2</w:t>
      </w:r>
      <w:r w:rsidRPr="00166263">
        <w:rPr>
          <w:rFonts w:asciiTheme="minorHAnsi" w:hAnsiTheme="minorHAnsi" w:cstheme="minorHAnsi"/>
          <w:b/>
          <w:bCs/>
        </w:rPr>
        <w:t>: Use above comparison table as a starting point to populate the data collection table for EVEX and MDT.</w:t>
      </w:r>
    </w:p>
    <w:p w14:paraId="09DB025B" w14:textId="77777777" w:rsidR="00DF65E6" w:rsidRPr="0027687A" w:rsidRDefault="00DF65E6" w:rsidP="00797857">
      <w:pPr>
        <w:rPr>
          <w:rFonts w:asciiTheme="minorHAnsi" w:hAnsiTheme="minorHAnsi" w:cstheme="minorHAnsi"/>
        </w:rPr>
      </w:pPr>
    </w:p>
    <w:p w14:paraId="7B7F9CB9" w14:textId="77777777" w:rsidR="00515691"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5711029" w:rsidR="00515691" w:rsidRPr="001962A5"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w:t>
      </w:r>
      <w:r w:rsidR="008915E6">
        <w:rPr>
          <w:rFonts w:asciiTheme="minorHAnsi" w:hAnsiTheme="minorHAnsi" w:cstheme="minorHAnsi"/>
          <w:szCs w:val="20"/>
        </w:rPr>
        <w:t xml:space="preserve"> observations and</w:t>
      </w:r>
      <w:r w:rsidRPr="001962A5">
        <w:rPr>
          <w:rFonts w:asciiTheme="minorHAnsi" w:hAnsiTheme="minorHAnsi" w:cstheme="minorHAnsi"/>
          <w:szCs w:val="20"/>
        </w:rPr>
        <w:t xml:space="preserve"> proposal:</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0D85FA92" w14:textId="77777777" w:rsidR="008915E6" w:rsidRPr="0009587C" w:rsidRDefault="008915E6" w:rsidP="008915E6">
      <w:pPr>
        <w:rPr>
          <w:rFonts w:asciiTheme="minorHAnsi" w:hAnsiTheme="minorHAnsi" w:cstheme="minorHAnsi"/>
          <w:b/>
          <w:bCs/>
        </w:rPr>
      </w:pPr>
      <w:r>
        <w:rPr>
          <w:rFonts w:asciiTheme="minorHAnsi" w:hAnsiTheme="minorHAnsi" w:cstheme="minorHAnsi"/>
          <w:b/>
          <w:bCs/>
        </w:rPr>
        <w:t>P</w:t>
      </w:r>
      <w:r w:rsidRPr="0009587C">
        <w:rPr>
          <w:rFonts w:asciiTheme="minorHAnsi" w:hAnsiTheme="minorHAnsi" w:cstheme="minorHAnsi"/>
          <w:b/>
          <w:bCs/>
        </w:rPr>
        <w:t>roposal</w:t>
      </w:r>
      <w:r>
        <w:rPr>
          <w:rFonts w:asciiTheme="minorHAnsi" w:hAnsiTheme="minorHAnsi" w:cstheme="minorHAnsi"/>
          <w:b/>
          <w:bCs/>
        </w:rPr>
        <w:t xml:space="preserve"> 1</w:t>
      </w:r>
      <w:r w:rsidRPr="0009587C">
        <w:rPr>
          <w:rFonts w:asciiTheme="minorHAnsi" w:hAnsiTheme="minorHAnsi" w:cstheme="minorHAnsi"/>
          <w:b/>
          <w:bCs/>
        </w:rPr>
        <w:t xml:space="preserve">: </w:t>
      </w:r>
      <w:r>
        <w:rPr>
          <w:rFonts w:asciiTheme="minorHAnsi" w:hAnsiTheme="minorHAnsi" w:cstheme="minorHAnsi"/>
          <w:b/>
          <w:bCs/>
        </w:rPr>
        <w:t xml:space="preserve">RAN2 to discuss if </w:t>
      </w:r>
      <w:r w:rsidRPr="0009587C">
        <w:rPr>
          <w:rFonts w:asciiTheme="minorHAnsi" w:hAnsiTheme="minorHAnsi" w:cstheme="minorHAnsi"/>
          <w:b/>
          <w:bCs/>
        </w:rPr>
        <w:t>a Standardised UE sided AI/ML model should have a standardised data collection method</w:t>
      </w:r>
      <w:r>
        <w:rPr>
          <w:rFonts w:asciiTheme="minorHAnsi" w:hAnsiTheme="minorHAnsi" w:cstheme="minorHAnsi"/>
          <w:b/>
          <w:bCs/>
        </w:rPr>
        <w:t>.</w:t>
      </w:r>
    </w:p>
    <w:p w14:paraId="61A46BE3" w14:textId="7ADA78CA" w:rsidR="008915E6" w:rsidRPr="003C78B0" w:rsidRDefault="008915E6" w:rsidP="008915E6">
      <w:pPr>
        <w:rPr>
          <w:rFonts w:asciiTheme="minorHAnsi" w:hAnsiTheme="minorHAnsi" w:cstheme="minorHAnsi"/>
          <w:b/>
          <w:bCs/>
        </w:rPr>
      </w:pPr>
      <w:r w:rsidRPr="003C78B0">
        <w:rPr>
          <w:rFonts w:asciiTheme="minorHAnsi" w:hAnsiTheme="minorHAnsi" w:cstheme="minorHAnsi"/>
          <w:b/>
          <w:bCs/>
        </w:rPr>
        <w:t>Observation</w:t>
      </w:r>
      <w:r>
        <w:rPr>
          <w:rFonts w:asciiTheme="minorHAnsi" w:hAnsiTheme="minorHAnsi" w:cstheme="minorHAnsi"/>
          <w:b/>
          <w:bCs/>
        </w:rPr>
        <w:t xml:space="preserve"> 1</w:t>
      </w:r>
      <w:r w:rsidRPr="003C78B0">
        <w:rPr>
          <w:rFonts w:asciiTheme="minorHAnsi" w:hAnsiTheme="minorHAnsi" w:cstheme="minorHAnsi"/>
          <w:b/>
          <w:bCs/>
        </w:rPr>
        <w:t>: MDT effort may be smaller compared to EVEX</w:t>
      </w:r>
      <w:r>
        <w:rPr>
          <w:rFonts w:asciiTheme="minorHAnsi" w:hAnsiTheme="minorHAnsi" w:cstheme="minorHAnsi"/>
          <w:b/>
          <w:bCs/>
        </w:rPr>
        <w:t xml:space="preserve"> for data collection over different RRC states</w:t>
      </w:r>
    </w:p>
    <w:p w14:paraId="2A58C5E9" w14:textId="77777777" w:rsidR="008915E6" w:rsidRPr="0033481E" w:rsidRDefault="008915E6" w:rsidP="008915E6">
      <w:pPr>
        <w:rPr>
          <w:rFonts w:asciiTheme="minorHAnsi" w:hAnsiTheme="minorHAnsi" w:cstheme="minorHAnsi"/>
          <w:b/>
          <w:bCs/>
        </w:rPr>
      </w:pPr>
      <w:r w:rsidRPr="0033481E">
        <w:rPr>
          <w:rFonts w:asciiTheme="minorHAnsi" w:hAnsiTheme="minorHAnsi" w:cstheme="minorHAnsi"/>
          <w:b/>
          <w:bCs/>
        </w:rPr>
        <w:t>Observation 2: if any parameter needs to be collected with different frequency, such flexibility does not exist in MDT. FFS for EVEX</w:t>
      </w:r>
    </w:p>
    <w:p w14:paraId="30976E12" w14:textId="464C546B" w:rsidR="00DF65E6" w:rsidRDefault="008915E6" w:rsidP="008915E6">
      <w:pPr>
        <w:rPr>
          <w:rFonts w:asciiTheme="minorHAnsi" w:hAnsiTheme="minorHAnsi" w:cstheme="minorHAnsi"/>
        </w:rPr>
      </w:pPr>
      <w:r w:rsidRPr="00166263">
        <w:rPr>
          <w:rFonts w:asciiTheme="minorHAnsi" w:hAnsiTheme="minorHAnsi" w:cstheme="minorHAnsi"/>
          <w:b/>
          <w:bCs/>
        </w:rPr>
        <w:t>Proposal</w:t>
      </w:r>
      <w:r>
        <w:rPr>
          <w:rFonts w:asciiTheme="minorHAnsi" w:hAnsiTheme="minorHAnsi" w:cstheme="minorHAnsi"/>
          <w:b/>
          <w:bCs/>
        </w:rPr>
        <w:t xml:space="preserve"> 2</w:t>
      </w:r>
      <w:r w:rsidRPr="00166263">
        <w:rPr>
          <w:rFonts w:asciiTheme="minorHAnsi" w:hAnsiTheme="minorHAnsi" w:cstheme="minorHAnsi"/>
          <w:b/>
          <w:bCs/>
        </w:rPr>
        <w:t>: Use above comparison table as a starting point to populate the data collection table for EVEX and MDT.</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1FE31F48" w:rsidR="00515691" w:rsidRDefault="00515691" w:rsidP="00913E83">
      <w:r>
        <w:t xml:space="preserve"> [1]</w:t>
      </w:r>
      <w:r>
        <w:tab/>
      </w:r>
      <w:bookmarkStart w:id="14" w:name="_Toc4419349"/>
      <w:bookmarkEnd w:id="14"/>
      <w:r w:rsidR="00AB2834" w:rsidRPr="00AB2834">
        <w:t>RP-213599, Qualcomm (Moderator), “Study on Artificial Intelligence (AI)/Machine Learning (ML) for NR Air Interface,” RAN #94e, Dec. 2021</w:t>
      </w:r>
    </w:p>
    <w:p w14:paraId="6733C74C" w14:textId="204AD250" w:rsidR="007B3561" w:rsidRDefault="007B3561" w:rsidP="007B3561">
      <w:r>
        <w:t>[2] AI Enlightens Wireless Communication: A Transformer Backbone for CSI Feedback</w:t>
      </w:r>
      <w:r w:rsidR="002541E8">
        <w:t xml:space="preserve"> accessed from: </w:t>
      </w:r>
      <w:hyperlink r:id="rId11" w:history="1">
        <w:r w:rsidR="00D701FE" w:rsidRPr="00674C18">
          <w:rPr>
            <w:rStyle w:val="Hyperlink"/>
          </w:rPr>
          <w:t>https://arxiv.org/pdf/2206.07949.pdf</w:t>
        </w:r>
      </w:hyperlink>
    </w:p>
    <w:p w14:paraId="6956E22A" w14:textId="63EB1C35" w:rsidR="00857FEE" w:rsidRDefault="00857FEE" w:rsidP="007B3561">
      <w:r>
        <w:t>[</w:t>
      </w:r>
      <w:r w:rsidR="001431B4">
        <w:t>3</w:t>
      </w:r>
      <w:r>
        <w:t xml:space="preserve">] R2-2301427: </w:t>
      </w:r>
      <w:r w:rsidR="00794D19" w:rsidRPr="00794D19">
        <w:t>Discussion on AI/ML methods</w:t>
      </w:r>
      <w:r w:rsidR="00794D19">
        <w:t>, Qualcomm</w:t>
      </w:r>
    </w:p>
    <w:p w14:paraId="5B439F7A" w14:textId="746C7539" w:rsidR="00794D19" w:rsidRDefault="00794D19" w:rsidP="007B3561">
      <w:r>
        <w:t>[</w:t>
      </w:r>
      <w:r w:rsidR="001431B4">
        <w:t>4</w:t>
      </w:r>
      <w:r>
        <w:t xml:space="preserve">] </w:t>
      </w:r>
      <w:r>
        <w:rPr>
          <w:lang w:eastAsia="x-none"/>
        </w:rPr>
        <w:t xml:space="preserve">SP-230394: </w:t>
      </w:r>
      <w:r w:rsidR="00CE64BB" w:rsidRPr="00CE64BB">
        <w:rPr>
          <w:lang w:eastAsia="x-none"/>
        </w:rPr>
        <w:t>Alignment of activities on UE data collection reporting and event exposure</w:t>
      </w:r>
      <w:r w:rsidR="00CE64BB">
        <w:rPr>
          <w:lang w:eastAsia="x-none"/>
        </w:rPr>
        <w:t xml:space="preserve">, </w:t>
      </w:r>
      <w:r w:rsidR="0088300D">
        <w:rPr>
          <w:lang w:eastAsia="x-none"/>
        </w:rPr>
        <w:t>SA</w:t>
      </w:r>
    </w:p>
    <w:p w14:paraId="0BE6AE08" w14:textId="0C434482" w:rsidR="00913E83" w:rsidRDefault="00913E83" w:rsidP="00913E83">
      <w:pPr>
        <w:rPr>
          <w:lang w:val="en-US"/>
        </w:rPr>
      </w:pPr>
    </w:p>
    <w:p w14:paraId="716F9A27" w14:textId="77777777" w:rsidR="005C30B7" w:rsidRDefault="005C30B7" w:rsidP="00913E83">
      <w:pPr>
        <w:rPr>
          <w:lang w:val="en-US"/>
        </w:rPr>
      </w:pPr>
    </w:p>
    <w:sectPr w:rsidR="005C30B7"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4EA0272"/>
    <w:multiLevelType w:val="hybridMultilevel"/>
    <w:tmpl w:val="142C6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8A15CE"/>
    <w:multiLevelType w:val="hybridMultilevel"/>
    <w:tmpl w:val="2B441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9"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5"/>
  </w:num>
  <w:num w:numId="3" w16cid:durableId="1489639396">
    <w:abstractNumId w:val="6"/>
  </w:num>
  <w:num w:numId="4" w16cid:durableId="1233545915">
    <w:abstractNumId w:val="0"/>
  </w:num>
  <w:num w:numId="5" w16cid:durableId="1725367220">
    <w:abstractNumId w:val="37"/>
  </w:num>
  <w:num w:numId="6" w16cid:durableId="1320118022">
    <w:abstractNumId w:val="53"/>
  </w:num>
  <w:num w:numId="7" w16cid:durableId="209346282">
    <w:abstractNumId w:val="52"/>
  </w:num>
  <w:num w:numId="8" w16cid:durableId="340787536">
    <w:abstractNumId w:val="46"/>
  </w:num>
  <w:num w:numId="9" w16cid:durableId="272783401">
    <w:abstractNumId w:val="11"/>
  </w:num>
  <w:num w:numId="10" w16cid:durableId="1830169540">
    <w:abstractNumId w:val="54"/>
  </w:num>
  <w:num w:numId="11" w16cid:durableId="676495315">
    <w:abstractNumId w:val="20"/>
  </w:num>
  <w:num w:numId="12" w16cid:durableId="112331092">
    <w:abstractNumId w:val="49"/>
  </w:num>
  <w:num w:numId="13" w16cid:durableId="20160368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50"/>
  </w:num>
  <w:num w:numId="16" w16cid:durableId="395473473">
    <w:abstractNumId w:val="14"/>
  </w:num>
  <w:num w:numId="17" w16cid:durableId="1926038116">
    <w:abstractNumId w:val="27"/>
  </w:num>
  <w:num w:numId="18" w16cid:durableId="1506440398">
    <w:abstractNumId w:val="39"/>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9"/>
  </w:num>
  <w:num w:numId="21" w16cid:durableId="1597520235">
    <w:abstractNumId w:val="32"/>
  </w:num>
  <w:num w:numId="22" w16cid:durableId="2067364433">
    <w:abstractNumId w:val="31"/>
  </w:num>
  <w:num w:numId="23" w16cid:durableId="1045255841">
    <w:abstractNumId w:val="43"/>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1"/>
  </w:num>
  <w:num w:numId="29" w16cid:durableId="1306664846">
    <w:abstractNumId w:val="1"/>
  </w:num>
  <w:num w:numId="30" w16cid:durableId="1390374926">
    <w:abstractNumId w:val="48"/>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4"/>
  </w:num>
  <w:num w:numId="38" w16cid:durableId="946228594">
    <w:abstractNumId w:val="42"/>
  </w:num>
  <w:num w:numId="39" w16cid:durableId="1541554866">
    <w:abstractNumId w:val="16"/>
  </w:num>
  <w:num w:numId="40" w16cid:durableId="1461218520">
    <w:abstractNumId w:val="5"/>
  </w:num>
  <w:num w:numId="41" w16cid:durableId="1951550203">
    <w:abstractNumId w:val="33"/>
  </w:num>
  <w:num w:numId="42" w16cid:durableId="1283608808">
    <w:abstractNumId w:val="15"/>
  </w:num>
  <w:num w:numId="43" w16cid:durableId="476537794">
    <w:abstractNumId w:val="4"/>
  </w:num>
  <w:num w:numId="44" w16cid:durableId="1443765036">
    <w:abstractNumId w:val="51"/>
  </w:num>
  <w:num w:numId="45" w16cid:durableId="595291374">
    <w:abstractNumId w:val="18"/>
  </w:num>
  <w:num w:numId="46" w16cid:durableId="927925742">
    <w:abstractNumId w:val="12"/>
  </w:num>
  <w:num w:numId="47" w16cid:durableId="746268331">
    <w:abstractNumId w:val="38"/>
  </w:num>
  <w:num w:numId="48" w16cid:durableId="641933553">
    <w:abstractNumId w:val="21"/>
  </w:num>
  <w:num w:numId="49" w16cid:durableId="1776903253">
    <w:abstractNumId w:val="30"/>
  </w:num>
  <w:num w:numId="50" w16cid:durableId="1547453265">
    <w:abstractNumId w:val="47"/>
  </w:num>
  <w:num w:numId="51" w16cid:durableId="1016226906">
    <w:abstractNumId w:val="23"/>
  </w:num>
  <w:num w:numId="52" w16cid:durableId="435755936">
    <w:abstractNumId w:val="34"/>
  </w:num>
  <w:num w:numId="53" w16cid:durableId="1898935067">
    <w:abstractNumId w:val="36"/>
  </w:num>
  <w:num w:numId="54" w16cid:durableId="1263755535">
    <w:abstractNumId w:val="35"/>
  </w:num>
  <w:num w:numId="55" w16cid:durableId="1114636479">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06880"/>
    <w:rsid w:val="00012086"/>
    <w:rsid w:val="00012CE2"/>
    <w:rsid w:val="00012D60"/>
    <w:rsid w:val="00017D6E"/>
    <w:rsid w:val="0002048C"/>
    <w:rsid w:val="0002127D"/>
    <w:rsid w:val="0002221D"/>
    <w:rsid w:val="000229AA"/>
    <w:rsid w:val="00023396"/>
    <w:rsid w:val="00024377"/>
    <w:rsid w:val="000328E0"/>
    <w:rsid w:val="00032D65"/>
    <w:rsid w:val="00032EC8"/>
    <w:rsid w:val="00033D75"/>
    <w:rsid w:val="00035F4B"/>
    <w:rsid w:val="000369C6"/>
    <w:rsid w:val="00040DBE"/>
    <w:rsid w:val="0004175A"/>
    <w:rsid w:val="00041912"/>
    <w:rsid w:val="00042596"/>
    <w:rsid w:val="00042ABC"/>
    <w:rsid w:val="00046E36"/>
    <w:rsid w:val="00052109"/>
    <w:rsid w:val="00060CFE"/>
    <w:rsid w:val="00062FF4"/>
    <w:rsid w:val="00064D8C"/>
    <w:rsid w:val="000651A5"/>
    <w:rsid w:val="000705F9"/>
    <w:rsid w:val="00071893"/>
    <w:rsid w:val="00073B86"/>
    <w:rsid w:val="00074A1F"/>
    <w:rsid w:val="000758E3"/>
    <w:rsid w:val="00076354"/>
    <w:rsid w:val="0008070B"/>
    <w:rsid w:val="00082186"/>
    <w:rsid w:val="00082A46"/>
    <w:rsid w:val="00083A17"/>
    <w:rsid w:val="0008473D"/>
    <w:rsid w:val="00085945"/>
    <w:rsid w:val="00086D6E"/>
    <w:rsid w:val="0009343D"/>
    <w:rsid w:val="0009587C"/>
    <w:rsid w:val="000969AC"/>
    <w:rsid w:val="000971F1"/>
    <w:rsid w:val="00097C0C"/>
    <w:rsid w:val="000A0C9C"/>
    <w:rsid w:val="000A109F"/>
    <w:rsid w:val="000A122D"/>
    <w:rsid w:val="000A39A5"/>
    <w:rsid w:val="000A41A0"/>
    <w:rsid w:val="000A44E1"/>
    <w:rsid w:val="000A4F2E"/>
    <w:rsid w:val="000B35DA"/>
    <w:rsid w:val="000C7001"/>
    <w:rsid w:val="000D7537"/>
    <w:rsid w:val="000E030B"/>
    <w:rsid w:val="000E1421"/>
    <w:rsid w:val="000E75DB"/>
    <w:rsid w:val="000F3C75"/>
    <w:rsid w:val="000F59F0"/>
    <w:rsid w:val="00101125"/>
    <w:rsid w:val="0010166F"/>
    <w:rsid w:val="001016E6"/>
    <w:rsid w:val="00104E4E"/>
    <w:rsid w:val="00110A25"/>
    <w:rsid w:val="00111949"/>
    <w:rsid w:val="00115062"/>
    <w:rsid w:val="0011751F"/>
    <w:rsid w:val="00120BF1"/>
    <w:rsid w:val="00121D88"/>
    <w:rsid w:val="00124F17"/>
    <w:rsid w:val="00125639"/>
    <w:rsid w:val="00125D99"/>
    <w:rsid w:val="00132C8A"/>
    <w:rsid w:val="00135F38"/>
    <w:rsid w:val="001431B4"/>
    <w:rsid w:val="00146B82"/>
    <w:rsid w:val="00146E9B"/>
    <w:rsid w:val="00147B1D"/>
    <w:rsid w:val="00151C70"/>
    <w:rsid w:val="00155BB0"/>
    <w:rsid w:val="00160B92"/>
    <w:rsid w:val="00161DFC"/>
    <w:rsid w:val="001631DB"/>
    <w:rsid w:val="0016352B"/>
    <w:rsid w:val="001635B3"/>
    <w:rsid w:val="00165268"/>
    <w:rsid w:val="00165C99"/>
    <w:rsid w:val="00166263"/>
    <w:rsid w:val="001673DC"/>
    <w:rsid w:val="001704DF"/>
    <w:rsid w:val="00180750"/>
    <w:rsid w:val="00181392"/>
    <w:rsid w:val="00181D1A"/>
    <w:rsid w:val="001825DF"/>
    <w:rsid w:val="00182F17"/>
    <w:rsid w:val="00183FED"/>
    <w:rsid w:val="001901E4"/>
    <w:rsid w:val="001924C6"/>
    <w:rsid w:val="001939DA"/>
    <w:rsid w:val="001962A5"/>
    <w:rsid w:val="001A448D"/>
    <w:rsid w:val="001B0909"/>
    <w:rsid w:val="001B47EB"/>
    <w:rsid w:val="001B49AC"/>
    <w:rsid w:val="001C2C85"/>
    <w:rsid w:val="001C41C1"/>
    <w:rsid w:val="001C4F2C"/>
    <w:rsid w:val="001C603B"/>
    <w:rsid w:val="001C77DF"/>
    <w:rsid w:val="001C7D72"/>
    <w:rsid w:val="001E2205"/>
    <w:rsid w:val="001E4BD5"/>
    <w:rsid w:val="001E5A63"/>
    <w:rsid w:val="001E5F3C"/>
    <w:rsid w:val="001F1E33"/>
    <w:rsid w:val="001F2717"/>
    <w:rsid w:val="001F7733"/>
    <w:rsid w:val="001F7AA7"/>
    <w:rsid w:val="002032BB"/>
    <w:rsid w:val="002038DF"/>
    <w:rsid w:val="0020504E"/>
    <w:rsid w:val="0020643F"/>
    <w:rsid w:val="00210B60"/>
    <w:rsid w:val="002111FA"/>
    <w:rsid w:val="0021714C"/>
    <w:rsid w:val="0022053D"/>
    <w:rsid w:val="002260D5"/>
    <w:rsid w:val="00231642"/>
    <w:rsid w:val="002324C9"/>
    <w:rsid w:val="00234F0B"/>
    <w:rsid w:val="00235EE9"/>
    <w:rsid w:val="002402A3"/>
    <w:rsid w:val="00241D9C"/>
    <w:rsid w:val="00242D5A"/>
    <w:rsid w:val="00244ECD"/>
    <w:rsid w:val="0025238C"/>
    <w:rsid w:val="002535B1"/>
    <w:rsid w:val="002541E8"/>
    <w:rsid w:val="00257C6F"/>
    <w:rsid w:val="00257EC9"/>
    <w:rsid w:val="00261675"/>
    <w:rsid w:val="00266474"/>
    <w:rsid w:val="002673F0"/>
    <w:rsid w:val="002713B5"/>
    <w:rsid w:val="00274136"/>
    <w:rsid w:val="00274CCF"/>
    <w:rsid w:val="0027528B"/>
    <w:rsid w:val="0027687A"/>
    <w:rsid w:val="0027782C"/>
    <w:rsid w:val="002824F3"/>
    <w:rsid w:val="002869D6"/>
    <w:rsid w:val="002872E7"/>
    <w:rsid w:val="00291C28"/>
    <w:rsid w:val="00297473"/>
    <w:rsid w:val="00297BB3"/>
    <w:rsid w:val="002A1066"/>
    <w:rsid w:val="002A4859"/>
    <w:rsid w:val="002B0DE3"/>
    <w:rsid w:val="002B154C"/>
    <w:rsid w:val="002B1767"/>
    <w:rsid w:val="002B194E"/>
    <w:rsid w:val="002B2779"/>
    <w:rsid w:val="002B52FF"/>
    <w:rsid w:val="002B5660"/>
    <w:rsid w:val="002C381E"/>
    <w:rsid w:val="002C633F"/>
    <w:rsid w:val="002D2372"/>
    <w:rsid w:val="002D2694"/>
    <w:rsid w:val="002D70B3"/>
    <w:rsid w:val="002E242B"/>
    <w:rsid w:val="00302242"/>
    <w:rsid w:val="00306E63"/>
    <w:rsid w:val="00307439"/>
    <w:rsid w:val="00310662"/>
    <w:rsid w:val="00313F98"/>
    <w:rsid w:val="00320757"/>
    <w:rsid w:val="00322D8B"/>
    <w:rsid w:val="003243D7"/>
    <w:rsid w:val="00324B29"/>
    <w:rsid w:val="00331AA9"/>
    <w:rsid w:val="00332AC9"/>
    <w:rsid w:val="00334044"/>
    <w:rsid w:val="0033481E"/>
    <w:rsid w:val="00342741"/>
    <w:rsid w:val="0034349A"/>
    <w:rsid w:val="003459DB"/>
    <w:rsid w:val="0034761B"/>
    <w:rsid w:val="0035126D"/>
    <w:rsid w:val="0035129F"/>
    <w:rsid w:val="00351823"/>
    <w:rsid w:val="00353C08"/>
    <w:rsid w:val="003608ED"/>
    <w:rsid w:val="00362ADB"/>
    <w:rsid w:val="003632FE"/>
    <w:rsid w:val="00364319"/>
    <w:rsid w:val="003658DB"/>
    <w:rsid w:val="00365AF2"/>
    <w:rsid w:val="00365CF6"/>
    <w:rsid w:val="00372737"/>
    <w:rsid w:val="00374BB2"/>
    <w:rsid w:val="00376974"/>
    <w:rsid w:val="003827FE"/>
    <w:rsid w:val="00382A5B"/>
    <w:rsid w:val="003855F8"/>
    <w:rsid w:val="00386169"/>
    <w:rsid w:val="0039046D"/>
    <w:rsid w:val="003908E7"/>
    <w:rsid w:val="00391839"/>
    <w:rsid w:val="003928D9"/>
    <w:rsid w:val="00394447"/>
    <w:rsid w:val="0039586A"/>
    <w:rsid w:val="003A0783"/>
    <w:rsid w:val="003A43CB"/>
    <w:rsid w:val="003A595D"/>
    <w:rsid w:val="003B34BC"/>
    <w:rsid w:val="003B3B49"/>
    <w:rsid w:val="003B6407"/>
    <w:rsid w:val="003C480A"/>
    <w:rsid w:val="003C571C"/>
    <w:rsid w:val="003C5C2A"/>
    <w:rsid w:val="003C6A6F"/>
    <w:rsid w:val="003C78B0"/>
    <w:rsid w:val="003D13A8"/>
    <w:rsid w:val="003D23C0"/>
    <w:rsid w:val="003D2D0F"/>
    <w:rsid w:val="003D2F86"/>
    <w:rsid w:val="003D4680"/>
    <w:rsid w:val="003E0ACE"/>
    <w:rsid w:val="003E1209"/>
    <w:rsid w:val="003E47AD"/>
    <w:rsid w:val="003E4846"/>
    <w:rsid w:val="003E711A"/>
    <w:rsid w:val="003F0DB4"/>
    <w:rsid w:val="003F241C"/>
    <w:rsid w:val="003F46B2"/>
    <w:rsid w:val="003F74BA"/>
    <w:rsid w:val="00401628"/>
    <w:rsid w:val="0040403C"/>
    <w:rsid w:val="00405088"/>
    <w:rsid w:val="004112E7"/>
    <w:rsid w:val="00411C85"/>
    <w:rsid w:val="00413431"/>
    <w:rsid w:val="00413D00"/>
    <w:rsid w:val="00414172"/>
    <w:rsid w:val="004157C9"/>
    <w:rsid w:val="00416063"/>
    <w:rsid w:val="0041671D"/>
    <w:rsid w:val="004213D3"/>
    <w:rsid w:val="004224E5"/>
    <w:rsid w:val="00426658"/>
    <w:rsid w:val="004271D2"/>
    <w:rsid w:val="004277B1"/>
    <w:rsid w:val="00431939"/>
    <w:rsid w:val="00432E61"/>
    <w:rsid w:val="00433AD7"/>
    <w:rsid w:val="00433EFD"/>
    <w:rsid w:val="00441294"/>
    <w:rsid w:val="0044141E"/>
    <w:rsid w:val="00442083"/>
    <w:rsid w:val="00443435"/>
    <w:rsid w:val="0044610D"/>
    <w:rsid w:val="00452150"/>
    <w:rsid w:val="0045540F"/>
    <w:rsid w:val="00457CDB"/>
    <w:rsid w:val="0047171E"/>
    <w:rsid w:val="00471830"/>
    <w:rsid w:val="004750C3"/>
    <w:rsid w:val="004773C6"/>
    <w:rsid w:val="00477BE7"/>
    <w:rsid w:val="00480D7C"/>
    <w:rsid w:val="00481120"/>
    <w:rsid w:val="0048408D"/>
    <w:rsid w:val="00484A72"/>
    <w:rsid w:val="00490DC6"/>
    <w:rsid w:val="0049787A"/>
    <w:rsid w:val="004A22AB"/>
    <w:rsid w:val="004A3939"/>
    <w:rsid w:val="004B6132"/>
    <w:rsid w:val="004B689F"/>
    <w:rsid w:val="004B72E6"/>
    <w:rsid w:val="004C21F1"/>
    <w:rsid w:val="004C26FF"/>
    <w:rsid w:val="004C33A8"/>
    <w:rsid w:val="004D390A"/>
    <w:rsid w:val="004E0BD7"/>
    <w:rsid w:val="004E3458"/>
    <w:rsid w:val="004E47DA"/>
    <w:rsid w:val="004E58FB"/>
    <w:rsid w:val="004E725E"/>
    <w:rsid w:val="004F227D"/>
    <w:rsid w:val="004F343A"/>
    <w:rsid w:val="004F538B"/>
    <w:rsid w:val="00503C73"/>
    <w:rsid w:val="00504A03"/>
    <w:rsid w:val="00507678"/>
    <w:rsid w:val="00515691"/>
    <w:rsid w:val="00515EFB"/>
    <w:rsid w:val="00521B76"/>
    <w:rsid w:val="00524967"/>
    <w:rsid w:val="00524B94"/>
    <w:rsid w:val="00526847"/>
    <w:rsid w:val="005278F1"/>
    <w:rsid w:val="005323BF"/>
    <w:rsid w:val="005346CF"/>
    <w:rsid w:val="00543187"/>
    <w:rsid w:val="00546E90"/>
    <w:rsid w:val="00547B38"/>
    <w:rsid w:val="0055021E"/>
    <w:rsid w:val="005540AB"/>
    <w:rsid w:val="00561A99"/>
    <w:rsid w:val="00562776"/>
    <w:rsid w:val="0056541C"/>
    <w:rsid w:val="00565C6C"/>
    <w:rsid w:val="00567800"/>
    <w:rsid w:val="00567A99"/>
    <w:rsid w:val="0057067F"/>
    <w:rsid w:val="00570A45"/>
    <w:rsid w:val="005723E6"/>
    <w:rsid w:val="00575F21"/>
    <w:rsid w:val="00583518"/>
    <w:rsid w:val="0058391C"/>
    <w:rsid w:val="0058474C"/>
    <w:rsid w:val="00584AC3"/>
    <w:rsid w:val="00590495"/>
    <w:rsid w:val="00592A87"/>
    <w:rsid w:val="00594315"/>
    <w:rsid w:val="0059529B"/>
    <w:rsid w:val="00597DF1"/>
    <w:rsid w:val="005A0381"/>
    <w:rsid w:val="005A64B8"/>
    <w:rsid w:val="005A7D95"/>
    <w:rsid w:val="005B3066"/>
    <w:rsid w:val="005B3BB9"/>
    <w:rsid w:val="005C134D"/>
    <w:rsid w:val="005C2EAA"/>
    <w:rsid w:val="005C30B7"/>
    <w:rsid w:val="005C7A30"/>
    <w:rsid w:val="005D1ECF"/>
    <w:rsid w:val="005D2DB8"/>
    <w:rsid w:val="005D44B3"/>
    <w:rsid w:val="005D4D65"/>
    <w:rsid w:val="005D50B2"/>
    <w:rsid w:val="005D7FF3"/>
    <w:rsid w:val="005E0E13"/>
    <w:rsid w:val="005E0E60"/>
    <w:rsid w:val="005E1514"/>
    <w:rsid w:val="005E172C"/>
    <w:rsid w:val="005F2444"/>
    <w:rsid w:val="005F254A"/>
    <w:rsid w:val="005F3D20"/>
    <w:rsid w:val="005F577F"/>
    <w:rsid w:val="005F69B4"/>
    <w:rsid w:val="00600E94"/>
    <w:rsid w:val="00604787"/>
    <w:rsid w:val="0061063E"/>
    <w:rsid w:val="00612340"/>
    <w:rsid w:val="00614058"/>
    <w:rsid w:val="006236BE"/>
    <w:rsid w:val="0062510F"/>
    <w:rsid w:val="006252C2"/>
    <w:rsid w:val="0062723A"/>
    <w:rsid w:val="0063049D"/>
    <w:rsid w:val="0063085B"/>
    <w:rsid w:val="00632DC0"/>
    <w:rsid w:val="00633F0D"/>
    <w:rsid w:val="00635DF3"/>
    <w:rsid w:val="00636646"/>
    <w:rsid w:val="00640790"/>
    <w:rsid w:val="006421F1"/>
    <w:rsid w:val="006474BE"/>
    <w:rsid w:val="00647DA9"/>
    <w:rsid w:val="006504B1"/>
    <w:rsid w:val="00652364"/>
    <w:rsid w:val="006556D0"/>
    <w:rsid w:val="00655F9E"/>
    <w:rsid w:val="00667B1C"/>
    <w:rsid w:val="0067769C"/>
    <w:rsid w:val="006806DB"/>
    <w:rsid w:val="00694683"/>
    <w:rsid w:val="006969AF"/>
    <w:rsid w:val="006A77A3"/>
    <w:rsid w:val="006B5838"/>
    <w:rsid w:val="006B7208"/>
    <w:rsid w:val="006B7AFA"/>
    <w:rsid w:val="006C2CF3"/>
    <w:rsid w:val="006C4047"/>
    <w:rsid w:val="006C4276"/>
    <w:rsid w:val="006C4C7E"/>
    <w:rsid w:val="006C7204"/>
    <w:rsid w:val="006C73E1"/>
    <w:rsid w:val="006D2D26"/>
    <w:rsid w:val="006D5349"/>
    <w:rsid w:val="006D737C"/>
    <w:rsid w:val="006E1C14"/>
    <w:rsid w:val="006E1E09"/>
    <w:rsid w:val="006E3D1C"/>
    <w:rsid w:val="006E56DF"/>
    <w:rsid w:val="006E6BBE"/>
    <w:rsid w:val="006F2DF7"/>
    <w:rsid w:val="006F40A9"/>
    <w:rsid w:val="006F4B66"/>
    <w:rsid w:val="006F6D45"/>
    <w:rsid w:val="007008A2"/>
    <w:rsid w:val="00702445"/>
    <w:rsid w:val="0070372F"/>
    <w:rsid w:val="00705F42"/>
    <w:rsid w:val="007061C0"/>
    <w:rsid w:val="00707089"/>
    <w:rsid w:val="00713EA4"/>
    <w:rsid w:val="00714B6A"/>
    <w:rsid w:val="00715805"/>
    <w:rsid w:val="007236C8"/>
    <w:rsid w:val="00726B83"/>
    <w:rsid w:val="007273FC"/>
    <w:rsid w:val="00730767"/>
    <w:rsid w:val="00736D31"/>
    <w:rsid w:val="00740C26"/>
    <w:rsid w:val="00743C0D"/>
    <w:rsid w:val="00743E57"/>
    <w:rsid w:val="007447DD"/>
    <w:rsid w:val="00744BC2"/>
    <w:rsid w:val="00750BA6"/>
    <w:rsid w:val="00751B96"/>
    <w:rsid w:val="007520A0"/>
    <w:rsid w:val="00753D24"/>
    <w:rsid w:val="00755D46"/>
    <w:rsid w:val="00761D0C"/>
    <w:rsid w:val="00762FE5"/>
    <w:rsid w:val="00766DE9"/>
    <w:rsid w:val="00767095"/>
    <w:rsid w:val="007711C0"/>
    <w:rsid w:val="00772B88"/>
    <w:rsid w:val="00773BE4"/>
    <w:rsid w:val="00775611"/>
    <w:rsid w:val="00777414"/>
    <w:rsid w:val="007825A7"/>
    <w:rsid w:val="0078585B"/>
    <w:rsid w:val="00785C88"/>
    <w:rsid w:val="00791287"/>
    <w:rsid w:val="0079222B"/>
    <w:rsid w:val="00794D19"/>
    <w:rsid w:val="00797857"/>
    <w:rsid w:val="007A0188"/>
    <w:rsid w:val="007A38A8"/>
    <w:rsid w:val="007A6E94"/>
    <w:rsid w:val="007A7A4A"/>
    <w:rsid w:val="007B3561"/>
    <w:rsid w:val="007B44E2"/>
    <w:rsid w:val="007B505D"/>
    <w:rsid w:val="007B5185"/>
    <w:rsid w:val="007B5C8B"/>
    <w:rsid w:val="007C29B4"/>
    <w:rsid w:val="007C496D"/>
    <w:rsid w:val="007C6345"/>
    <w:rsid w:val="007C7A02"/>
    <w:rsid w:val="007D0692"/>
    <w:rsid w:val="007E12E9"/>
    <w:rsid w:val="007E19AC"/>
    <w:rsid w:val="007E270A"/>
    <w:rsid w:val="007E2B76"/>
    <w:rsid w:val="007E5420"/>
    <w:rsid w:val="007E7EDC"/>
    <w:rsid w:val="007F2411"/>
    <w:rsid w:val="007F2713"/>
    <w:rsid w:val="007F4ACD"/>
    <w:rsid w:val="007F52C1"/>
    <w:rsid w:val="007F6987"/>
    <w:rsid w:val="007F6CC5"/>
    <w:rsid w:val="008001CB"/>
    <w:rsid w:val="00801E2A"/>
    <w:rsid w:val="00805B12"/>
    <w:rsid w:val="00811CC1"/>
    <w:rsid w:val="00816814"/>
    <w:rsid w:val="00822044"/>
    <w:rsid w:val="00827281"/>
    <w:rsid w:val="00830190"/>
    <w:rsid w:val="00831438"/>
    <w:rsid w:val="0083182F"/>
    <w:rsid w:val="008337E5"/>
    <w:rsid w:val="008341AC"/>
    <w:rsid w:val="008365C1"/>
    <w:rsid w:val="00841168"/>
    <w:rsid w:val="00843C16"/>
    <w:rsid w:val="00847C10"/>
    <w:rsid w:val="00851C09"/>
    <w:rsid w:val="0085236D"/>
    <w:rsid w:val="008532BE"/>
    <w:rsid w:val="008545BD"/>
    <w:rsid w:val="00855E37"/>
    <w:rsid w:val="0085683D"/>
    <w:rsid w:val="00857FEE"/>
    <w:rsid w:val="008639CF"/>
    <w:rsid w:val="008654D5"/>
    <w:rsid w:val="008674B7"/>
    <w:rsid w:val="00874732"/>
    <w:rsid w:val="00881157"/>
    <w:rsid w:val="0088300D"/>
    <w:rsid w:val="008830A9"/>
    <w:rsid w:val="00884D3E"/>
    <w:rsid w:val="00885002"/>
    <w:rsid w:val="00890856"/>
    <w:rsid w:val="008915E6"/>
    <w:rsid w:val="008922BE"/>
    <w:rsid w:val="00896EF3"/>
    <w:rsid w:val="00897B31"/>
    <w:rsid w:val="008A11DC"/>
    <w:rsid w:val="008A1E43"/>
    <w:rsid w:val="008A44BC"/>
    <w:rsid w:val="008A4505"/>
    <w:rsid w:val="008A4666"/>
    <w:rsid w:val="008A48BD"/>
    <w:rsid w:val="008A635E"/>
    <w:rsid w:val="008A74EA"/>
    <w:rsid w:val="008B1302"/>
    <w:rsid w:val="008B555D"/>
    <w:rsid w:val="008C0054"/>
    <w:rsid w:val="008C30E7"/>
    <w:rsid w:val="008C6466"/>
    <w:rsid w:val="008C75F7"/>
    <w:rsid w:val="008C7B77"/>
    <w:rsid w:val="008D1BA0"/>
    <w:rsid w:val="008D5537"/>
    <w:rsid w:val="008E2EC7"/>
    <w:rsid w:val="008E551A"/>
    <w:rsid w:val="008E651B"/>
    <w:rsid w:val="008E6996"/>
    <w:rsid w:val="008F0A0C"/>
    <w:rsid w:val="008F305A"/>
    <w:rsid w:val="008F4DD9"/>
    <w:rsid w:val="009005F8"/>
    <w:rsid w:val="009048EE"/>
    <w:rsid w:val="00912F76"/>
    <w:rsid w:val="00913E83"/>
    <w:rsid w:val="00915AEF"/>
    <w:rsid w:val="00926EA1"/>
    <w:rsid w:val="0092776D"/>
    <w:rsid w:val="009307C7"/>
    <w:rsid w:val="009314B4"/>
    <w:rsid w:val="009339B1"/>
    <w:rsid w:val="00941F58"/>
    <w:rsid w:val="00943E70"/>
    <w:rsid w:val="0095049C"/>
    <w:rsid w:val="00951CC5"/>
    <w:rsid w:val="00956535"/>
    <w:rsid w:val="009576D8"/>
    <w:rsid w:val="00960262"/>
    <w:rsid w:val="00961521"/>
    <w:rsid w:val="00961E44"/>
    <w:rsid w:val="00961ED7"/>
    <w:rsid w:val="00963368"/>
    <w:rsid w:val="00964B0D"/>
    <w:rsid w:val="00973495"/>
    <w:rsid w:val="0097408E"/>
    <w:rsid w:val="0097775C"/>
    <w:rsid w:val="00980A4A"/>
    <w:rsid w:val="00980CCA"/>
    <w:rsid w:val="009818EA"/>
    <w:rsid w:val="00983C85"/>
    <w:rsid w:val="00984224"/>
    <w:rsid w:val="009874D8"/>
    <w:rsid w:val="0099029B"/>
    <w:rsid w:val="0099080D"/>
    <w:rsid w:val="009914BA"/>
    <w:rsid w:val="009927EF"/>
    <w:rsid w:val="009963C9"/>
    <w:rsid w:val="00997DA0"/>
    <w:rsid w:val="009A1E36"/>
    <w:rsid w:val="009A6F09"/>
    <w:rsid w:val="009B0074"/>
    <w:rsid w:val="009B0F9A"/>
    <w:rsid w:val="009B1AAA"/>
    <w:rsid w:val="009B5B6C"/>
    <w:rsid w:val="009C1957"/>
    <w:rsid w:val="009C2F80"/>
    <w:rsid w:val="009C3F0D"/>
    <w:rsid w:val="009C6A09"/>
    <w:rsid w:val="009C7AAE"/>
    <w:rsid w:val="009D3D9A"/>
    <w:rsid w:val="009D5D00"/>
    <w:rsid w:val="009D6064"/>
    <w:rsid w:val="009E1673"/>
    <w:rsid w:val="009E1A78"/>
    <w:rsid w:val="009E49CE"/>
    <w:rsid w:val="009E6AFA"/>
    <w:rsid w:val="009F1846"/>
    <w:rsid w:val="009F1F9D"/>
    <w:rsid w:val="009F41C8"/>
    <w:rsid w:val="009F646F"/>
    <w:rsid w:val="00A0071A"/>
    <w:rsid w:val="00A01A16"/>
    <w:rsid w:val="00A03B5D"/>
    <w:rsid w:val="00A03F57"/>
    <w:rsid w:val="00A05293"/>
    <w:rsid w:val="00A06163"/>
    <w:rsid w:val="00A06E0B"/>
    <w:rsid w:val="00A076FE"/>
    <w:rsid w:val="00A110A6"/>
    <w:rsid w:val="00A121D8"/>
    <w:rsid w:val="00A204E2"/>
    <w:rsid w:val="00A21A0F"/>
    <w:rsid w:val="00A22064"/>
    <w:rsid w:val="00A24A43"/>
    <w:rsid w:val="00A24D65"/>
    <w:rsid w:val="00A31299"/>
    <w:rsid w:val="00A31E7A"/>
    <w:rsid w:val="00A32790"/>
    <w:rsid w:val="00A338DE"/>
    <w:rsid w:val="00A37F3A"/>
    <w:rsid w:val="00A42138"/>
    <w:rsid w:val="00A42E98"/>
    <w:rsid w:val="00A45788"/>
    <w:rsid w:val="00A46C96"/>
    <w:rsid w:val="00A52793"/>
    <w:rsid w:val="00A5399A"/>
    <w:rsid w:val="00A5635D"/>
    <w:rsid w:val="00A56692"/>
    <w:rsid w:val="00A6166C"/>
    <w:rsid w:val="00A624F3"/>
    <w:rsid w:val="00A65F22"/>
    <w:rsid w:val="00A6711C"/>
    <w:rsid w:val="00A67A0E"/>
    <w:rsid w:val="00A70B31"/>
    <w:rsid w:val="00A72239"/>
    <w:rsid w:val="00A7227D"/>
    <w:rsid w:val="00A73DFF"/>
    <w:rsid w:val="00A900CE"/>
    <w:rsid w:val="00A91B16"/>
    <w:rsid w:val="00A92896"/>
    <w:rsid w:val="00A952AB"/>
    <w:rsid w:val="00A97E67"/>
    <w:rsid w:val="00AA012E"/>
    <w:rsid w:val="00AA0D75"/>
    <w:rsid w:val="00AA36BD"/>
    <w:rsid w:val="00AA38EE"/>
    <w:rsid w:val="00AA5FE6"/>
    <w:rsid w:val="00AA65B3"/>
    <w:rsid w:val="00AB2834"/>
    <w:rsid w:val="00AB2C2E"/>
    <w:rsid w:val="00AB3DED"/>
    <w:rsid w:val="00AC5CF5"/>
    <w:rsid w:val="00AD0EC8"/>
    <w:rsid w:val="00AD2F90"/>
    <w:rsid w:val="00AD59AF"/>
    <w:rsid w:val="00AD5C68"/>
    <w:rsid w:val="00AE17AA"/>
    <w:rsid w:val="00AE3ABE"/>
    <w:rsid w:val="00AE5BA0"/>
    <w:rsid w:val="00AE63BB"/>
    <w:rsid w:val="00AE6F44"/>
    <w:rsid w:val="00AE70EC"/>
    <w:rsid w:val="00AE7429"/>
    <w:rsid w:val="00AF1B46"/>
    <w:rsid w:val="00AF1D42"/>
    <w:rsid w:val="00AF2303"/>
    <w:rsid w:val="00AF6717"/>
    <w:rsid w:val="00B037E9"/>
    <w:rsid w:val="00B04C51"/>
    <w:rsid w:val="00B0630B"/>
    <w:rsid w:val="00B071A6"/>
    <w:rsid w:val="00B12CAE"/>
    <w:rsid w:val="00B13F57"/>
    <w:rsid w:val="00B154B4"/>
    <w:rsid w:val="00B17026"/>
    <w:rsid w:val="00B22CD3"/>
    <w:rsid w:val="00B27802"/>
    <w:rsid w:val="00B31D7D"/>
    <w:rsid w:val="00B37861"/>
    <w:rsid w:val="00B42151"/>
    <w:rsid w:val="00B63CE8"/>
    <w:rsid w:val="00B6434F"/>
    <w:rsid w:val="00B6488C"/>
    <w:rsid w:val="00B65522"/>
    <w:rsid w:val="00B67643"/>
    <w:rsid w:val="00B70639"/>
    <w:rsid w:val="00B800F2"/>
    <w:rsid w:val="00B82A47"/>
    <w:rsid w:val="00B83E97"/>
    <w:rsid w:val="00B84061"/>
    <w:rsid w:val="00B84095"/>
    <w:rsid w:val="00B84106"/>
    <w:rsid w:val="00B85320"/>
    <w:rsid w:val="00B877B6"/>
    <w:rsid w:val="00B96FC8"/>
    <w:rsid w:val="00BA35B5"/>
    <w:rsid w:val="00BA4CDE"/>
    <w:rsid w:val="00BA7B7E"/>
    <w:rsid w:val="00BB6B9D"/>
    <w:rsid w:val="00BC6573"/>
    <w:rsid w:val="00BD4B16"/>
    <w:rsid w:val="00BD6CD2"/>
    <w:rsid w:val="00BE3BB0"/>
    <w:rsid w:val="00BE4F55"/>
    <w:rsid w:val="00BE6190"/>
    <w:rsid w:val="00BF09A3"/>
    <w:rsid w:val="00BF1851"/>
    <w:rsid w:val="00BF240C"/>
    <w:rsid w:val="00C0180A"/>
    <w:rsid w:val="00C063FF"/>
    <w:rsid w:val="00C07259"/>
    <w:rsid w:val="00C13183"/>
    <w:rsid w:val="00C13D62"/>
    <w:rsid w:val="00C143EC"/>
    <w:rsid w:val="00C144DB"/>
    <w:rsid w:val="00C17B39"/>
    <w:rsid w:val="00C202B5"/>
    <w:rsid w:val="00C22183"/>
    <w:rsid w:val="00C2280E"/>
    <w:rsid w:val="00C2735B"/>
    <w:rsid w:val="00C31959"/>
    <w:rsid w:val="00C3489D"/>
    <w:rsid w:val="00C42007"/>
    <w:rsid w:val="00C427B0"/>
    <w:rsid w:val="00C42AE1"/>
    <w:rsid w:val="00C44205"/>
    <w:rsid w:val="00C45946"/>
    <w:rsid w:val="00C45AA7"/>
    <w:rsid w:val="00C46E0C"/>
    <w:rsid w:val="00C50063"/>
    <w:rsid w:val="00C50C44"/>
    <w:rsid w:val="00C52644"/>
    <w:rsid w:val="00C53C1D"/>
    <w:rsid w:val="00C54116"/>
    <w:rsid w:val="00C546DE"/>
    <w:rsid w:val="00C56EF2"/>
    <w:rsid w:val="00C57FF3"/>
    <w:rsid w:val="00C619FC"/>
    <w:rsid w:val="00C6225A"/>
    <w:rsid w:val="00C6270E"/>
    <w:rsid w:val="00C62D5A"/>
    <w:rsid w:val="00C63B69"/>
    <w:rsid w:val="00C66232"/>
    <w:rsid w:val="00C770AD"/>
    <w:rsid w:val="00C777E1"/>
    <w:rsid w:val="00C8059C"/>
    <w:rsid w:val="00C82D23"/>
    <w:rsid w:val="00C8475C"/>
    <w:rsid w:val="00C85C7E"/>
    <w:rsid w:val="00C860B6"/>
    <w:rsid w:val="00C86865"/>
    <w:rsid w:val="00C92548"/>
    <w:rsid w:val="00C94206"/>
    <w:rsid w:val="00C954D7"/>
    <w:rsid w:val="00C967F8"/>
    <w:rsid w:val="00CA0311"/>
    <w:rsid w:val="00CA2088"/>
    <w:rsid w:val="00CA2E65"/>
    <w:rsid w:val="00CA301B"/>
    <w:rsid w:val="00CB14F2"/>
    <w:rsid w:val="00CB15FB"/>
    <w:rsid w:val="00CB17C6"/>
    <w:rsid w:val="00CC1966"/>
    <w:rsid w:val="00CC34CC"/>
    <w:rsid w:val="00CD0D6D"/>
    <w:rsid w:val="00CD1024"/>
    <w:rsid w:val="00CD5FE7"/>
    <w:rsid w:val="00CD729E"/>
    <w:rsid w:val="00CE15B4"/>
    <w:rsid w:val="00CE1A9D"/>
    <w:rsid w:val="00CE2DCB"/>
    <w:rsid w:val="00CE32A9"/>
    <w:rsid w:val="00CE45AA"/>
    <w:rsid w:val="00CE64BB"/>
    <w:rsid w:val="00CF765F"/>
    <w:rsid w:val="00D0258D"/>
    <w:rsid w:val="00D044FF"/>
    <w:rsid w:val="00D04784"/>
    <w:rsid w:val="00D05234"/>
    <w:rsid w:val="00D10052"/>
    <w:rsid w:val="00D146B1"/>
    <w:rsid w:val="00D14F17"/>
    <w:rsid w:val="00D17601"/>
    <w:rsid w:val="00D220BD"/>
    <w:rsid w:val="00D2366D"/>
    <w:rsid w:val="00D27FC2"/>
    <w:rsid w:val="00D31927"/>
    <w:rsid w:val="00D351A7"/>
    <w:rsid w:val="00D35F67"/>
    <w:rsid w:val="00D36AB9"/>
    <w:rsid w:val="00D405F6"/>
    <w:rsid w:val="00D43EE7"/>
    <w:rsid w:val="00D47237"/>
    <w:rsid w:val="00D51140"/>
    <w:rsid w:val="00D64A62"/>
    <w:rsid w:val="00D701FE"/>
    <w:rsid w:val="00D707EB"/>
    <w:rsid w:val="00D70DFE"/>
    <w:rsid w:val="00D73C0F"/>
    <w:rsid w:val="00D74BC1"/>
    <w:rsid w:val="00D75172"/>
    <w:rsid w:val="00D753CE"/>
    <w:rsid w:val="00D76591"/>
    <w:rsid w:val="00D816E5"/>
    <w:rsid w:val="00D81E7D"/>
    <w:rsid w:val="00D8362B"/>
    <w:rsid w:val="00D83992"/>
    <w:rsid w:val="00D84CCF"/>
    <w:rsid w:val="00D85D30"/>
    <w:rsid w:val="00D86FB2"/>
    <w:rsid w:val="00D95B42"/>
    <w:rsid w:val="00D97EE4"/>
    <w:rsid w:val="00DB0A49"/>
    <w:rsid w:val="00DB480D"/>
    <w:rsid w:val="00DC136C"/>
    <w:rsid w:val="00DC404A"/>
    <w:rsid w:val="00DC63EA"/>
    <w:rsid w:val="00DD02FE"/>
    <w:rsid w:val="00DD049A"/>
    <w:rsid w:val="00DD053C"/>
    <w:rsid w:val="00DD10FE"/>
    <w:rsid w:val="00DD1D1D"/>
    <w:rsid w:val="00DD3CF2"/>
    <w:rsid w:val="00DD57D4"/>
    <w:rsid w:val="00DE300D"/>
    <w:rsid w:val="00DE7BB7"/>
    <w:rsid w:val="00DF015B"/>
    <w:rsid w:val="00DF312E"/>
    <w:rsid w:val="00DF322C"/>
    <w:rsid w:val="00DF36D3"/>
    <w:rsid w:val="00DF65E6"/>
    <w:rsid w:val="00E01D3D"/>
    <w:rsid w:val="00E033B5"/>
    <w:rsid w:val="00E03F68"/>
    <w:rsid w:val="00E06330"/>
    <w:rsid w:val="00E144D6"/>
    <w:rsid w:val="00E17E05"/>
    <w:rsid w:val="00E2230E"/>
    <w:rsid w:val="00E22C48"/>
    <w:rsid w:val="00E26257"/>
    <w:rsid w:val="00E304DF"/>
    <w:rsid w:val="00E344D4"/>
    <w:rsid w:val="00E37E61"/>
    <w:rsid w:val="00E4364B"/>
    <w:rsid w:val="00E43782"/>
    <w:rsid w:val="00E47248"/>
    <w:rsid w:val="00E55CCA"/>
    <w:rsid w:val="00E55F10"/>
    <w:rsid w:val="00E602F1"/>
    <w:rsid w:val="00E67A69"/>
    <w:rsid w:val="00E725FC"/>
    <w:rsid w:val="00E84E49"/>
    <w:rsid w:val="00E900FA"/>
    <w:rsid w:val="00E90134"/>
    <w:rsid w:val="00E90315"/>
    <w:rsid w:val="00E90643"/>
    <w:rsid w:val="00E908BC"/>
    <w:rsid w:val="00E91DDD"/>
    <w:rsid w:val="00EA0B58"/>
    <w:rsid w:val="00EA532F"/>
    <w:rsid w:val="00EA5341"/>
    <w:rsid w:val="00EB7940"/>
    <w:rsid w:val="00EB7F09"/>
    <w:rsid w:val="00EC5E17"/>
    <w:rsid w:val="00EC79AF"/>
    <w:rsid w:val="00ED0606"/>
    <w:rsid w:val="00ED270A"/>
    <w:rsid w:val="00EE0DCB"/>
    <w:rsid w:val="00EE113A"/>
    <w:rsid w:val="00EF0464"/>
    <w:rsid w:val="00EF0836"/>
    <w:rsid w:val="00EF3724"/>
    <w:rsid w:val="00F00212"/>
    <w:rsid w:val="00F01685"/>
    <w:rsid w:val="00F03CA7"/>
    <w:rsid w:val="00F0507B"/>
    <w:rsid w:val="00F10807"/>
    <w:rsid w:val="00F1256A"/>
    <w:rsid w:val="00F17B57"/>
    <w:rsid w:val="00F20B73"/>
    <w:rsid w:val="00F24C62"/>
    <w:rsid w:val="00F3503C"/>
    <w:rsid w:val="00F378D3"/>
    <w:rsid w:val="00F403FF"/>
    <w:rsid w:val="00F430D3"/>
    <w:rsid w:val="00F57BBD"/>
    <w:rsid w:val="00F60137"/>
    <w:rsid w:val="00F609F0"/>
    <w:rsid w:val="00F61152"/>
    <w:rsid w:val="00F61470"/>
    <w:rsid w:val="00F64D9C"/>
    <w:rsid w:val="00F75010"/>
    <w:rsid w:val="00F752C3"/>
    <w:rsid w:val="00F7573F"/>
    <w:rsid w:val="00F76CB1"/>
    <w:rsid w:val="00F806DF"/>
    <w:rsid w:val="00F8159F"/>
    <w:rsid w:val="00F817AF"/>
    <w:rsid w:val="00F83397"/>
    <w:rsid w:val="00F868CE"/>
    <w:rsid w:val="00F926C0"/>
    <w:rsid w:val="00F92A22"/>
    <w:rsid w:val="00F92CDC"/>
    <w:rsid w:val="00F9402D"/>
    <w:rsid w:val="00FA25EE"/>
    <w:rsid w:val="00FA38AC"/>
    <w:rsid w:val="00FA5C2F"/>
    <w:rsid w:val="00FA797E"/>
    <w:rsid w:val="00FA7A98"/>
    <w:rsid w:val="00FB0140"/>
    <w:rsid w:val="00FC4CFE"/>
    <w:rsid w:val="00FC5B34"/>
    <w:rsid w:val="00FD3371"/>
    <w:rsid w:val="00FD3542"/>
    <w:rsid w:val="00FD4559"/>
    <w:rsid w:val="00FD506D"/>
    <w:rsid w:val="00FD518D"/>
    <w:rsid w:val="00FD69AB"/>
    <w:rsid w:val="00FE1834"/>
    <w:rsid w:val="00FF47CA"/>
    <w:rsid w:val="00FF4A49"/>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F6142F33-564D-4104-A4B6-99A5E9305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rxiv.org/pdf/2206.07949.pdf" TargetMode="Externa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4C5678-8733-477D-B25D-4337C6427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customXml/itemProps3.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4.xml><?xml version="1.0" encoding="utf-8"?>
<ds:datastoreItem xmlns:ds="http://schemas.openxmlformats.org/officeDocument/2006/customXml" ds:itemID="{4C3C3DA7-4876-4872-A0A4-9C405FEADB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7699</CharactersWithSpaces>
  <SharedDoc>false</SharedDoc>
  <HLinks>
    <vt:vector size="6" baseType="variant">
      <vt:variant>
        <vt:i4>1048660</vt:i4>
      </vt:variant>
      <vt:variant>
        <vt:i4>3</vt:i4>
      </vt:variant>
      <vt:variant>
        <vt:i4>0</vt:i4>
      </vt:variant>
      <vt:variant>
        <vt:i4>5</vt:i4>
      </vt:variant>
      <vt:variant>
        <vt:lpwstr>https://arxiv.org/pdf/2206.07949.pdf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2023-05-11T15:34:00Z</dcterms:created>
  <dcterms:modified xsi:type="dcterms:W3CDTF">2023-05-11T15:34:00Z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