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7000E0E5"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B7587B">
        <w:rPr>
          <w:rFonts w:ascii="Calibri" w:eastAsia="MS Mincho" w:hAnsi="Calibri" w:cs="Calibri"/>
          <w:sz w:val="24"/>
          <w:szCs w:val="24"/>
          <w:lang w:val="en-US" w:eastAsia="en-US"/>
        </w:rPr>
        <w:t>2</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723023" w:rsidRPr="00723023">
        <w:rPr>
          <w:rFonts w:ascii="Calibri" w:eastAsia="MS Mincho" w:hAnsi="Calibri" w:cs="Calibri"/>
          <w:sz w:val="24"/>
          <w:szCs w:val="24"/>
          <w:lang w:val="en-US" w:eastAsia="en-US"/>
        </w:rPr>
        <w:t>R2-2305518</w:t>
      </w:r>
    </w:p>
    <w:p w14:paraId="36508560" w14:textId="557C6302" w:rsidR="006D2320" w:rsidRPr="00D278AD" w:rsidRDefault="00A2445C"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 xml:space="preserve">Incheon, </w:t>
      </w:r>
      <w:r w:rsidR="00F74C8E" w:rsidRPr="001A68CE">
        <w:rPr>
          <w:rFonts w:ascii="Calibri" w:eastAsia="MS Mincho" w:hAnsi="Calibri" w:cs="Calibri"/>
          <w:bCs/>
          <w:sz w:val="24"/>
          <w:szCs w:val="24"/>
          <w:lang w:val="en-US" w:eastAsia="en-US"/>
        </w:rPr>
        <w:t>Republic of Korea</w:t>
      </w:r>
      <w:r>
        <w:rPr>
          <w:rFonts w:ascii="Calibri" w:eastAsia="MS Mincho" w:hAnsi="Calibri" w:cs="Calibri"/>
          <w:sz w:val="24"/>
          <w:szCs w:val="24"/>
          <w:lang w:val="en-US" w:eastAsia="en-US"/>
        </w:rPr>
        <w:t>, May</w:t>
      </w:r>
      <w:r w:rsidR="00BF25A5">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22</w:t>
      </w:r>
      <w:r w:rsidR="00BF25A5">
        <w:rPr>
          <w:rFonts w:ascii="Calibri" w:eastAsia="MS Mincho" w:hAnsi="Calibri" w:cs="Calibri"/>
          <w:sz w:val="24"/>
          <w:szCs w:val="24"/>
          <w:lang w:val="en-US" w:eastAsia="en-US"/>
        </w:rPr>
        <w:t>-26</w:t>
      </w:r>
      <w:r w:rsidR="00371453">
        <w:rPr>
          <w:rFonts w:ascii="Calibri" w:eastAsia="MS Mincho" w:hAnsi="Calibri" w:cs="Calibri"/>
          <w:sz w:val="24"/>
          <w:szCs w:val="24"/>
          <w:lang w:val="en-US" w:eastAsia="en-US"/>
        </w:rPr>
        <w:t>, 202</w:t>
      </w:r>
      <w:r w:rsidR="00EC2B17">
        <w:rPr>
          <w:rFonts w:ascii="Calibri" w:eastAsia="MS Mincho" w:hAnsi="Calibri" w:cs="Calibri"/>
          <w:sz w:val="24"/>
          <w:szCs w:val="24"/>
          <w:lang w:val="en-US" w:eastAsia="en-US"/>
        </w:rPr>
        <w:t>3</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8B33D0">
        <w:rPr>
          <w:rFonts w:eastAsia="MS Mincho"/>
        </w:rPr>
        <w:t xml:space="preserve"> </w:t>
      </w:r>
      <w:r w:rsidR="00C26800" w:rsidRPr="00C26800">
        <w:rPr>
          <w:rFonts w:ascii="Calibri" w:eastAsia="MS Mincho" w:hAnsi="Calibri" w:cs="Calibri"/>
          <w:sz w:val="24"/>
          <w:szCs w:val="24"/>
          <w:lang w:val="en-US" w:eastAsia="en-US"/>
        </w:rPr>
        <w:t>(Re</w:t>
      </w:r>
      <w:r w:rsidR="00B17FD9">
        <w:rPr>
          <w:rFonts w:ascii="Calibri" w:eastAsia="MS Mincho" w:hAnsi="Calibri" w:cs="Calibri"/>
          <w:sz w:val="24"/>
          <w:szCs w:val="24"/>
          <w:lang w:val="en-US" w:eastAsia="en-US"/>
        </w:rPr>
        <w:t>vision</w:t>
      </w:r>
      <w:r w:rsidR="00C26800" w:rsidRPr="00C26800">
        <w:rPr>
          <w:rFonts w:ascii="Calibri" w:eastAsia="MS Mincho" w:hAnsi="Calibri" w:cs="Calibri"/>
          <w:sz w:val="24"/>
          <w:szCs w:val="24"/>
          <w:lang w:val="en-US" w:eastAsia="en-US"/>
        </w:rPr>
        <w:t xml:space="preserve"> of </w:t>
      </w:r>
      <w:r w:rsidR="00C26800" w:rsidRPr="00F3538B">
        <w:rPr>
          <w:rFonts w:ascii="Calibri" w:eastAsia="MS Mincho" w:hAnsi="Calibri" w:cs="Calibri"/>
          <w:sz w:val="24"/>
          <w:szCs w:val="24"/>
          <w:lang w:val="en-US" w:eastAsia="en-US"/>
        </w:rPr>
        <w:t>R2</w:t>
      </w:r>
      <w:r w:rsidR="00C26800">
        <w:rPr>
          <w:rFonts w:ascii="Calibri" w:eastAsia="MS Mincho" w:hAnsi="Calibri" w:cs="Calibri"/>
          <w:sz w:val="24"/>
          <w:szCs w:val="24"/>
          <w:lang w:val="en-US" w:eastAsia="en-US"/>
        </w:rPr>
        <w:t>-</w:t>
      </w:r>
      <w:r w:rsidR="00E4493F" w:rsidRPr="00F3538B">
        <w:rPr>
          <w:rFonts w:ascii="Calibri" w:eastAsia="MS Mincho" w:hAnsi="Calibri" w:cs="Calibri"/>
          <w:sz w:val="24"/>
          <w:szCs w:val="24"/>
          <w:lang w:val="en-US" w:eastAsia="en-US"/>
        </w:rPr>
        <w:t>2</w:t>
      </w:r>
      <w:r w:rsidR="00E4493F">
        <w:rPr>
          <w:rFonts w:ascii="Calibri" w:eastAsia="MS Mincho" w:hAnsi="Calibri" w:cs="Calibri"/>
          <w:sz w:val="24"/>
          <w:szCs w:val="24"/>
          <w:lang w:val="en-US" w:eastAsia="en-US"/>
        </w:rPr>
        <w:t>303087</w:t>
      </w:r>
      <w:r w:rsidR="00C26800" w:rsidRPr="00C26800">
        <w:rPr>
          <w:rFonts w:ascii="Calibri" w:eastAsia="MS Mincho" w:hAnsi="Calibri" w:cs="Calibri"/>
          <w:sz w:val="24"/>
          <w:szCs w:val="24"/>
          <w:lang w:val="en-US" w:eastAsia="en-US"/>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4D17886D"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660C2">
        <w:rPr>
          <w:rFonts w:ascii="Calibri" w:eastAsia="MS Mincho" w:hAnsi="Calibri" w:cs="Calibri"/>
          <w:sz w:val="24"/>
          <w:lang w:val="en-US" w:eastAsia="en-US"/>
        </w:rPr>
        <w:t>7</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674FA8">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7098E7D6"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2454A">
        <w:rPr>
          <w:rFonts w:ascii="Calibri" w:eastAsia="MS Mincho" w:hAnsi="Calibri" w:cs="Calibri"/>
          <w:sz w:val="24"/>
          <w:lang w:val="en-US" w:eastAsia="en-US"/>
        </w:rPr>
        <w:t xml:space="preserve">Signaling </w:t>
      </w:r>
      <w:r w:rsidR="00061623">
        <w:rPr>
          <w:rFonts w:ascii="Calibri" w:eastAsia="MS Mincho" w:hAnsi="Calibri" w:cs="Calibri"/>
          <w:sz w:val="24"/>
          <w:lang w:val="en-US" w:eastAsia="en-US"/>
        </w:rPr>
        <w:t>overhead reduction</w:t>
      </w:r>
      <w:r w:rsidR="0052454A">
        <w:rPr>
          <w:rFonts w:ascii="Calibri" w:eastAsia="MS Mincho" w:hAnsi="Calibri" w:cs="Calibri"/>
          <w:sz w:val="24"/>
          <w:lang w:val="en-US" w:eastAsia="en-US"/>
        </w:rPr>
        <w:t xml:space="preserve"> </w:t>
      </w:r>
      <w:r w:rsidR="00FB20C0">
        <w:rPr>
          <w:rFonts w:ascii="Calibri" w:eastAsia="MS Mincho" w:hAnsi="Calibri" w:cs="Calibri"/>
          <w:sz w:val="24"/>
          <w:lang w:val="en-US" w:eastAsia="en-US"/>
        </w:rPr>
        <w:t xml:space="preserve">and group handover </w:t>
      </w:r>
      <w:r w:rsidR="00910861">
        <w:rPr>
          <w:rFonts w:ascii="Calibri" w:eastAsia="MS Mincho" w:hAnsi="Calibri" w:cs="Calibri"/>
          <w:sz w:val="24"/>
          <w:lang w:val="en-US" w:eastAsia="en-US"/>
        </w:rPr>
        <w:t xml:space="preserve">during </w:t>
      </w:r>
      <w:r w:rsidR="00061623">
        <w:rPr>
          <w:rFonts w:ascii="Calibri" w:eastAsia="MS Mincho" w:hAnsi="Calibri" w:cs="Calibri"/>
          <w:sz w:val="24"/>
          <w:lang w:val="en-US" w:eastAsia="en-US"/>
        </w:rPr>
        <w:t xml:space="preserve">NTN-NTN </w:t>
      </w:r>
      <w:r w:rsidR="00910861">
        <w:rPr>
          <w:rFonts w:ascii="Calibri" w:eastAsia="MS Mincho" w:hAnsi="Calibri" w:cs="Calibri"/>
          <w:sz w:val="24"/>
          <w:lang w:val="en-US" w:eastAsia="en-US"/>
        </w:rPr>
        <w:t xml:space="preserve">HOs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59D38946" w14:textId="7B9BD5FC" w:rsidR="00962837" w:rsidRPr="00405220" w:rsidRDefault="00A96E0C" w:rsidP="00405220">
      <w:pPr>
        <w:pStyle w:val="maintext"/>
        <w:ind w:firstLineChars="0" w:firstLine="0"/>
        <w:jc w:val="left"/>
      </w:pPr>
      <w:r w:rsidRPr="00B23B91">
        <w:t>We think that the benefit of</w:t>
      </w:r>
      <w:r>
        <w:t xml:space="preserve"> Timer/location based trigger can be realise only if signalling overheads are managed properly during handover. </w:t>
      </w:r>
      <w:r w:rsidR="00D357F0">
        <w:t xml:space="preserve">In this contribution, we </w:t>
      </w:r>
      <w:r w:rsidR="007E278A">
        <w:t>observe that</w:t>
      </w:r>
      <w:r w:rsidR="002A0F67">
        <w:t xml:space="preserve"> a major chunk of </w:t>
      </w:r>
      <w:r w:rsidR="007E278A">
        <w:t>signalling</w:t>
      </w:r>
      <w:r w:rsidR="002A0F67">
        <w:t xml:space="preserve"> takes place during HO preparation phase </w:t>
      </w:r>
      <w:r w:rsidR="007E278A">
        <w:t xml:space="preserve">for a normal HO </w:t>
      </w:r>
      <w:r w:rsidR="002A0F67">
        <w:t>and</w:t>
      </w:r>
      <w:r w:rsidR="007E278A">
        <w:t xml:space="preserve"> could be a good candidate for signalling </w:t>
      </w:r>
      <w:r w:rsidR="0072562A">
        <w:t>overhead reduction</w:t>
      </w:r>
      <w:r w:rsidR="00D357F0">
        <w:t>.</w:t>
      </w:r>
      <w:r w:rsidR="008A509D">
        <w:t xml:space="preserve"> </w:t>
      </w:r>
      <w:r w:rsidR="00053F5C">
        <w:t>At last, we discuss the group handover for NTN.</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75D4F5D6"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 xml:space="preserve">Signalling </w:t>
      </w:r>
      <w:r w:rsidR="003F185C">
        <w:rPr>
          <w:b/>
          <w:sz w:val="24"/>
          <w:szCs w:val="24"/>
        </w:rPr>
        <w:t>overhead</w:t>
      </w:r>
      <w:r w:rsidR="003F185C" w:rsidRPr="00414B5D">
        <w:rPr>
          <w:b/>
          <w:sz w:val="24"/>
          <w:szCs w:val="24"/>
        </w:rPr>
        <w:t xml:space="preserve"> </w:t>
      </w:r>
      <w:r w:rsidR="001B73EF" w:rsidRPr="00414B5D">
        <w:rPr>
          <w:b/>
          <w:sz w:val="24"/>
          <w:szCs w:val="24"/>
        </w:rPr>
        <w:t>during handovers</w:t>
      </w:r>
    </w:p>
    <w:p w14:paraId="5590140A" w14:textId="68EB6DB9" w:rsidR="00773548" w:rsidRDefault="004E7D8B" w:rsidP="00DB5B13">
      <w:r>
        <w:t>All UEs in a</w:t>
      </w:r>
      <w:r w:rsidR="0049116D">
        <w:t>n</w:t>
      </w:r>
      <w:r>
        <w:t xml:space="preserve"> </w:t>
      </w:r>
      <w:r w:rsidR="00E45F50">
        <w:t>NTN</w:t>
      </w:r>
      <w:r>
        <w:t xml:space="preserve"> cell are expected to experience a change of cell due to </w:t>
      </w:r>
      <w:r w:rsidR="001350EA">
        <w:t xml:space="preserve">new satellite taking over </w:t>
      </w:r>
      <w:r>
        <w:t>every few seconds</w:t>
      </w:r>
      <w:r w:rsidR="00612EAD">
        <w:t xml:space="preserve"> in </w:t>
      </w:r>
      <w:r w:rsidR="0093035A">
        <w:t xml:space="preserve">a </w:t>
      </w:r>
      <w:r w:rsidR="00612EAD">
        <w:t>LEO</w:t>
      </w:r>
      <w:r w:rsidR="0093035A">
        <w:t xml:space="preserve"> constellation</w:t>
      </w:r>
      <w:r>
        <w:t xml:space="preserve">. </w:t>
      </w:r>
      <w:r w:rsidR="00DA6BA1">
        <w:t xml:space="preserve">Normally networks are not dimensioned to </w:t>
      </w:r>
      <w:r w:rsidR="00CF0209">
        <w:t>handle handover of all connected UEs in a cell and that too within a short period of time.</w:t>
      </w:r>
    </w:p>
    <w:p w14:paraId="5F34FDD1" w14:textId="5492629B" w:rsidR="00BE6545" w:rsidRDefault="00C15191" w:rsidP="00DB5B13">
      <w:r>
        <w:t xml:space="preserve">A </w:t>
      </w:r>
      <w:r w:rsidR="00613EF3">
        <w:t xml:space="preserve">significant </w:t>
      </w:r>
      <w:r>
        <w:t>chunk of HO or CHO signalling takes place during</w:t>
      </w:r>
      <w:r w:rsidR="00CA67D3">
        <w:t xml:space="preserve"> </w:t>
      </w:r>
      <w:r w:rsidR="004215FF">
        <w:t xml:space="preserve">the </w:t>
      </w:r>
      <w:r w:rsidR="00CA67D3">
        <w:t>Handover Preparation phase</w:t>
      </w:r>
      <w:r w:rsidR="006E2CD0">
        <w:t xml:space="preserve"> </w:t>
      </w:r>
      <w:r w:rsidR="00B729D7">
        <w:t xml:space="preserve">as shown with </w:t>
      </w:r>
      <w:r w:rsidR="00B41132">
        <w:t xml:space="preserve">the </w:t>
      </w:r>
      <w:r w:rsidR="00B729D7">
        <w:t>red circle in the figure below.</w:t>
      </w:r>
      <w:r w:rsidR="00A85620">
        <w:t xml:space="preserve"> </w:t>
      </w:r>
      <w:r w:rsidR="00DC1BAF">
        <w:t xml:space="preserve">Handover preparation signalling takes place between network nodes without any UE involvement. </w:t>
      </w:r>
      <w:r w:rsidR="00A94D25">
        <w:t>M</w:t>
      </w:r>
      <w:r w:rsidR="00B41132">
        <w:t>ost</w:t>
      </w:r>
      <w:r w:rsidR="0027758B">
        <w:t xml:space="preserve"> handovers are predictable </w:t>
      </w:r>
      <w:r w:rsidR="00612EAD">
        <w:t xml:space="preserve">in NTN </w:t>
      </w:r>
      <w:r w:rsidR="00822E90">
        <w:t xml:space="preserve">because these occur </w:t>
      </w:r>
      <w:r w:rsidR="0027758B">
        <w:t xml:space="preserve">due to </w:t>
      </w:r>
      <w:r w:rsidR="00822E90">
        <w:t xml:space="preserve">the </w:t>
      </w:r>
      <w:r w:rsidR="0027758B">
        <w:t xml:space="preserve">movement of cells and </w:t>
      </w:r>
      <w:r w:rsidR="00BC47B0">
        <w:t>at regular intervals</w:t>
      </w:r>
      <w:r w:rsidR="00822E90">
        <w:t>.</w:t>
      </w:r>
      <w:r w:rsidR="0027758B">
        <w:t xml:space="preserve"> </w:t>
      </w:r>
      <w:r w:rsidR="00570147">
        <w:t>O</w:t>
      </w:r>
      <w:r w:rsidR="0027758B">
        <w:t xml:space="preserve">nly a </w:t>
      </w:r>
      <w:r w:rsidR="0011348C">
        <w:t>very small number of handovers are expected to be due to UE mobility</w:t>
      </w:r>
      <w:r w:rsidR="00BE6545">
        <w:t>, as it was agreed during RAN2_119bise:</w:t>
      </w:r>
    </w:p>
    <w:tbl>
      <w:tblPr>
        <w:tblStyle w:val="TableGrid"/>
        <w:tblW w:w="0" w:type="auto"/>
        <w:tblLook w:val="04A0" w:firstRow="1" w:lastRow="0" w:firstColumn="1" w:lastColumn="0" w:noHBand="0" w:noVBand="1"/>
      </w:tblPr>
      <w:tblGrid>
        <w:gridCol w:w="9631"/>
      </w:tblGrid>
      <w:tr w:rsidR="00BE6545" w14:paraId="4DE9F387" w14:textId="77777777" w:rsidTr="00BE6545">
        <w:tc>
          <w:tcPr>
            <w:tcW w:w="9631" w:type="dxa"/>
          </w:tcPr>
          <w:p w14:paraId="70D24690" w14:textId="21743717" w:rsidR="00BE6545" w:rsidRDefault="00BE6545" w:rsidP="00DB5B13">
            <w:r w:rsidRPr="00BE6545">
              <w:t>1.</w:t>
            </w:r>
            <w:r w:rsidRPr="00BE6545">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r w:rsidR="00CD4775">
              <w:t>.</w:t>
            </w:r>
          </w:p>
        </w:tc>
      </w:tr>
    </w:tbl>
    <w:p w14:paraId="54E339E8" w14:textId="77777777" w:rsidR="00CD4775" w:rsidRDefault="00CD4775" w:rsidP="00DB5B13"/>
    <w:p w14:paraId="382866B3" w14:textId="0EDDA5D5" w:rsidR="00A94D25" w:rsidRDefault="003A40AA" w:rsidP="00DB5B13">
      <w:r>
        <w:t xml:space="preserve">For CHO, currently two cells can be configured during the HO preparation phase. </w:t>
      </w:r>
      <w:r w:rsidR="00652915">
        <w:t xml:space="preserve">If more than two cells are prepared in </w:t>
      </w:r>
      <w:r w:rsidR="00D11057">
        <w:t>advance,</w:t>
      </w:r>
      <w:r w:rsidR="00652915">
        <w:t xml:space="preserve"> then </w:t>
      </w:r>
      <w:r w:rsidR="00C0009C">
        <w:t xml:space="preserve">HO preparation signalling overhead can be shifted </w:t>
      </w:r>
      <w:r w:rsidR="008713F8">
        <w:t>from the time when actual handover takes place.</w:t>
      </w:r>
    </w:p>
    <w:p w14:paraId="062AA197" w14:textId="77777777" w:rsidR="00406E80" w:rsidRDefault="00406E80" w:rsidP="00DB5B13"/>
    <w:p w14:paraId="625EFA39" w14:textId="07235A10" w:rsidR="00A94D25" w:rsidRDefault="00406E80" w:rsidP="00DB5B13">
      <w:r>
        <w:rPr>
          <w:noProof/>
        </w:rPr>
        <w:lastRenderedPageBreak/>
        <w:drawing>
          <wp:inline distT="0" distB="0" distL="0" distR="0" wp14:anchorId="7242CC56" wp14:editId="07A5E5BF">
            <wp:extent cx="6118860" cy="506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5067300"/>
                    </a:xfrm>
                    <a:prstGeom prst="rect">
                      <a:avLst/>
                    </a:prstGeom>
                    <a:noFill/>
                    <a:ln>
                      <a:noFill/>
                    </a:ln>
                  </pic:spPr>
                </pic:pic>
              </a:graphicData>
            </a:graphic>
          </wp:inline>
        </w:drawing>
      </w:r>
      <w:r w:rsidR="003A1E25">
        <w:rPr>
          <w:noProof/>
        </w:rPr>
        <mc:AlternateContent>
          <mc:Choice Requires="wps">
            <w:drawing>
              <wp:anchor distT="0" distB="0" distL="114300" distR="114300" simplePos="0" relativeHeight="251658240" behindDoc="0" locked="0" layoutInCell="1" allowOverlap="1" wp14:anchorId="153C210F" wp14:editId="5B052239">
                <wp:simplePos x="0" y="0"/>
                <wp:positionH relativeFrom="column">
                  <wp:posOffset>-498776</wp:posOffset>
                </wp:positionH>
                <wp:positionV relativeFrom="paragraph">
                  <wp:posOffset>-382038</wp:posOffset>
                </wp:positionV>
                <wp:extent cx="6068291" cy="3108960"/>
                <wp:effectExtent l="0" t="0" r="27940" b="15240"/>
                <wp:wrapNone/>
                <wp:docPr id="1" name="Oval 1"/>
                <wp:cNvGraphicFramePr/>
                <a:graphic xmlns:a="http://schemas.openxmlformats.org/drawingml/2006/main">
                  <a:graphicData uri="http://schemas.microsoft.com/office/word/2010/wordprocessingShape">
                    <wps:wsp>
                      <wps:cNvSpPr/>
                      <wps:spPr>
                        <a:xfrm>
                          <a:off x="0" y="0"/>
                          <a:ext cx="6068291" cy="31089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10C80FE" id="Oval 1" o:spid="_x0000_s1026" style="position:absolute;margin-left:-39.25pt;margin-top:-30.1pt;width:477.8pt;height:244.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" filled="f" strokecolor="red" strokeweight="1pt">
                <v:stroke joinstyle="miter"/>
              </v:oval>
            </w:pict>
          </mc:Fallback>
        </mc:AlternateContent>
      </w:r>
    </w:p>
    <w:p w14:paraId="017E8381" w14:textId="4EA7041C" w:rsidR="00A94D25" w:rsidRDefault="003A1E25" w:rsidP="00406E80">
      <w:pPr>
        <w:jc w:val="center"/>
      </w:pPr>
      <w:r>
        <w:t>Figure 1: CHO signalling procedure</w:t>
      </w:r>
    </w:p>
    <w:p w14:paraId="09658259" w14:textId="6CB68736" w:rsidR="00A94D25" w:rsidRDefault="00A94D25" w:rsidP="00DB5B13"/>
    <w:p w14:paraId="37AE85D8" w14:textId="51549B95" w:rsidR="008713F8" w:rsidRDefault="008713F8" w:rsidP="008713F8">
      <w:pPr>
        <w:rPr>
          <w:b/>
          <w:bCs/>
        </w:rPr>
      </w:pPr>
      <w:r w:rsidRPr="0074203D">
        <w:rPr>
          <w:b/>
          <w:bCs/>
        </w:rPr>
        <w:t xml:space="preserve">Observation: A </w:t>
      </w:r>
      <w:r w:rsidR="008B41EB">
        <w:rPr>
          <w:b/>
          <w:bCs/>
        </w:rPr>
        <w:t>significant</w:t>
      </w:r>
      <w:r w:rsidRPr="0074203D">
        <w:rPr>
          <w:b/>
          <w:bCs/>
        </w:rPr>
        <w:t xml:space="preserve"> chunk of HO signalling takes place during HO preparation phase and HOs are mainly due to cell movement. The oncoming cells are expected to support all UEs in a geographical area i.e.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C25650B" w14:textId="293A352F" w:rsidR="00624526" w:rsidRDefault="00874E8A" w:rsidP="00DB5B13">
      <w:r>
        <w:t>The resource reservation in target cell</w:t>
      </w:r>
      <w:r w:rsidR="00DB7A6C">
        <w:t>s</w:t>
      </w:r>
      <w:r>
        <w:t xml:space="preserve"> can be left to </w:t>
      </w:r>
      <w:r w:rsidR="00E64074">
        <w:t xml:space="preserve">gNB </w:t>
      </w:r>
      <w:r>
        <w:t>implementation</w:t>
      </w:r>
      <w:r w:rsidR="00927F24">
        <w:t xml:space="preserve">. </w:t>
      </w:r>
      <w:r w:rsidR="00E84B11">
        <w:t xml:space="preserve">It </w:t>
      </w:r>
      <w:r w:rsidR="00DF6CFE">
        <w:t>is</w:t>
      </w:r>
      <w:r w:rsidR="00E84B11">
        <w:t xml:space="preserve"> only a matter of time that this new cell will</w:t>
      </w:r>
      <w:r>
        <w:t xml:space="preserve"> </w:t>
      </w:r>
      <w:r w:rsidR="00E75F16">
        <w:t>anyway be prepared to handle the current load from a fixe</w:t>
      </w:r>
      <w:r w:rsidR="00E64074">
        <w:t>d</w:t>
      </w:r>
      <w:r w:rsidR="00E75F16">
        <w:t xml:space="preserve"> location</w:t>
      </w:r>
      <w:r w:rsidR="00E35BB0">
        <w:t>.</w:t>
      </w:r>
      <w:r w:rsidR="00624526">
        <w:t xml:space="preserve"> </w:t>
      </w:r>
      <w:r w:rsidR="00D50143">
        <w:t>In the absence of</w:t>
      </w:r>
      <w:r w:rsidR="00A85620">
        <w:t xml:space="preserve"> preconfiguration of multiple target </w:t>
      </w:r>
      <w:r w:rsidR="00A85620" w:rsidDel="008A0D28">
        <w:t>cells</w:t>
      </w:r>
      <w:r w:rsidR="008A0D28">
        <w:t>,</w:t>
      </w:r>
      <w:r w:rsidR="00A85620">
        <w:t xml:space="preserve"> </w:t>
      </w:r>
      <w:r w:rsidR="00695394">
        <w:t xml:space="preserve">every </w:t>
      </w:r>
      <w:r w:rsidR="00FE27EA">
        <w:t>few se</w:t>
      </w:r>
      <w:r w:rsidR="00275868">
        <w:t>c</w:t>
      </w:r>
      <w:r w:rsidR="00FE27EA">
        <w:t>onds</w:t>
      </w:r>
      <w:r w:rsidR="00275868">
        <w:t xml:space="preserve"> full HO signalling needs to be exchanged for each connected UE in </w:t>
      </w:r>
      <w:r w:rsidR="00081AA0">
        <w:t xml:space="preserve">a </w:t>
      </w:r>
      <w:r w:rsidR="00275868">
        <w:t>cell.</w:t>
      </w:r>
      <w:r w:rsidR="001212DE">
        <w:t xml:space="preserve"> </w:t>
      </w:r>
      <w:r w:rsidR="001F08BA">
        <w:t>M</w:t>
      </w:r>
      <w:r w:rsidR="00877A49">
        <w:t xml:space="preserve">ajority of signalling can be reduced by configuring multiple </w:t>
      </w:r>
      <w:r w:rsidR="006E7CA1">
        <w:t xml:space="preserve">candidate cells and </w:t>
      </w:r>
      <w:r w:rsidR="00BB7622">
        <w:t xml:space="preserve">also </w:t>
      </w:r>
      <w:r w:rsidR="006E7CA1">
        <w:t>not deleting the CHO configuration after CHO has been executed</w:t>
      </w:r>
      <w:r w:rsidR="00C00FB3">
        <w:t xml:space="preserve"> (so that CHO configuration is still valid for </w:t>
      </w:r>
      <w:r w:rsidR="00356F33">
        <w:t>next cell taking over without any explicit signalling)</w:t>
      </w:r>
      <w:r w:rsidR="006E7CA1">
        <w:t>.</w:t>
      </w:r>
      <w:r w:rsidR="00AA599D">
        <w:t xml:space="preserve"> </w:t>
      </w:r>
    </w:p>
    <w:p w14:paraId="3BEACC23" w14:textId="172F8861" w:rsidR="00B64F46" w:rsidRDefault="42F9F880" w:rsidP="00B64F46">
      <w:r>
        <w:t>CHO configuration is possible only after SRB2 has been setup and AS security is activated</w:t>
      </w:r>
      <w:r w:rsidR="457D288A">
        <w:t xml:space="preserve"> with at least one DRB</w:t>
      </w:r>
      <w:r>
        <w:t xml:space="preserve">. </w:t>
      </w:r>
      <w:r w:rsidR="00335588">
        <w:t xml:space="preserve">We think that </w:t>
      </w:r>
      <w:r w:rsidR="006743D3">
        <w:t>handover command and</w:t>
      </w:r>
      <w:r w:rsidR="009613FD">
        <w:t xml:space="preserve"> radio bearer</w:t>
      </w:r>
      <w:r w:rsidR="006743D3">
        <w:t xml:space="preserve"> setup can be combined </w:t>
      </w:r>
      <w:r w:rsidR="00FB4826">
        <w:t>in the</w:t>
      </w:r>
      <w:r w:rsidR="006743D3">
        <w:t xml:space="preserve"> same RRC reconfiguration message</w:t>
      </w:r>
      <w:r w:rsidR="00FB4826">
        <w:t xml:space="preserve"> to include </w:t>
      </w:r>
      <w:r w:rsidR="00CA25EB">
        <w:t xml:space="preserve">both </w:t>
      </w:r>
      <w:r w:rsidR="00FB4826">
        <w:t>DRB setup and HO command</w:t>
      </w:r>
      <w:r w:rsidR="00063817">
        <w:t>.</w:t>
      </w:r>
    </w:p>
    <w:p w14:paraId="05BA5723" w14:textId="158FB01B" w:rsidR="00661B16" w:rsidRDefault="000047E0" w:rsidP="00B64F46">
      <w:r>
        <w:t xml:space="preserve">Providing </w:t>
      </w:r>
      <w:r w:rsidR="00C40C4C">
        <w:t xml:space="preserve">CHO configuration during </w:t>
      </w:r>
      <w:r w:rsidR="00063817">
        <w:t>R</w:t>
      </w:r>
      <w:r w:rsidR="001A5992">
        <w:t>adio bearer setup can further randomize the UE</w:t>
      </w:r>
      <w:r w:rsidR="00080BE9">
        <w:t xml:space="preserve">s </w:t>
      </w:r>
      <w:r w:rsidR="00A05EC8">
        <w:t xml:space="preserve">handover </w:t>
      </w:r>
      <w:r w:rsidR="00CD259A">
        <w:t>preparation signalling</w:t>
      </w:r>
      <w:r w:rsidR="009B5127">
        <w:t xml:space="preserve"> and also optimising the signalling overhead beyond HO preparation phase</w:t>
      </w:r>
      <w:r w:rsidR="00080BE9">
        <w:t>, hence reducing the network</w:t>
      </w:r>
      <w:r w:rsidR="00C3456F">
        <w:t>/signalling</w:t>
      </w:r>
      <w:r w:rsidR="00080BE9">
        <w:t xml:space="preserve"> </w:t>
      </w:r>
      <w:r w:rsidR="00CD259A">
        <w:t xml:space="preserve">load </w:t>
      </w:r>
      <w:r w:rsidR="00080BE9">
        <w:t xml:space="preserve">especially </w:t>
      </w:r>
      <w:r w:rsidR="00894C67">
        <w:t xml:space="preserve">when a large </w:t>
      </w:r>
      <w:r w:rsidR="00501A5A">
        <w:t xml:space="preserve">number </w:t>
      </w:r>
      <w:r w:rsidR="00894C67">
        <w:t xml:space="preserve">of UEs handover to the same </w:t>
      </w:r>
      <w:r w:rsidR="3DD05919">
        <w:t xml:space="preserve">target </w:t>
      </w:r>
      <w:r w:rsidR="00894C67">
        <w:t>satellite cell.</w:t>
      </w:r>
      <w:r w:rsidR="00CA25EB">
        <w:t xml:space="preserve"> </w:t>
      </w:r>
    </w:p>
    <w:p w14:paraId="58AD89E4" w14:textId="084577AB" w:rsidR="00DB5B13" w:rsidRDefault="00210058" w:rsidP="7B544970">
      <w:pPr>
        <w:rPr>
          <w:b/>
          <w:bCs/>
        </w:rPr>
      </w:pPr>
      <w:r w:rsidRPr="243E2C29">
        <w:rPr>
          <w:b/>
          <w:bCs/>
        </w:rPr>
        <w:t xml:space="preserve">Proposal </w:t>
      </w:r>
      <w:r w:rsidR="003C2C77">
        <w:rPr>
          <w:b/>
          <w:bCs/>
        </w:rPr>
        <w:t>1</w:t>
      </w:r>
      <w:r w:rsidRPr="243E2C29">
        <w:rPr>
          <w:b/>
          <w:bCs/>
        </w:rPr>
        <w:t>:</w:t>
      </w:r>
      <w:r w:rsidR="00D00FF8" w:rsidRPr="243E2C29">
        <w:rPr>
          <w:b/>
          <w:bCs/>
        </w:rPr>
        <w:t xml:space="preserve"> </w:t>
      </w:r>
      <w:r w:rsidR="001A27AE" w:rsidRPr="243E2C29">
        <w:rPr>
          <w:b/>
          <w:bCs/>
        </w:rPr>
        <w:t xml:space="preserve">Multiple </w:t>
      </w:r>
      <w:r w:rsidR="00890F8A" w:rsidRPr="243E2C29">
        <w:rPr>
          <w:b/>
          <w:bCs/>
        </w:rPr>
        <w:t xml:space="preserve">target cells are </w:t>
      </w:r>
      <w:r w:rsidR="001A27AE" w:rsidRPr="243E2C29">
        <w:rPr>
          <w:b/>
          <w:bCs/>
        </w:rPr>
        <w:t xml:space="preserve">included in </w:t>
      </w:r>
      <w:r w:rsidR="00890F8A" w:rsidRPr="243E2C29">
        <w:rPr>
          <w:b/>
          <w:bCs/>
        </w:rPr>
        <w:t xml:space="preserve">the </w:t>
      </w:r>
      <w:r w:rsidR="001A27AE" w:rsidRPr="243E2C29">
        <w:rPr>
          <w:b/>
          <w:bCs/>
        </w:rPr>
        <w:t xml:space="preserve">RRC reconfiguration message when AS security has been activated and </w:t>
      </w:r>
      <w:r w:rsidR="00FC1FF4">
        <w:rPr>
          <w:b/>
          <w:bCs/>
        </w:rPr>
        <w:t xml:space="preserve">during </w:t>
      </w:r>
      <w:r w:rsidR="4EFA841B" w:rsidRPr="243E2C29">
        <w:rPr>
          <w:b/>
          <w:bCs/>
        </w:rPr>
        <w:t>DRB setup</w:t>
      </w:r>
      <w:r w:rsidR="001A27AE" w:rsidRPr="243E2C29">
        <w:rPr>
          <w:b/>
          <w:bCs/>
        </w:rPr>
        <w:t>.</w:t>
      </w:r>
    </w:p>
    <w:p w14:paraId="2E5D216C" w14:textId="7F2B1BC1" w:rsidR="00D929B7" w:rsidRDefault="00AA258D" w:rsidP="002C0D1B">
      <w:r w:rsidRPr="00AA258D">
        <w:lastRenderedPageBreak/>
        <w:t>RAN</w:t>
      </w:r>
      <w:r>
        <w:t xml:space="preserve">2 agreed to further discuss </w:t>
      </w:r>
      <w:r w:rsidR="00D929B7">
        <w:t>common</w:t>
      </w:r>
      <w:r>
        <w:t xml:space="preserve"> </w:t>
      </w:r>
      <w:r w:rsidR="00D929B7">
        <w:t xml:space="preserve">configurations </w:t>
      </w:r>
      <w:r>
        <w:t xml:space="preserve">handover for NTN, </w:t>
      </w:r>
      <w:r w:rsidR="00D929B7">
        <w:t>and we think it will reduce the signaling consumption from the network’s perspective as already expressed in the offline email discussion.</w:t>
      </w:r>
    </w:p>
    <w:p w14:paraId="291F44BA" w14:textId="6B982994" w:rsidR="00AA258D" w:rsidRDefault="00174AFD" w:rsidP="002C0D1B">
      <w:r>
        <w:t xml:space="preserve">In addition, during the meeting, some companies also mentioned to combine common handover configurations with group handover. We think this is a feasible solution </w:t>
      </w:r>
      <w:r w:rsidR="00AA258D">
        <w:t xml:space="preserve">where UEs will be grouped e.g. based on their locations, moving speed </w:t>
      </w:r>
      <w:r w:rsidR="009E1F6F">
        <w:t xml:space="preserve">or other </w:t>
      </w:r>
      <w:r w:rsidR="00041491">
        <w:t>factor</w:t>
      </w:r>
      <w:r w:rsidR="009E1F6F">
        <w:t>s</w:t>
      </w:r>
      <w:r w:rsidR="00AA258D">
        <w:t xml:space="preserve">, and then a group common handover configuration which includes the handover parameters common to all the UEs in that group will be transmitted to that group of UEs in order to trigger the group handover. </w:t>
      </w:r>
      <w:r w:rsidR="006A4134">
        <w:t>It should be noticed that some UE specific parameters e.g. preambles, C-RNTI (if needed) will still be configured via dedicated signalling.</w:t>
      </w:r>
      <w:r w:rsidR="006D3B0D">
        <w:t xml:space="preserve"> But this group-cast handover will save the signalling overhead </w:t>
      </w:r>
      <w:r w:rsidR="00B47EFD">
        <w:t xml:space="preserve">for configuring </w:t>
      </w:r>
      <w:r w:rsidR="006D3B0D">
        <w:t xml:space="preserve">those cell specific </w:t>
      </w:r>
      <w:r w:rsidR="00B47EFD">
        <w:t>parameters</w:t>
      </w:r>
      <w:r w:rsidR="006D3B0D">
        <w:t>.</w:t>
      </w:r>
    </w:p>
    <w:p w14:paraId="4C8979FA" w14:textId="53125272" w:rsidR="00AE4510" w:rsidRPr="002A607F" w:rsidRDefault="00AE4510" w:rsidP="002C0D1B">
      <w:pPr>
        <w:rPr>
          <w:b/>
          <w:bCs/>
        </w:rPr>
      </w:pPr>
      <w:r w:rsidRPr="002A607F">
        <w:rPr>
          <w:b/>
          <w:bCs/>
        </w:rPr>
        <w:t xml:space="preserve">Proposal </w:t>
      </w:r>
      <w:r w:rsidR="00137E3F">
        <w:rPr>
          <w:b/>
          <w:bCs/>
        </w:rPr>
        <w:t>2</w:t>
      </w:r>
      <w:r w:rsidRPr="002A607F">
        <w:rPr>
          <w:b/>
          <w:bCs/>
        </w:rPr>
        <w:t xml:space="preserve">: </w:t>
      </w:r>
      <w:r w:rsidR="006F4F66">
        <w:rPr>
          <w:b/>
          <w:bCs/>
        </w:rPr>
        <w:t>RAN2 to agree that</w:t>
      </w:r>
      <w:r w:rsidR="002A607F">
        <w:rPr>
          <w:b/>
          <w:bCs/>
        </w:rPr>
        <w:t xml:space="preserve"> </w:t>
      </w:r>
      <w:r w:rsidR="001759A1">
        <w:rPr>
          <w:b/>
          <w:bCs/>
        </w:rPr>
        <w:t xml:space="preserve">a </w:t>
      </w:r>
      <w:r w:rsidR="002A607F">
        <w:rPr>
          <w:b/>
          <w:bCs/>
        </w:rPr>
        <w:t xml:space="preserve">group cast handover configuration </w:t>
      </w:r>
      <w:r w:rsidR="0080170B">
        <w:rPr>
          <w:b/>
          <w:bCs/>
        </w:rPr>
        <w:t xml:space="preserve">is provided </w:t>
      </w:r>
      <w:r w:rsidR="002A607F">
        <w:rPr>
          <w:b/>
          <w:bCs/>
        </w:rPr>
        <w:t>includ</w:t>
      </w:r>
      <w:r w:rsidR="0002592C">
        <w:rPr>
          <w:b/>
          <w:bCs/>
        </w:rPr>
        <w:t>ing</w:t>
      </w:r>
      <w:r w:rsidR="002A607F">
        <w:rPr>
          <w:b/>
          <w:bCs/>
        </w:rPr>
        <w:t xml:space="preserve"> the </w:t>
      </w:r>
      <w:r w:rsidR="0080170B">
        <w:rPr>
          <w:b/>
          <w:bCs/>
        </w:rPr>
        <w:t xml:space="preserve">cell specific </w:t>
      </w:r>
      <w:r w:rsidR="002A607F">
        <w:rPr>
          <w:b/>
          <w:bCs/>
        </w:rPr>
        <w:t xml:space="preserve">configuration common to all UEs in </w:t>
      </w:r>
      <w:r w:rsidR="0002592C">
        <w:rPr>
          <w:b/>
          <w:bCs/>
        </w:rPr>
        <w:t xml:space="preserve">a </w:t>
      </w:r>
      <w:r w:rsidR="002A607F">
        <w:rPr>
          <w:b/>
          <w:bCs/>
        </w:rPr>
        <w:t>group.</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640741CD" w14:textId="3C8FE1C4" w:rsidR="00762D5F" w:rsidRDefault="00762D5F" w:rsidP="007C0347">
      <w:r w:rsidDel="00DD6E0C">
        <w:t xml:space="preserve">We </w:t>
      </w:r>
      <w:r w:rsidR="00E30B91">
        <w:t xml:space="preserve">propose RAN2 to discuss and agree following </w:t>
      </w:r>
      <w:r w:rsidDel="00DD6E0C">
        <w:t>observation</w:t>
      </w:r>
      <w:r w:rsidR="00E30B91">
        <w:t xml:space="preserve"> and proposals:</w:t>
      </w:r>
    </w:p>
    <w:p w14:paraId="63712FD9" w14:textId="77777777" w:rsidR="009C29BB" w:rsidRDefault="009C29BB" w:rsidP="009C29BB">
      <w:pPr>
        <w:rPr>
          <w:b/>
          <w:bCs/>
        </w:rPr>
      </w:pPr>
      <w:r w:rsidRPr="0074203D">
        <w:rPr>
          <w:b/>
          <w:bCs/>
        </w:rPr>
        <w:t xml:space="preserve">Observation: A </w:t>
      </w:r>
      <w:r>
        <w:rPr>
          <w:b/>
          <w:bCs/>
        </w:rPr>
        <w:t>significant</w:t>
      </w:r>
      <w:r w:rsidRPr="0074203D">
        <w:rPr>
          <w:b/>
          <w:bCs/>
        </w:rPr>
        <w:t xml:space="preserve"> chunk of HO signalling takes place during HO preparation phase and HOs are mainly due to cell movement. The oncoming cells are expected to support all UEs in a geographical area i.e.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0F4EA48" w14:textId="77777777" w:rsidR="00FF4A3F" w:rsidRDefault="00FF4A3F" w:rsidP="00FF4A3F">
      <w:pPr>
        <w:rPr>
          <w:b/>
          <w:bCs/>
        </w:rPr>
      </w:pPr>
      <w:r w:rsidRPr="243E2C29">
        <w:rPr>
          <w:b/>
          <w:bCs/>
        </w:rPr>
        <w:t xml:space="preserve">Proposal </w:t>
      </w:r>
      <w:r>
        <w:rPr>
          <w:b/>
          <w:bCs/>
        </w:rPr>
        <w:t>1</w:t>
      </w:r>
      <w:r w:rsidRPr="243E2C29">
        <w:rPr>
          <w:b/>
          <w:bCs/>
        </w:rPr>
        <w:t xml:space="preserve">: Multiple target cells are included in the RRC reconfiguration message when AS security has been activated and </w:t>
      </w:r>
      <w:r>
        <w:rPr>
          <w:b/>
          <w:bCs/>
        </w:rPr>
        <w:t xml:space="preserve">during </w:t>
      </w:r>
      <w:r w:rsidRPr="243E2C29">
        <w:rPr>
          <w:b/>
          <w:bCs/>
        </w:rPr>
        <w:t>DRB setup.</w:t>
      </w:r>
    </w:p>
    <w:p w14:paraId="6FF69922" w14:textId="60FFF978" w:rsidR="00FF4A3F" w:rsidRPr="002A607F" w:rsidRDefault="00FF4A3F" w:rsidP="00FF4A3F">
      <w:pPr>
        <w:rPr>
          <w:b/>
          <w:bCs/>
        </w:rPr>
      </w:pPr>
      <w:r w:rsidRPr="002A607F">
        <w:rPr>
          <w:b/>
          <w:bCs/>
        </w:rPr>
        <w:t xml:space="preserve">Proposal </w:t>
      </w:r>
      <w:r w:rsidR="00BA149B">
        <w:rPr>
          <w:b/>
          <w:bCs/>
        </w:rPr>
        <w:t>2</w:t>
      </w:r>
      <w:r w:rsidRPr="002A607F">
        <w:rPr>
          <w:b/>
          <w:bCs/>
        </w:rPr>
        <w:t xml:space="preserve">: </w:t>
      </w:r>
      <w:r>
        <w:rPr>
          <w:b/>
          <w:bCs/>
        </w:rPr>
        <w:t>RAN2 to agree that a group cast handover configuration is provided including the cell specific configuration common to all UEs in a group.</w:t>
      </w:r>
    </w:p>
    <w:p w14:paraId="76D4F969" w14:textId="77777777" w:rsidR="009C29BB" w:rsidDel="00DD6E0C" w:rsidRDefault="009C29BB" w:rsidP="007C0347"/>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5AB2" w14:textId="77777777" w:rsidR="008F2D9E" w:rsidRDefault="008F2D9E">
      <w:r>
        <w:separator/>
      </w:r>
    </w:p>
  </w:endnote>
  <w:endnote w:type="continuationSeparator" w:id="0">
    <w:p w14:paraId="2F85AC2C" w14:textId="77777777" w:rsidR="008F2D9E" w:rsidRDefault="008F2D9E">
      <w:r>
        <w:continuationSeparator/>
      </w:r>
    </w:p>
  </w:endnote>
  <w:endnote w:type="continuationNotice" w:id="1">
    <w:p w14:paraId="266B9AEA" w14:textId="77777777" w:rsidR="008F2D9E" w:rsidRDefault="008F2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CA2F" w14:textId="77777777" w:rsidR="008F2D9E" w:rsidRDefault="008F2D9E">
      <w:r>
        <w:separator/>
      </w:r>
    </w:p>
  </w:footnote>
  <w:footnote w:type="continuationSeparator" w:id="0">
    <w:p w14:paraId="7B6C1AC4" w14:textId="77777777" w:rsidR="008F2D9E" w:rsidRDefault="008F2D9E">
      <w:r>
        <w:continuationSeparator/>
      </w:r>
    </w:p>
  </w:footnote>
  <w:footnote w:type="continuationNotice" w:id="1">
    <w:p w14:paraId="5D09FE6E" w14:textId="77777777" w:rsidR="008F2D9E" w:rsidRDefault="008F2D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22"/>
  </w:num>
  <w:num w:numId="2" w16cid:durableId="1472406630">
    <w:abstractNumId w:val="40"/>
  </w:num>
  <w:num w:numId="3" w16cid:durableId="1275019771">
    <w:abstractNumId w:val="23"/>
  </w:num>
  <w:num w:numId="4" w16cid:durableId="2023631484">
    <w:abstractNumId w:val="17"/>
  </w:num>
  <w:num w:numId="5" w16cid:durableId="97798783">
    <w:abstractNumId w:val="4"/>
  </w:num>
  <w:num w:numId="6" w16cid:durableId="1417440385">
    <w:abstractNumId w:val="36"/>
  </w:num>
  <w:num w:numId="7" w16cid:durableId="495194234">
    <w:abstractNumId w:val="34"/>
  </w:num>
  <w:num w:numId="8" w16cid:durableId="178592675">
    <w:abstractNumId w:val="41"/>
  </w:num>
  <w:num w:numId="9" w16cid:durableId="189729083">
    <w:abstractNumId w:val="3"/>
  </w:num>
  <w:num w:numId="10" w16cid:durableId="1221284069">
    <w:abstractNumId w:val="27"/>
  </w:num>
  <w:num w:numId="11" w16cid:durableId="585504333">
    <w:abstractNumId w:val="28"/>
  </w:num>
  <w:num w:numId="12" w16cid:durableId="2821322">
    <w:abstractNumId w:val="8"/>
  </w:num>
  <w:num w:numId="13" w16cid:durableId="1340044038">
    <w:abstractNumId w:val="37"/>
  </w:num>
  <w:num w:numId="14" w16cid:durableId="1244605969">
    <w:abstractNumId w:val="26"/>
  </w:num>
  <w:num w:numId="15" w16cid:durableId="535849118">
    <w:abstractNumId w:val="21"/>
  </w:num>
  <w:num w:numId="16" w16cid:durableId="1042559389">
    <w:abstractNumId w:val="35"/>
  </w:num>
  <w:num w:numId="17" w16cid:durableId="178814339">
    <w:abstractNumId w:val="19"/>
  </w:num>
  <w:num w:numId="18" w16cid:durableId="1180699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96242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944474">
    <w:abstractNumId w:val="25"/>
  </w:num>
  <w:num w:numId="21" w16cid:durableId="2058040882">
    <w:abstractNumId w:val="16"/>
  </w:num>
  <w:num w:numId="22" w16cid:durableId="1828933676">
    <w:abstractNumId w:val="6"/>
  </w:num>
  <w:num w:numId="23" w16cid:durableId="1036853996">
    <w:abstractNumId w:val="11"/>
  </w:num>
  <w:num w:numId="24" w16cid:durableId="2059742100">
    <w:abstractNumId w:val="14"/>
  </w:num>
  <w:num w:numId="25" w16cid:durableId="1069227251">
    <w:abstractNumId w:val="31"/>
  </w:num>
  <w:num w:numId="26" w16cid:durableId="18435818">
    <w:abstractNumId w:val="24"/>
  </w:num>
  <w:num w:numId="27" w16cid:durableId="770323390">
    <w:abstractNumId w:val="38"/>
  </w:num>
  <w:num w:numId="28" w16cid:durableId="388842782">
    <w:abstractNumId w:val="29"/>
  </w:num>
  <w:num w:numId="29" w16cid:durableId="1374816387">
    <w:abstractNumId w:val="5"/>
  </w:num>
  <w:num w:numId="30" w16cid:durableId="399526256">
    <w:abstractNumId w:val="12"/>
  </w:num>
  <w:num w:numId="31" w16cid:durableId="1793747998">
    <w:abstractNumId w:val="10"/>
  </w:num>
  <w:num w:numId="32" w16cid:durableId="1082994719">
    <w:abstractNumId w:val="20"/>
  </w:num>
  <w:num w:numId="33" w16cid:durableId="1797598332">
    <w:abstractNumId w:val="2"/>
  </w:num>
  <w:num w:numId="34" w16cid:durableId="1088697259">
    <w:abstractNumId w:val="30"/>
  </w:num>
  <w:num w:numId="35" w16cid:durableId="1140876169">
    <w:abstractNumId w:val="1"/>
  </w:num>
  <w:num w:numId="36" w16cid:durableId="1971937127">
    <w:abstractNumId w:val="39"/>
  </w:num>
  <w:num w:numId="37" w16cid:durableId="1180198132">
    <w:abstractNumId w:val="18"/>
  </w:num>
  <w:num w:numId="38" w16cid:durableId="918371154">
    <w:abstractNumId w:val="9"/>
  </w:num>
  <w:num w:numId="39" w16cid:durableId="1045638618">
    <w:abstractNumId w:val="32"/>
  </w:num>
  <w:num w:numId="40" w16cid:durableId="2100060521">
    <w:abstractNumId w:val="0"/>
  </w:num>
  <w:num w:numId="41" w16cid:durableId="1157913551">
    <w:abstractNumId w:val="13"/>
  </w:num>
  <w:num w:numId="42" w16cid:durableId="53896817">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721"/>
    <w:rsid w:val="00022804"/>
    <w:rsid w:val="00022895"/>
    <w:rsid w:val="00023D69"/>
    <w:rsid w:val="00023DD5"/>
    <w:rsid w:val="0002468F"/>
    <w:rsid w:val="000248DE"/>
    <w:rsid w:val="0002592C"/>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49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61E4"/>
    <w:rsid w:val="00056EAD"/>
    <w:rsid w:val="00057A95"/>
    <w:rsid w:val="00057F52"/>
    <w:rsid w:val="000601AA"/>
    <w:rsid w:val="000601C1"/>
    <w:rsid w:val="000603CB"/>
    <w:rsid w:val="00060BE6"/>
    <w:rsid w:val="00060F75"/>
    <w:rsid w:val="0006137B"/>
    <w:rsid w:val="000614F4"/>
    <w:rsid w:val="000615EF"/>
    <w:rsid w:val="00061623"/>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A0"/>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96A8F"/>
    <w:rsid w:val="000A0494"/>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529"/>
    <w:rsid w:val="000B2700"/>
    <w:rsid w:val="000B2D78"/>
    <w:rsid w:val="000B31A1"/>
    <w:rsid w:val="000B3359"/>
    <w:rsid w:val="000B4A89"/>
    <w:rsid w:val="000B4AC0"/>
    <w:rsid w:val="000B4CBD"/>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3CAD"/>
    <w:rsid w:val="00134174"/>
    <w:rsid w:val="00134460"/>
    <w:rsid w:val="0013454D"/>
    <w:rsid w:val="0013462E"/>
    <w:rsid w:val="001350EA"/>
    <w:rsid w:val="00135E57"/>
    <w:rsid w:val="00135F56"/>
    <w:rsid w:val="0013609E"/>
    <w:rsid w:val="001373E3"/>
    <w:rsid w:val="00137702"/>
    <w:rsid w:val="00137A9B"/>
    <w:rsid w:val="00137C2D"/>
    <w:rsid w:val="00137E3F"/>
    <w:rsid w:val="0014033A"/>
    <w:rsid w:val="00141C30"/>
    <w:rsid w:val="00141C4F"/>
    <w:rsid w:val="00142978"/>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4AFD"/>
    <w:rsid w:val="0017561A"/>
    <w:rsid w:val="001759A1"/>
    <w:rsid w:val="00175FA6"/>
    <w:rsid w:val="00176336"/>
    <w:rsid w:val="001807CA"/>
    <w:rsid w:val="00181D1A"/>
    <w:rsid w:val="00182218"/>
    <w:rsid w:val="00182583"/>
    <w:rsid w:val="001839FE"/>
    <w:rsid w:val="001842AF"/>
    <w:rsid w:val="00184452"/>
    <w:rsid w:val="001848BD"/>
    <w:rsid w:val="0018527E"/>
    <w:rsid w:val="001866BB"/>
    <w:rsid w:val="00186900"/>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5F94"/>
    <w:rsid w:val="001964F1"/>
    <w:rsid w:val="00196634"/>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410D"/>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6203"/>
    <w:rsid w:val="00217281"/>
    <w:rsid w:val="00217C21"/>
    <w:rsid w:val="00217C3F"/>
    <w:rsid w:val="00217D68"/>
    <w:rsid w:val="002209B2"/>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0EC"/>
    <w:rsid w:val="0023590D"/>
    <w:rsid w:val="002361C0"/>
    <w:rsid w:val="002365C3"/>
    <w:rsid w:val="00236634"/>
    <w:rsid w:val="00236F4A"/>
    <w:rsid w:val="00237539"/>
    <w:rsid w:val="00237620"/>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A0394"/>
    <w:rsid w:val="002A0CBE"/>
    <w:rsid w:val="002A0EC9"/>
    <w:rsid w:val="002A0F67"/>
    <w:rsid w:val="002A32B4"/>
    <w:rsid w:val="002A3515"/>
    <w:rsid w:val="002A3E3B"/>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7C4"/>
    <w:rsid w:val="003108E8"/>
    <w:rsid w:val="00311035"/>
    <w:rsid w:val="003110B9"/>
    <w:rsid w:val="00311123"/>
    <w:rsid w:val="003117AC"/>
    <w:rsid w:val="003125E1"/>
    <w:rsid w:val="003128B0"/>
    <w:rsid w:val="0031295A"/>
    <w:rsid w:val="00312B13"/>
    <w:rsid w:val="003132E5"/>
    <w:rsid w:val="00314729"/>
    <w:rsid w:val="00314BA9"/>
    <w:rsid w:val="00315667"/>
    <w:rsid w:val="003175C5"/>
    <w:rsid w:val="00317712"/>
    <w:rsid w:val="0031776F"/>
    <w:rsid w:val="003179C0"/>
    <w:rsid w:val="00317E66"/>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51"/>
    <w:rsid w:val="00327AA9"/>
    <w:rsid w:val="00332316"/>
    <w:rsid w:val="003329BD"/>
    <w:rsid w:val="00332A0A"/>
    <w:rsid w:val="00332B43"/>
    <w:rsid w:val="00332CDA"/>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453"/>
    <w:rsid w:val="003715C5"/>
    <w:rsid w:val="00371D2E"/>
    <w:rsid w:val="0037234A"/>
    <w:rsid w:val="00372408"/>
    <w:rsid w:val="00372EB3"/>
    <w:rsid w:val="0037332D"/>
    <w:rsid w:val="00373955"/>
    <w:rsid w:val="00374B92"/>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47F1"/>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6C"/>
    <w:rsid w:val="003C1849"/>
    <w:rsid w:val="003C1A42"/>
    <w:rsid w:val="003C2B85"/>
    <w:rsid w:val="003C2C77"/>
    <w:rsid w:val="003C2CC8"/>
    <w:rsid w:val="003C3018"/>
    <w:rsid w:val="003C3116"/>
    <w:rsid w:val="003C37B2"/>
    <w:rsid w:val="003C44DE"/>
    <w:rsid w:val="003C47B4"/>
    <w:rsid w:val="003C580D"/>
    <w:rsid w:val="003C590D"/>
    <w:rsid w:val="003C5B11"/>
    <w:rsid w:val="003C5FE4"/>
    <w:rsid w:val="003C673F"/>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3DE3"/>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5C"/>
    <w:rsid w:val="003F18EA"/>
    <w:rsid w:val="003F1A50"/>
    <w:rsid w:val="003F219F"/>
    <w:rsid w:val="003F2386"/>
    <w:rsid w:val="003F2755"/>
    <w:rsid w:val="003F28C8"/>
    <w:rsid w:val="003F2A1A"/>
    <w:rsid w:val="003F2ECC"/>
    <w:rsid w:val="003F4A6E"/>
    <w:rsid w:val="003F4B78"/>
    <w:rsid w:val="003F4D46"/>
    <w:rsid w:val="003F4DE9"/>
    <w:rsid w:val="003F57C7"/>
    <w:rsid w:val="003F5866"/>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6E80"/>
    <w:rsid w:val="00407139"/>
    <w:rsid w:val="00407356"/>
    <w:rsid w:val="00407BAB"/>
    <w:rsid w:val="0041032F"/>
    <w:rsid w:val="0041064A"/>
    <w:rsid w:val="00411079"/>
    <w:rsid w:val="00411595"/>
    <w:rsid w:val="00411B37"/>
    <w:rsid w:val="004121AB"/>
    <w:rsid w:val="00412CFA"/>
    <w:rsid w:val="0041325B"/>
    <w:rsid w:val="0041342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5FF"/>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68D"/>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116D"/>
    <w:rsid w:val="004937B0"/>
    <w:rsid w:val="00493876"/>
    <w:rsid w:val="0049397A"/>
    <w:rsid w:val="0049465E"/>
    <w:rsid w:val="0049549D"/>
    <w:rsid w:val="00495D80"/>
    <w:rsid w:val="004960C6"/>
    <w:rsid w:val="00496EC0"/>
    <w:rsid w:val="0049725A"/>
    <w:rsid w:val="00497658"/>
    <w:rsid w:val="00497A44"/>
    <w:rsid w:val="00497EDF"/>
    <w:rsid w:val="004A0B6E"/>
    <w:rsid w:val="004A109A"/>
    <w:rsid w:val="004A13CA"/>
    <w:rsid w:val="004A1798"/>
    <w:rsid w:val="004A1DF0"/>
    <w:rsid w:val="004A24B0"/>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3C25"/>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5A"/>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8B1"/>
    <w:rsid w:val="00545B86"/>
    <w:rsid w:val="005460D7"/>
    <w:rsid w:val="0054637A"/>
    <w:rsid w:val="00546400"/>
    <w:rsid w:val="00546D12"/>
    <w:rsid w:val="00547058"/>
    <w:rsid w:val="00547098"/>
    <w:rsid w:val="00547964"/>
    <w:rsid w:val="0055135B"/>
    <w:rsid w:val="00551388"/>
    <w:rsid w:val="005517C3"/>
    <w:rsid w:val="005520AE"/>
    <w:rsid w:val="00552ABA"/>
    <w:rsid w:val="00552F7E"/>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4FCD"/>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556"/>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915"/>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3D3"/>
    <w:rsid w:val="006744D6"/>
    <w:rsid w:val="00674FA8"/>
    <w:rsid w:val="00675EDF"/>
    <w:rsid w:val="00676B76"/>
    <w:rsid w:val="006774DE"/>
    <w:rsid w:val="006805BE"/>
    <w:rsid w:val="006807A0"/>
    <w:rsid w:val="006818FF"/>
    <w:rsid w:val="00681D90"/>
    <w:rsid w:val="00681E7F"/>
    <w:rsid w:val="00682B27"/>
    <w:rsid w:val="00682C5F"/>
    <w:rsid w:val="00682ECB"/>
    <w:rsid w:val="0068322B"/>
    <w:rsid w:val="006835D8"/>
    <w:rsid w:val="00683EB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199C"/>
    <w:rsid w:val="006A294F"/>
    <w:rsid w:val="006A2EEC"/>
    <w:rsid w:val="006A3128"/>
    <w:rsid w:val="006A3BBD"/>
    <w:rsid w:val="006A4134"/>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4F66"/>
    <w:rsid w:val="006F5056"/>
    <w:rsid w:val="006F5430"/>
    <w:rsid w:val="006F590D"/>
    <w:rsid w:val="006F5C38"/>
    <w:rsid w:val="006F6181"/>
    <w:rsid w:val="006F6B4D"/>
    <w:rsid w:val="00700100"/>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023"/>
    <w:rsid w:val="00723BE7"/>
    <w:rsid w:val="00723FBF"/>
    <w:rsid w:val="007253B6"/>
    <w:rsid w:val="0072562A"/>
    <w:rsid w:val="007267A4"/>
    <w:rsid w:val="007274EC"/>
    <w:rsid w:val="00727CF3"/>
    <w:rsid w:val="00727D4B"/>
    <w:rsid w:val="00730BC8"/>
    <w:rsid w:val="007312C8"/>
    <w:rsid w:val="007313D9"/>
    <w:rsid w:val="007313EC"/>
    <w:rsid w:val="00732AA5"/>
    <w:rsid w:val="00733769"/>
    <w:rsid w:val="007347F1"/>
    <w:rsid w:val="00734D1D"/>
    <w:rsid w:val="00734F1C"/>
    <w:rsid w:val="00735D50"/>
    <w:rsid w:val="00736226"/>
    <w:rsid w:val="0073632A"/>
    <w:rsid w:val="00740C1B"/>
    <w:rsid w:val="00740F67"/>
    <w:rsid w:val="00741072"/>
    <w:rsid w:val="007414CD"/>
    <w:rsid w:val="0074203D"/>
    <w:rsid w:val="00742204"/>
    <w:rsid w:val="0074265F"/>
    <w:rsid w:val="00742920"/>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89E"/>
    <w:rsid w:val="007748A4"/>
    <w:rsid w:val="00774B85"/>
    <w:rsid w:val="00774D93"/>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37CB"/>
    <w:rsid w:val="00783828"/>
    <w:rsid w:val="007848A6"/>
    <w:rsid w:val="00784F06"/>
    <w:rsid w:val="00785DDE"/>
    <w:rsid w:val="00786083"/>
    <w:rsid w:val="00787265"/>
    <w:rsid w:val="00787D30"/>
    <w:rsid w:val="00787E22"/>
    <w:rsid w:val="00790D05"/>
    <w:rsid w:val="007914C0"/>
    <w:rsid w:val="00792A35"/>
    <w:rsid w:val="00792A56"/>
    <w:rsid w:val="00792D40"/>
    <w:rsid w:val="00792E19"/>
    <w:rsid w:val="00793011"/>
    <w:rsid w:val="007932D1"/>
    <w:rsid w:val="00793DA5"/>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0DC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78A"/>
    <w:rsid w:val="007E2F7E"/>
    <w:rsid w:val="007E3295"/>
    <w:rsid w:val="007E390D"/>
    <w:rsid w:val="007E3F04"/>
    <w:rsid w:val="007E68E0"/>
    <w:rsid w:val="007E6D4B"/>
    <w:rsid w:val="007E7D7C"/>
    <w:rsid w:val="007E7F54"/>
    <w:rsid w:val="007F06F0"/>
    <w:rsid w:val="007F08BE"/>
    <w:rsid w:val="007F0B25"/>
    <w:rsid w:val="007F0C1A"/>
    <w:rsid w:val="007F1685"/>
    <w:rsid w:val="007F2A4B"/>
    <w:rsid w:val="007F3049"/>
    <w:rsid w:val="007F32ED"/>
    <w:rsid w:val="007F395A"/>
    <w:rsid w:val="007F40F5"/>
    <w:rsid w:val="007F411C"/>
    <w:rsid w:val="007F412E"/>
    <w:rsid w:val="007F50EF"/>
    <w:rsid w:val="007F5265"/>
    <w:rsid w:val="007F5C8C"/>
    <w:rsid w:val="007F68B0"/>
    <w:rsid w:val="00800178"/>
    <w:rsid w:val="00800DA3"/>
    <w:rsid w:val="0080170B"/>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057C"/>
    <w:rsid w:val="0082196C"/>
    <w:rsid w:val="008227D0"/>
    <w:rsid w:val="00822A64"/>
    <w:rsid w:val="00822E90"/>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4F2"/>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9E2"/>
    <w:rsid w:val="00867BB6"/>
    <w:rsid w:val="008709BF"/>
    <w:rsid w:val="008713F8"/>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A6E"/>
    <w:rsid w:val="008A2ACF"/>
    <w:rsid w:val="008A3D66"/>
    <w:rsid w:val="008A3DD4"/>
    <w:rsid w:val="008A3E66"/>
    <w:rsid w:val="008A4368"/>
    <w:rsid w:val="008A4462"/>
    <w:rsid w:val="008A509D"/>
    <w:rsid w:val="008A524B"/>
    <w:rsid w:val="008A5750"/>
    <w:rsid w:val="008A5D1E"/>
    <w:rsid w:val="008A695C"/>
    <w:rsid w:val="008A7F2D"/>
    <w:rsid w:val="008B0259"/>
    <w:rsid w:val="008B0926"/>
    <w:rsid w:val="008B09B6"/>
    <w:rsid w:val="008B18F6"/>
    <w:rsid w:val="008B19E2"/>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B8"/>
    <w:rsid w:val="008F0CD2"/>
    <w:rsid w:val="008F1657"/>
    <w:rsid w:val="008F1CBB"/>
    <w:rsid w:val="008F1F7D"/>
    <w:rsid w:val="008F2ACD"/>
    <w:rsid w:val="008F2D9E"/>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3A6A"/>
    <w:rsid w:val="00913ABB"/>
    <w:rsid w:val="009147BF"/>
    <w:rsid w:val="00914B2D"/>
    <w:rsid w:val="00915672"/>
    <w:rsid w:val="00915775"/>
    <w:rsid w:val="00915BE2"/>
    <w:rsid w:val="00915C89"/>
    <w:rsid w:val="00915D02"/>
    <w:rsid w:val="00916507"/>
    <w:rsid w:val="009168AF"/>
    <w:rsid w:val="00916B66"/>
    <w:rsid w:val="00916CCA"/>
    <w:rsid w:val="009175CD"/>
    <w:rsid w:val="009179BE"/>
    <w:rsid w:val="009204CB"/>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29BB"/>
    <w:rsid w:val="009C35C7"/>
    <w:rsid w:val="009C4910"/>
    <w:rsid w:val="009C4965"/>
    <w:rsid w:val="009C4CBE"/>
    <w:rsid w:val="009C53F4"/>
    <w:rsid w:val="009C579B"/>
    <w:rsid w:val="009C6260"/>
    <w:rsid w:val="009C6611"/>
    <w:rsid w:val="009C6C0A"/>
    <w:rsid w:val="009C7AAC"/>
    <w:rsid w:val="009D027F"/>
    <w:rsid w:val="009D0C59"/>
    <w:rsid w:val="009D1AD0"/>
    <w:rsid w:val="009D1EC6"/>
    <w:rsid w:val="009D2890"/>
    <w:rsid w:val="009D2A33"/>
    <w:rsid w:val="009D2ED0"/>
    <w:rsid w:val="009D3400"/>
    <w:rsid w:val="009D42A4"/>
    <w:rsid w:val="009D4889"/>
    <w:rsid w:val="009D48F2"/>
    <w:rsid w:val="009D4A88"/>
    <w:rsid w:val="009D50CA"/>
    <w:rsid w:val="009D512D"/>
    <w:rsid w:val="009D51A2"/>
    <w:rsid w:val="009D553C"/>
    <w:rsid w:val="009D69E6"/>
    <w:rsid w:val="009D6AAE"/>
    <w:rsid w:val="009D6F2C"/>
    <w:rsid w:val="009D79C9"/>
    <w:rsid w:val="009D7AE7"/>
    <w:rsid w:val="009E01F6"/>
    <w:rsid w:val="009E0373"/>
    <w:rsid w:val="009E0387"/>
    <w:rsid w:val="009E1F6F"/>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45C"/>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82A"/>
    <w:rsid w:val="00A37B19"/>
    <w:rsid w:val="00A37DFC"/>
    <w:rsid w:val="00A40AE9"/>
    <w:rsid w:val="00A40F81"/>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7E"/>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74AC"/>
    <w:rsid w:val="00A776E5"/>
    <w:rsid w:val="00A77979"/>
    <w:rsid w:val="00A779C0"/>
    <w:rsid w:val="00A8049A"/>
    <w:rsid w:val="00A805A8"/>
    <w:rsid w:val="00A80A85"/>
    <w:rsid w:val="00A80E0F"/>
    <w:rsid w:val="00A810F9"/>
    <w:rsid w:val="00A81881"/>
    <w:rsid w:val="00A81AC8"/>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4D25"/>
    <w:rsid w:val="00A95F2F"/>
    <w:rsid w:val="00A96117"/>
    <w:rsid w:val="00A96E0C"/>
    <w:rsid w:val="00A96ED6"/>
    <w:rsid w:val="00A97382"/>
    <w:rsid w:val="00A973AB"/>
    <w:rsid w:val="00A976B4"/>
    <w:rsid w:val="00A97B2D"/>
    <w:rsid w:val="00AA0F88"/>
    <w:rsid w:val="00AA1484"/>
    <w:rsid w:val="00AA14B1"/>
    <w:rsid w:val="00AA1FC2"/>
    <w:rsid w:val="00AA258D"/>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22E2"/>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9D8"/>
    <w:rsid w:val="00AC3C0A"/>
    <w:rsid w:val="00AC5331"/>
    <w:rsid w:val="00AC58EE"/>
    <w:rsid w:val="00AC5A42"/>
    <w:rsid w:val="00AC7AE5"/>
    <w:rsid w:val="00AD05EC"/>
    <w:rsid w:val="00AD09D6"/>
    <w:rsid w:val="00AD1D49"/>
    <w:rsid w:val="00AD1E17"/>
    <w:rsid w:val="00AD2F47"/>
    <w:rsid w:val="00AD359F"/>
    <w:rsid w:val="00AD36BD"/>
    <w:rsid w:val="00AD39BD"/>
    <w:rsid w:val="00AD46A8"/>
    <w:rsid w:val="00AD4765"/>
    <w:rsid w:val="00AD54A8"/>
    <w:rsid w:val="00AD5777"/>
    <w:rsid w:val="00AD5D47"/>
    <w:rsid w:val="00AD60B6"/>
    <w:rsid w:val="00AD6ECC"/>
    <w:rsid w:val="00AD7CB0"/>
    <w:rsid w:val="00AE10EF"/>
    <w:rsid w:val="00AE213B"/>
    <w:rsid w:val="00AE23F2"/>
    <w:rsid w:val="00AE2C04"/>
    <w:rsid w:val="00AE3399"/>
    <w:rsid w:val="00AE35A5"/>
    <w:rsid w:val="00AE448D"/>
    <w:rsid w:val="00AE4510"/>
    <w:rsid w:val="00AE617A"/>
    <w:rsid w:val="00AE6644"/>
    <w:rsid w:val="00AE6F10"/>
    <w:rsid w:val="00AE7073"/>
    <w:rsid w:val="00AE7103"/>
    <w:rsid w:val="00AE73DD"/>
    <w:rsid w:val="00AE7DDB"/>
    <w:rsid w:val="00AF03FB"/>
    <w:rsid w:val="00AF1F11"/>
    <w:rsid w:val="00AF2DFD"/>
    <w:rsid w:val="00AF3847"/>
    <w:rsid w:val="00AF3ED2"/>
    <w:rsid w:val="00AF3F0C"/>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17FD9"/>
    <w:rsid w:val="00B20001"/>
    <w:rsid w:val="00B201FF"/>
    <w:rsid w:val="00B20719"/>
    <w:rsid w:val="00B20B9D"/>
    <w:rsid w:val="00B20F78"/>
    <w:rsid w:val="00B21815"/>
    <w:rsid w:val="00B21817"/>
    <w:rsid w:val="00B21E52"/>
    <w:rsid w:val="00B21F9B"/>
    <w:rsid w:val="00B2200E"/>
    <w:rsid w:val="00B220AB"/>
    <w:rsid w:val="00B22517"/>
    <w:rsid w:val="00B22856"/>
    <w:rsid w:val="00B2310D"/>
    <w:rsid w:val="00B238DB"/>
    <w:rsid w:val="00B23B91"/>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EFD"/>
    <w:rsid w:val="00B47F50"/>
    <w:rsid w:val="00B47FD0"/>
    <w:rsid w:val="00B5040A"/>
    <w:rsid w:val="00B50775"/>
    <w:rsid w:val="00B50781"/>
    <w:rsid w:val="00B512ED"/>
    <w:rsid w:val="00B513A8"/>
    <w:rsid w:val="00B519FA"/>
    <w:rsid w:val="00B5253E"/>
    <w:rsid w:val="00B526DB"/>
    <w:rsid w:val="00B533FE"/>
    <w:rsid w:val="00B536CA"/>
    <w:rsid w:val="00B539FB"/>
    <w:rsid w:val="00B53F15"/>
    <w:rsid w:val="00B54900"/>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87B"/>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49B"/>
    <w:rsid w:val="00BA1A62"/>
    <w:rsid w:val="00BA1C26"/>
    <w:rsid w:val="00BA2092"/>
    <w:rsid w:val="00BA20ED"/>
    <w:rsid w:val="00BA237C"/>
    <w:rsid w:val="00BA3E77"/>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622"/>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76D"/>
    <w:rsid w:val="00BD0574"/>
    <w:rsid w:val="00BD1086"/>
    <w:rsid w:val="00BD1203"/>
    <w:rsid w:val="00BD1C7B"/>
    <w:rsid w:val="00BD2054"/>
    <w:rsid w:val="00BD26AC"/>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F03F3"/>
    <w:rsid w:val="00BF03FB"/>
    <w:rsid w:val="00BF0724"/>
    <w:rsid w:val="00BF25A5"/>
    <w:rsid w:val="00BF2767"/>
    <w:rsid w:val="00BF553C"/>
    <w:rsid w:val="00BF562A"/>
    <w:rsid w:val="00BF5F3D"/>
    <w:rsid w:val="00BF631B"/>
    <w:rsid w:val="00BF6521"/>
    <w:rsid w:val="00BF6C40"/>
    <w:rsid w:val="00BF7A71"/>
    <w:rsid w:val="00C0009C"/>
    <w:rsid w:val="00C00CCA"/>
    <w:rsid w:val="00C00FB3"/>
    <w:rsid w:val="00C01B68"/>
    <w:rsid w:val="00C028A8"/>
    <w:rsid w:val="00C02F8B"/>
    <w:rsid w:val="00C031C7"/>
    <w:rsid w:val="00C032E2"/>
    <w:rsid w:val="00C035B1"/>
    <w:rsid w:val="00C03D83"/>
    <w:rsid w:val="00C03D98"/>
    <w:rsid w:val="00C03E12"/>
    <w:rsid w:val="00C04155"/>
    <w:rsid w:val="00C04164"/>
    <w:rsid w:val="00C04383"/>
    <w:rsid w:val="00C04866"/>
    <w:rsid w:val="00C04AB2"/>
    <w:rsid w:val="00C0531F"/>
    <w:rsid w:val="00C05D40"/>
    <w:rsid w:val="00C06000"/>
    <w:rsid w:val="00C06010"/>
    <w:rsid w:val="00C069B9"/>
    <w:rsid w:val="00C06F95"/>
    <w:rsid w:val="00C071AF"/>
    <w:rsid w:val="00C11236"/>
    <w:rsid w:val="00C1178F"/>
    <w:rsid w:val="00C135FE"/>
    <w:rsid w:val="00C13DBF"/>
    <w:rsid w:val="00C13F46"/>
    <w:rsid w:val="00C14CFD"/>
    <w:rsid w:val="00C14F60"/>
    <w:rsid w:val="00C15191"/>
    <w:rsid w:val="00C15914"/>
    <w:rsid w:val="00C16321"/>
    <w:rsid w:val="00C16656"/>
    <w:rsid w:val="00C16737"/>
    <w:rsid w:val="00C17338"/>
    <w:rsid w:val="00C202C0"/>
    <w:rsid w:val="00C20664"/>
    <w:rsid w:val="00C20E64"/>
    <w:rsid w:val="00C2115F"/>
    <w:rsid w:val="00C221A3"/>
    <w:rsid w:val="00C22592"/>
    <w:rsid w:val="00C22612"/>
    <w:rsid w:val="00C230A0"/>
    <w:rsid w:val="00C23A61"/>
    <w:rsid w:val="00C247B8"/>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2359"/>
    <w:rsid w:val="00C3275C"/>
    <w:rsid w:val="00C32793"/>
    <w:rsid w:val="00C327ED"/>
    <w:rsid w:val="00C33173"/>
    <w:rsid w:val="00C331AC"/>
    <w:rsid w:val="00C33E42"/>
    <w:rsid w:val="00C3456F"/>
    <w:rsid w:val="00C348A1"/>
    <w:rsid w:val="00C35B6C"/>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578"/>
    <w:rsid w:val="00CA1B2C"/>
    <w:rsid w:val="00CA1B42"/>
    <w:rsid w:val="00CA25EB"/>
    <w:rsid w:val="00CA2DB4"/>
    <w:rsid w:val="00CA3D08"/>
    <w:rsid w:val="00CA3DB0"/>
    <w:rsid w:val="00CA3EBF"/>
    <w:rsid w:val="00CA43C3"/>
    <w:rsid w:val="00CA475E"/>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458"/>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59A"/>
    <w:rsid w:val="00CD270B"/>
    <w:rsid w:val="00CD2886"/>
    <w:rsid w:val="00CD29C6"/>
    <w:rsid w:val="00CD2D0E"/>
    <w:rsid w:val="00CD3050"/>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1EF2"/>
    <w:rsid w:val="00D4211C"/>
    <w:rsid w:val="00D428CD"/>
    <w:rsid w:val="00D43AD5"/>
    <w:rsid w:val="00D43F7E"/>
    <w:rsid w:val="00D448E4"/>
    <w:rsid w:val="00D453BD"/>
    <w:rsid w:val="00D46E58"/>
    <w:rsid w:val="00D47A9B"/>
    <w:rsid w:val="00D50143"/>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766"/>
    <w:rsid w:val="00D64846"/>
    <w:rsid w:val="00D649BD"/>
    <w:rsid w:val="00D65324"/>
    <w:rsid w:val="00D66F2E"/>
    <w:rsid w:val="00D6747B"/>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9B7"/>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445"/>
    <w:rsid w:val="00DE5EE3"/>
    <w:rsid w:val="00DE6BAF"/>
    <w:rsid w:val="00DE6E8A"/>
    <w:rsid w:val="00DF1438"/>
    <w:rsid w:val="00DF1AEE"/>
    <w:rsid w:val="00DF1D19"/>
    <w:rsid w:val="00DF231F"/>
    <w:rsid w:val="00DF28C4"/>
    <w:rsid w:val="00DF2D5C"/>
    <w:rsid w:val="00DF40D6"/>
    <w:rsid w:val="00DF412D"/>
    <w:rsid w:val="00DF41C1"/>
    <w:rsid w:val="00DF4414"/>
    <w:rsid w:val="00DF44D6"/>
    <w:rsid w:val="00DF4C28"/>
    <w:rsid w:val="00DF50E2"/>
    <w:rsid w:val="00DF650B"/>
    <w:rsid w:val="00DF6CFE"/>
    <w:rsid w:val="00DF791F"/>
    <w:rsid w:val="00DF7A08"/>
    <w:rsid w:val="00DF7CCE"/>
    <w:rsid w:val="00E0012D"/>
    <w:rsid w:val="00E00F90"/>
    <w:rsid w:val="00E017EB"/>
    <w:rsid w:val="00E01D0D"/>
    <w:rsid w:val="00E02358"/>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17DD5"/>
    <w:rsid w:val="00E212FF"/>
    <w:rsid w:val="00E2194E"/>
    <w:rsid w:val="00E23051"/>
    <w:rsid w:val="00E2319F"/>
    <w:rsid w:val="00E237BD"/>
    <w:rsid w:val="00E237F9"/>
    <w:rsid w:val="00E23993"/>
    <w:rsid w:val="00E23EEA"/>
    <w:rsid w:val="00E23EF2"/>
    <w:rsid w:val="00E242F3"/>
    <w:rsid w:val="00E24AD7"/>
    <w:rsid w:val="00E24FF2"/>
    <w:rsid w:val="00E26F95"/>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3C51"/>
    <w:rsid w:val="00E44139"/>
    <w:rsid w:val="00E44693"/>
    <w:rsid w:val="00E4493F"/>
    <w:rsid w:val="00E44AE5"/>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85D"/>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1D4"/>
    <w:rsid w:val="00E8155F"/>
    <w:rsid w:val="00E81793"/>
    <w:rsid w:val="00E81D1D"/>
    <w:rsid w:val="00E826A9"/>
    <w:rsid w:val="00E82767"/>
    <w:rsid w:val="00E84B11"/>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2A0A"/>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8C3"/>
    <w:rsid w:val="00EF00B0"/>
    <w:rsid w:val="00EF0477"/>
    <w:rsid w:val="00EF048F"/>
    <w:rsid w:val="00EF0E0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89A"/>
    <w:rsid w:val="00F278CE"/>
    <w:rsid w:val="00F3047A"/>
    <w:rsid w:val="00F30917"/>
    <w:rsid w:val="00F30A12"/>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C8E"/>
    <w:rsid w:val="00F74DAA"/>
    <w:rsid w:val="00F7513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794C"/>
    <w:rsid w:val="00FC0AB5"/>
    <w:rsid w:val="00FC11B3"/>
    <w:rsid w:val="00FC1434"/>
    <w:rsid w:val="00FC1FF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6EE0"/>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4A3F"/>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2.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3.xml><?xml version="1.0" encoding="utf-8"?>
<ds:datastoreItem xmlns:ds="http://schemas.openxmlformats.org/officeDocument/2006/customXml" ds:itemID="{AE7B71EA-3599-4C5C-A713-E71F8CC8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853</Words>
  <Characters>4864</Characters>
  <Application>Microsoft Office Word</Application>
  <DocSecurity>0</DocSecurity>
  <Lines>40</Lines>
  <Paragraphs>11</Paragraphs>
  <ScaleCrop>false</ScaleCrop>
  <Company>Alcatel-Lucent</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16</cp:revision>
  <cp:lastPrinted>2009-09-26T16:02:00Z</cp:lastPrinted>
  <dcterms:created xsi:type="dcterms:W3CDTF">2023-05-11T15:19:00Z</dcterms:created>
  <dcterms:modified xsi:type="dcterms:W3CDTF">2023-05-11T15:41:00Z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