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73CAA" w14:textId="5430EAF4" w:rsidR="004A3C60" w:rsidRDefault="20F19E48" w:rsidP="65C22089">
      <w:pPr>
        <w:pStyle w:val="CRCoverPage"/>
        <w:tabs>
          <w:tab w:val="right" w:pos="9639"/>
        </w:tabs>
        <w:rPr>
          <w:rFonts w:cs="Arial"/>
          <w:b/>
          <w:bCs/>
          <w:color w:val="808080"/>
          <w:sz w:val="26"/>
          <w:szCs w:val="26"/>
        </w:rPr>
      </w:pPr>
      <w:r w:rsidRPr="65C22089">
        <w:rPr>
          <w:rFonts w:eastAsia="Arial" w:cs="Arial"/>
          <w:b/>
          <w:bCs/>
          <w:color w:val="000000" w:themeColor="text1"/>
          <w:sz w:val="24"/>
          <w:szCs w:val="24"/>
        </w:rPr>
        <w:t>3GPP TSG-RAN WG2 Meeting #1</w:t>
      </w:r>
      <w:r w:rsidR="002331B5">
        <w:rPr>
          <w:rFonts w:eastAsia="Arial" w:cs="Arial"/>
          <w:b/>
          <w:bCs/>
          <w:color w:val="000000" w:themeColor="text1"/>
          <w:sz w:val="24"/>
          <w:szCs w:val="24"/>
        </w:rPr>
        <w:t>2</w:t>
      </w:r>
      <w:r w:rsidR="00B51EA9">
        <w:rPr>
          <w:rFonts w:eastAsia="Arial" w:cs="Arial"/>
          <w:b/>
          <w:bCs/>
          <w:color w:val="000000" w:themeColor="text1"/>
          <w:sz w:val="24"/>
          <w:szCs w:val="24"/>
        </w:rPr>
        <w:t>2</w:t>
      </w:r>
      <w:r>
        <w:tab/>
      </w:r>
      <w:r w:rsidR="00436645" w:rsidRPr="00436645">
        <w:rPr>
          <w:rFonts w:eastAsia="Arial" w:cs="Arial"/>
          <w:b/>
          <w:bCs/>
          <w:color w:val="000000" w:themeColor="text1"/>
          <w:sz w:val="24"/>
          <w:szCs w:val="24"/>
        </w:rPr>
        <w:t>R2-2305461</w:t>
      </w:r>
    </w:p>
    <w:p w14:paraId="78908895" w14:textId="20F9D730" w:rsidR="20F19E48" w:rsidRDefault="00436645" w:rsidP="65C22089">
      <w:pPr>
        <w:pStyle w:val="CRCoverPage"/>
        <w:tabs>
          <w:tab w:val="right" w:pos="9639"/>
        </w:tabs>
        <w:rPr>
          <w:rFonts w:eastAsia="Arial" w:cs="Arial"/>
          <w:color w:val="000000" w:themeColor="text1"/>
          <w:sz w:val="24"/>
          <w:szCs w:val="24"/>
        </w:rPr>
      </w:pPr>
      <w:r>
        <w:rPr>
          <w:rFonts w:eastAsia="Arial" w:cs="Arial"/>
          <w:b/>
          <w:bCs/>
          <w:color w:val="000000" w:themeColor="text1"/>
          <w:sz w:val="24"/>
          <w:szCs w:val="24"/>
        </w:rPr>
        <w:t xml:space="preserve">Incheon, South Korea, </w:t>
      </w:r>
      <w:r w:rsidR="00B51EA9">
        <w:rPr>
          <w:rFonts w:eastAsia="Arial" w:cs="Arial"/>
          <w:b/>
          <w:bCs/>
          <w:color w:val="000000" w:themeColor="text1"/>
          <w:sz w:val="24"/>
          <w:szCs w:val="24"/>
        </w:rPr>
        <w:t>May</w:t>
      </w:r>
      <w:r w:rsidR="002331B5" w:rsidRPr="65C22089">
        <w:rPr>
          <w:rFonts w:eastAsia="Arial" w:cs="Arial"/>
          <w:b/>
          <w:bCs/>
          <w:color w:val="000000" w:themeColor="text1"/>
          <w:sz w:val="24"/>
          <w:szCs w:val="24"/>
        </w:rPr>
        <w:t xml:space="preserve"> </w:t>
      </w:r>
      <w:r w:rsidR="00B51EA9">
        <w:rPr>
          <w:rFonts w:eastAsia="Arial" w:cs="Arial"/>
          <w:b/>
          <w:bCs/>
          <w:color w:val="000000" w:themeColor="text1"/>
          <w:sz w:val="24"/>
          <w:szCs w:val="24"/>
        </w:rPr>
        <w:t>22</w:t>
      </w:r>
      <w:r w:rsidR="20F19E48" w:rsidRPr="65C22089">
        <w:rPr>
          <w:rFonts w:eastAsia="Arial" w:cs="Arial"/>
          <w:b/>
          <w:bCs/>
          <w:color w:val="000000" w:themeColor="text1"/>
          <w:sz w:val="24"/>
          <w:szCs w:val="24"/>
        </w:rPr>
        <w:t>-</w:t>
      </w:r>
      <w:r w:rsidR="002331B5">
        <w:rPr>
          <w:rFonts w:eastAsia="Arial" w:cs="Arial"/>
          <w:b/>
          <w:bCs/>
          <w:color w:val="000000" w:themeColor="text1"/>
          <w:sz w:val="24"/>
          <w:szCs w:val="24"/>
        </w:rPr>
        <w:t>26</w:t>
      </w:r>
      <w:r w:rsidR="20F19E48" w:rsidRPr="65C22089">
        <w:rPr>
          <w:rFonts w:eastAsia="Arial" w:cs="Arial"/>
          <w:b/>
          <w:bCs/>
          <w:color w:val="000000" w:themeColor="text1"/>
          <w:sz w:val="24"/>
          <w:szCs w:val="24"/>
        </w:rPr>
        <w:t>, 202</w:t>
      </w:r>
      <w:r>
        <w:rPr>
          <w:rFonts w:eastAsia="Arial" w:cs="Arial"/>
          <w:b/>
          <w:bCs/>
          <w:color w:val="000000" w:themeColor="text1"/>
          <w:sz w:val="24"/>
          <w:szCs w:val="24"/>
        </w:rPr>
        <w:t>3</w:t>
      </w:r>
      <w:r w:rsidR="20F19E48">
        <w:tab/>
      </w:r>
    </w:p>
    <w:p w14:paraId="4ED577C9" w14:textId="6924B3F4" w:rsidR="65C22089" w:rsidRDefault="65C22089" w:rsidP="65C22089">
      <w:pPr>
        <w:widowControl w:val="0"/>
        <w:tabs>
          <w:tab w:val="center" w:pos="4536"/>
          <w:tab w:val="right" w:pos="9072"/>
        </w:tabs>
        <w:spacing w:after="0"/>
        <w:ind w:rightChars="-212" w:right="-424"/>
        <w:jc w:val="both"/>
        <w:rPr>
          <w:rFonts w:eastAsia="Times New Roman"/>
          <w:b/>
          <w:bCs/>
          <w:i/>
          <w:iCs/>
          <w:color w:val="000000" w:themeColor="text1"/>
          <w:sz w:val="24"/>
          <w:szCs w:val="24"/>
        </w:rPr>
      </w:pPr>
    </w:p>
    <w:p w14:paraId="7FE7C5C0" w14:textId="410F54A4"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Source: </w:t>
      </w:r>
      <w:r>
        <w:tab/>
      </w:r>
      <w:r w:rsidRPr="65C22089">
        <w:rPr>
          <w:rFonts w:ascii="Arial" w:eastAsia="Arial" w:hAnsi="Arial" w:cs="Arial"/>
          <w:b/>
          <w:bCs/>
          <w:color w:val="000000" w:themeColor="text1"/>
          <w:sz w:val="22"/>
          <w:szCs w:val="22"/>
        </w:rPr>
        <w:t>Vodafone</w:t>
      </w:r>
    </w:p>
    <w:p w14:paraId="430D8A75" w14:textId="3BC34EC3" w:rsidR="20F19E48" w:rsidRDefault="20F19E48" w:rsidP="00E74845">
      <w:pPr>
        <w:ind w:left="1416" w:hanging="1416"/>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 xml:space="preserve">Title: </w:t>
      </w:r>
      <w:r>
        <w:tab/>
      </w:r>
      <w:r w:rsidR="007954AD">
        <w:rPr>
          <w:rFonts w:ascii="Arial" w:eastAsia="Arial" w:hAnsi="Arial" w:cs="Arial"/>
          <w:b/>
          <w:bCs/>
          <w:color w:val="000000" w:themeColor="text1"/>
          <w:sz w:val="22"/>
          <w:szCs w:val="22"/>
        </w:rPr>
        <w:t>Triggering conditions</w:t>
      </w:r>
      <w:r w:rsidR="00E74845">
        <w:rPr>
          <w:rFonts w:ascii="Arial" w:eastAsia="Arial" w:hAnsi="Arial" w:cs="Arial"/>
          <w:b/>
          <w:bCs/>
          <w:color w:val="000000" w:themeColor="text1"/>
          <w:sz w:val="22"/>
          <w:szCs w:val="22"/>
        </w:rPr>
        <w:t xml:space="preserve"> and other aspects of the Handover to/from DTX/DRX cells</w:t>
      </w:r>
    </w:p>
    <w:p w14:paraId="6DADB476" w14:textId="78535655" w:rsidR="20F19E48" w:rsidRDefault="20F19E48" w:rsidP="65C22089">
      <w:pPr>
        <w:rPr>
          <w:rFonts w:ascii="Arial" w:eastAsia="Arial" w:hAnsi="Arial" w:cs="Arial"/>
          <w:color w:val="000000" w:themeColor="text1"/>
          <w:sz w:val="22"/>
          <w:szCs w:val="22"/>
        </w:rPr>
      </w:pPr>
      <w:r w:rsidRPr="65C22089">
        <w:rPr>
          <w:rFonts w:ascii="Arial" w:eastAsia="Arial" w:hAnsi="Arial" w:cs="Arial"/>
          <w:b/>
          <w:bCs/>
          <w:color w:val="000000" w:themeColor="text1"/>
          <w:sz w:val="22"/>
          <w:szCs w:val="22"/>
        </w:rPr>
        <w:t>Document for: Decision</w:t>
      </w:r>
    </w:p>
    <w:p w14:paraId="27BA233C" w14:textId="4210400C" w:rsidR="20F19E48" w:rsidRDefault="20F19E48" w:rsidP="65C22089">
      <w:pPr>
        <w:pBdr>
          <w:bottom w:val="single" w:sz="6" w:space="1" w:color="auto"/>
        </w:pBdr>
        <w:rPr>
          <w:rFonts w:ascii="Arial" w:eastAsia="Arial" w:hAnsi="Arial" w:cs="Arial"/>
          <w:b/>
          <w:bCs/>
          <w:color w:val="000000" w:themeColor="text1"/>
          <w:sz w:val="22"/>
          <w:szCs w:val="22"/>
        </w:rPr>
      </w:pPr>
      <w:r w:rsidRPr="65C22089">
        <w:rPr>
          <w:rFonts w:ascii="Arial" w:eastAsia="Arial" w:hAnsi="Arial" w:cs="Arial"/>
          <w:b/>
          <w:bCs/>
          <w:color w:val="000000" w:themeColor="text1"/>
          <w:sz w:val="22"/>
          <w:szCs w:val="22"/>
        </w:rPr>
        <w:t xml:space="preserve">Agenda Item: </w:t>
      </w:r>
      <w:r w:rsidR="00436645">
        <w:rPr>
          <w:rFonts w:ascii="Arial" w:eastAsia="Arial" w:hAnsi="Arial" w:cs="Arial"/>
          <w:b/>
          <w:bCs/>
          <w:color w:val="000000" w:themeColor="text1"/>
          <w:sz w:val="22"/>
          <w:szCs w:val="22"/>
        </w:rPr>
        <w:t>7.3.5</w:t>
      </w:r>
    </w:p>
    <w:p w14:paraId="1E525DA0" w14:textId="77777777" w:rsidR="009946A0" w:rsidRDefault="009946A0" w:rsidP="65C22089">
      <w:pPr>
        <w:pBdr>
          <w:bottom w:val="single" w:sz="6" w:space="1" w:color="auto"/>
        </w:pBdr>
        <w:rPr>
          <w:rFonts w:ascii="Arial" w:eastAsia="Arial" w:hAnsi="Arial" w:cs="Arial"/>
          <w:color w:val="000000" w:themeColor="text1"/>
          <w:sz w:val="22"/>
          <w:szCs w:val="22"/>
        </w:rPr>
      </w:pPr>
    </w:p>
    <w:p w14:paraId="4757BA7C" w14:textId="43C47CAC" w:rsidR="00B51EA9" w:rsidRDefault="00B51EA9" w:rsidP="00B51EA9">
      <w:pPr>
        <w:rPr>
          <w:rFonts w:ascii="Arial" w:hAnsi="Arial"/>
          <w:b/>
          <w:bCs/>
          <w:sz w:val="22"/>
          <w:szCs w:val="22"/>
        </w:rPr>
      </w:pPr>
      <w:r w:rsidRPr="00B51EA9">
        <w:rPr>
          <w:rFonts w:ascii="Arial" w:hAnsi="Arial"/>
          <w:b/>
          <w:bCs/>
          <w:sz w:val="22"/>
          <w:szCs w:val="22"/>
        </w:rPr>
        <w:t>Introduction</w:t>
      </w:r>
    </w:p>
    <w:p w14:paraId="63EFAC3F" w14:textId="13809D41" w:rsidR="00B51EA9" w:rsidRPr="00B51EA9" w:rsidRDefault="00B51EA9" w:rsidP="00B51EA9">
      <w:pPr>
        <w:rPr>
          <w:rFonts w:ascii="Arial" w:hAnsi="Arial"/>
          <w:b/>
          <w:bCs/>
          <w:sz w:val="22"/>
          <w:szCs w:val="22"/>
        </w:rPr>
      </w:pPr>
      <w:r>
        <w:rPr>
          <w:rFonts w:ascii="Arial" w:hAnsi="Arial"/>
          <w:b/>
          <w:bCs/>
          <w:sz w:val="22"/>
          <w:szCs w:val="22"/>
        </w:rPr>
        <w:t>During the last RAN WG2 online meeting in April 2023, RAN WG2 agreed:</w:t>
      </w:r>
    </w:p>
    <w:p w14:paraId="1F7BAE12" w14:textId="77777777" w:rsidR="00B51EA9" w:rsidRPr="00B51EA9" w:rsidRDefault="00B51EA9" w:rsidP="00B51EA9">
      <w:pPr>
        <w:pStyle w:val="Agreement"/>
        <w:numPr>
          <w:ilvl w:val="0"/>
          <w:numId w:val="23"/>
        </w:numPr>
        <w:rPr>
          <w:b w:val="0"/>
          <w:bCs w:val="0"/>
          <w:lang w:val="en-US"/>
        </w:rPr>
      </w:pPr>
      <w:r w:rsidRPr="00B51EA9">
        <w:rPr>
          <w:b w:val="0"/>
          <w:bCs w:val="0"/>
          <w:lang w:val="en-US"/>
        </w:rPr>
        <w:t>RAN2 agree to make enhancement in CHO procedure based on that the source cell entering “NES mode”.  FFS further details</w:t>
      </w:r>
    </w:p>
    <w:p w14:paraId="66D19C03" w14:textId="77777777" w:rsidR="00B51EA9" w:rsidRPr="00B51EA9" w:rsidRDefault="00B51EA9" w:rsidP="00B51EA9">
      <w:pPr>
        <w:pStyle w:val="Agreement"/>
        <w:numPr>
          <w:ilvl w:val="0"/>
          <w:numId w:val="23"/>
        </w:numPr>
        <w:rPr>
          <w:b w:val="0"/>
          <w:bCs w:val="0"/>
          <w:lang w:val="en-US"/>
        </w:rPr>
      </w:pPr>
      <w:r w:rsidRPr="00B51EA9">
        <w:rPr>
          <w:b w:val="0"/>
          <w:bCs w:val="0"/>
          <w:lang w:val="en-US"/>
        </w:rPr>
        <w:t>For source cell CHO framework, RAN2 assumes a reference scenario where the UE has already performed CHO conditions evaluation by the time the source cell starts some “NES-mode”</w:t>
      </w:r>
    </w:p>
    <w:p w14:paraId="125B1721" w14:textId="77777777" w:rsidR="00B51EA9" w:rsidRPr="00B51EA9" w:rsidRDefault="00B51EA9" w:rsidP="00B51EA9">
      <w:pPr>
        <w:pStyle w:val="Agreement"/>
        <w:numPr>
          <w:ilvl w:val="0"/>
          <w:numId w:val="23"/>
        </w:numPr>
        <w:rPr>
          <w:b w:val="0"/>
          <w:bCs w:val="0"/>
        </w:rPr>
      </w:pPr>
      <w:r w:rsidRPr="00B51EA9">
        <w:rPr>
          <w:b w:val="0"/>
          <w:bCs w:val="0"/>
          <w:lang w:val="en-US"/>
        </w:rPr>
        <w:t xml:space="preserve">As a baseline, UE initiates CHO evaluation upon receiving the CHO configuration.  </w:t>
      </w:r>
      <w:r w:rsidRPr="00B51EA9">
        <w:rPr>
          <w:b w:val="0"/>
          <w:bCs w:val="0"/>
        </w:rPr>
        <w:t>FFS what trigger is used for execution of CHO</w:t>
      </w:r>
    </w:p>
    <w:p w14:paraId="4F990042" w14:textId="77777777" w:rsidR="00B51EA9" w:rsidRDefault="00B51EA9" w:rsidP="00B51EA9">
      <w:pPr>
        <w:pStyle w:val="Doc-title"/>
        <w:rPr>
          <w:lang w:val="en-US"/>
        </w:rPr>
      </w:pPr>
    </w:p>
    <w:p w14:paraId="79373DDD" w14:textId="285B3F52" w:rsidR="00B51EA9" w:rsidRDefault="00B51EA9" w:rsidP="00B51EA9">
      <w:pPr>
        <w:pStyle w:val="Doc-title"/>
        <w:rPr>
          <w:lang w:val="en-US"/>
        </w:rPr>
      </w:pPr>
      <w:r w:rsidRPr="00B51EA9">
        <w:rPr>
          <w:lang w:val="en-US"/>
        </w:rPr>
        <w:t>The aim of this paper is to describe what are the functionalities needed to enhance CHO for two</w:t>
      </w:r>
    </w:p>
    <w:p w14:paraId="2CC222F6" w14:textId="56864CA5" w:rsidR="00B51EA9" w:rsidRPr="00B51EA9" w:rsidRDefault="00B51EA9" w:rsidP="00B51EA9">
      <w:pPr>
        <w:pStyle w:val="Doc-title"/>
        <w:rPr>
          <w:lang w:val="en-US"/>
        </w:rPr>
      </w:pPr>
      <w:r w:rsidRPr="00B51EA9">
        <w:rPr>
          <w:lang w:val="en-US"/>
        </w:rPr>
        <w:t>different cases (the source cell is going to switch off and the source cell is going into DTX/DRX mode)</w:t>
      </w:r>
    </w:p>
    <w:p w14:paraId="18D6507B" w14:textId="481D7299" w:rsidR="005E018D" w:rsidRPr="00554B22" w:rsidRDefault="0064521D" w:rsidP="009D609A">
      <w:pPr>
        <w:pStyle w:val="berschrift2"/>
        <w:rPr>
          <w:rFonts w:eastAsiaTheme="minorEastAsia"/>
          <w:b/>
          <w:bCs/>
          <w:sz w:val="22"/>
          <w:szCs w:val="22"/>
        </w:rPr>
      </w:pPr>
      <w:r w:rsidRPr="00554B22">
        <w:rPr>
          <w:rFonts w:eastAsiaTheme="minorEastAsia"/>
          <w:b/>
          <w:bCs/>
          <w:sz w:val="22"/>
          <w:szCs w:val="22"/>
        </w:rPr>
        <w:t>Discussion</w:t>
      </w:r>
    </w:p>
    <w:p w14:paraId="310D7187" w14:textId="71792B6D" w:rsidR="00B51EA9" w:rsidRDefault="00F01F6D" w:rsidP="00C71848">
      <w:pPr>
        <w:pStyle w:val="berschrift2"/>
        <w:rPr>
          <w:rFonts w:eastAsiaTheme="minorEastAsia"/>
          <w:b/>
          <w:bCs/>
          <w:sz w:val="22"/>
          <w:szCs w:val="22"/>
        </w:rPr>
      </w:pPr>
      <w:r>
        <w:rPr>
          <w:rFonts w:eastAsiaTheme="minorEastAsia"/>
          <w:b/>
          <w:bCs/>
          <w:sz w:val="22"/>
          <w:szCs w:val="22"/>
        </w:rPr>
        <w:t xml:space="preserve">Source </w:t>
      </w:r>
      <w:r w:rsidR="00B51EA9">
        <w:rPr>
          <w:rFonts w:eastAsiaTheme="minorEastAsia"/>
          <w:b/>
          <w:bCs/>
          <w:sz w:val="22"/>
          <w:szCs w:val="22"/>
        </w:rPr>
        <w:t>Cell is going to switch off case</w:t>
      </w:r>
    </w:p>
    <w:p w14:paraId="1E3F02BE" w14:textId="13994A23" w:rsidR="00F01F6D" w:rsidRDefault="00B51EA9" w:rsidP="00B51EA9">
      <w:r>
        <w:t>In case operator decided to switch off the cell and legacy CHO conditions are not satisfied by the time, the cell is off, the UEs would lose the coverage and would try to re-establish connection which might be a big disadvantage from a service and UE battery point of view. For this case, the operator aims to distribute all connected mobiles to other cells as it makes no sense to keep a portion of it in the cell which is going to be switched off and as a consequence, there is no need to provide any additional evaluation criteria for the case</w:t>
      </w:r>
      <w:r w:rsidR="005B6A18">
        <w:t>, where the</w:t>
      </w:r>
      <w:r>
        <w:t xml:space="preserve"> source cell is going to be switched off</w:t>
      </w:r>
      <w:r w:rsidR="00F01F6D">
        <w:t>.</w:t>
      </w:r>
    </w:p>
    <w:p w14:paraId="1E452836" w14:textId="1AD7EFB0" w:rsidR="00B51EA9" w:rsidRPr="00B51EA9" w:rsidRDefault="00F01F6D" w:rsidP="00B51EA9">
      <w:r>
        <w:t>Proposal 1: For the case the “</w:t>
      </w:r>
      <w:r w:rsidRPr="00F01F6D">
        <w:t xml:space="preserve">Source Cell is going to </w:t>
      </w:r>
      <w:r w:rsidR="00410727">
        <w:t xml:space="preserve">be </w:t>
      </w:r>
      <w:r w:rsidRPr="00F01F6D">
        <w:t>switch</w:t>
      </w:r>
      <w:r w:rsidR="00410727">
        <w:t>ed</w:t>
      </w:r>
      <w:r w:rsidRPr="00F01F6D">
        <w:t xml:space="preserve"> off”</w:t>
      </w:r>
      <w:r w:rsidR="00606BC9">
        <w:t>,</w:t>
      </w:r>
      <w:r w:rsidRPr="00F01F6D">
        <w:t xml:space="preserve"> no new CHO evaluation conditions</w:t>
      </w:r>
      <w:r w:rsidR="00B51EA9">
        <w:t xml:space="preserve"> </w:t>
      </w:r>
      <w:r w:rsidR="00B918F1">
        <w:t xml:space="preserve">associated with the cell going to be switched off </w:t>
      </w:r>
      <w:r>
        <w:t>are needed.</w:t>
      </w:r>
      <w:r w:rsidR="00B51EA9">
        <w:t xml:space="preserve"> </w:t>
      </w:r>
    </w:p>
    <w:p w14:paraId="1BAD493A" w14:textId="19150ACF" w:rsidR="00B51EA9" w:rsidRDefault="00F01F6D" w:rsidP="00C71848">
      <w:pPr>
        <w:pStyle w:val="berschrift2"/>
        <w:rPr>
          <w:rFonts w:eastAsiaTheme="minorEastAsia"/>
          <w:b/>
          <w:bCs/>
          <w:sz w:val="22"/>
          <w:szCs w:val="22"/>
        </w:rPr>
      </w:pPr>
      <w:r>
        <w:rPr>
          <w:rFonts w:eastAsiaTheme="minorEastAsia"/>
          <w:b/>
          <w:bCs/>
          <w:sz w:val="22"/>
          <w:szCs w:val="22"/>
        </w:rPr>
        <w:t xml:space="preserve">Trigger of HO execution in case “Source Cell is going to </w:t>
      </w:r>
      <w:r w:rsidR="00856918">
        <w:rPr>
          <w:rFonts w:eastAsiaTheme="minorEastAsia"/>
          <w:b/>
          <w:bCs/>
          <w:sz w:val="22"/>
          <w:szCs w:val="22"/>
        </w:rPr>
        <w:t xml:space="preserve">be </w:t>
      </w:r>
      <w:r>
        <w:rPr>
          <w:rFonts w:eastAsiaTheme="minorEastAsia"/>
          <w:b/>
          <w:bCs/>
          <w:sz w:val="22"/>
          <w:szCs w:val="22"/>
        </w:rPr>
        <w:t>switch</w:t>
      </w:r>
      <w:r w:rsidR="00856918">
        <w:rPr>
          <w:rFonts w:eastAsiaTheme="minorEastAsia"/>
          <w:b/>
          <w:bCs/>
          <w:sz w:val="22"/>
          <w:szCs w:val="22"/>
        </w:rPr>
        <w:t>ed</w:t>
      </w:r>
      <w:r>
        <w:rPr>
          <w:rFonts w:eastAsiaTheme="minorEastAsia"/>
          <w:b/>
          <w:bCs/>
          <w:sz w:val="22"/>
          <w:szCs w:val="22"/>
        </w:rPr>
        <w:t xml:space="preserve"> off”</w:t>
      </w:r>
    </w:p>
    <w:p w14:paraId="434A4826" w14:textId="0B27CBAB" w:rsidR="00B51EA9" w:rsidRDefault="00F01F6D" w:rsidP="00F01F6D">
      <w:r w:rsidRPr="00F01F6D">
        <w:t>The easiest way to trigger the CHO in this case is to have a broadcast signalling upon which the UEs are allowed</w:t>
      </w:r>
      <w:r>
        <w:t xml:space="preserve"> </w:t>
      </w:r>
      <w:r w:rsidRPr="00F01F6D">
        <w:t>to execute the handover to one of the cells configured for CHO with the best RSRP level</w:t>
      </w:r>
      <w:r>
        <w:t>. Operator would normally switch off the BSs for longer time and might be able to wait a few seconds before switching off, therefore we believe RRC (e.g. SIB) might be a good way to implement the trigger.</w:t>
      </w:r>
    </w:p>
    <w:p w14:paraId="65CF50CA" w14:textId="4272D706" w:rsidR="00231F00" w:rsidRPr="00F01F6D" w:rsidRDefault="00231F00" w:rsidP="00231F00">
      <w:r>
        <w:t>Proposal 2: T</w:t>
      </w:r>
      <w:r w:rsidRPr="00F01F6D">
        <w:t>o trigger the CHO</w:t>
      </w:r>
      <w:r>
        <w:t xml:space="preserve"> in case of </w:t>
      </w:r>
      <w:r w:rsidRPr="00F01F6D">
        <w:t xml:space="preserve">Source Cell is going to </w:t>
      </w:r>
      <w:r>
        <w:t xml:space="preserve">be </w:t>
      </w:r>
      <w:r w:rsidRPr="00F01F6D">
        <w:t>switch</w:t>
      </w:r>
      <w:r>
        <w:t>ed</w:t>
      </w:r>
      <w:r w:rsidRPr="00F01F6D">
        <w:t xml:space="preserve"> off, broadcast signalling is used</w:t>
      </w:r>
    </w:p>
    <w:p w14:paraId="60A42515" w14:textId="4AAFD9BF" w:rsidR="00F01F6D" w:rsidRDefault="00F01F6D" w:rsidP="00F01F6D">
      <w:r w:rsidRPr="00F01F6D">
        <w:t xml:space="preserve">Proposal </w:t>
      </w:r>
      <w:r w:rsidR="00231F00">
        <w:t>3</w:t>
      </w:r>
      <w:r w:rsidRPr="00F01F6D">
        <w:t xml:space="preserve">: </w:t>
      </w:r>
      <w:r>
        <w:t>T</w:t>
      </w:r>
      <w:r w:rsidRPr="00F01F6D">
        <w:t>o trigger the CHO</w:t>
      </w:r>
      <w:r>
        <w:t xml:space="preserve"> in case of </w:t>
      </w:r>
      <w:r w:rsidRPr="00F01F6D">
        <w:t xml:space="preserve">Source Cell is going to </w:t>
      </w:r>
      <w:r w:rsidR="000F40BF">
        <w:t xml:space="preserve">be </w:t>
      </w:r>
      <w:r w:rsidRPr="00F01F6D">
        <w:t>switch</w:t>
      </w:r>
      <w:r w:rsidR="000F40BF">
        <w:t>ed</w:t>
      </w:r>
      <w:r w:rsidRPr="00F01F6D">
        <w:t xml:space="preserve"> off, RRC signalling is used</w:t>
      </w:r>
    </w:p>
    <w:p w14:paraId="42F20156" w14:textId="77777777" w:rsidR="00B918F1" w:rsidRDefault="00B918F1" w:rsidP="00C71848">
      <w:pPr>
        <w:pStyle w:val="berschrift2"/>
        <w:rPr>
          <w:rFonts w:eastAsiaTheme="minorEastAsia"/>
          <w:b/>
          <w:bCs/>
          <w:sz w:val="22"/>
          <w:szCs w:val="22"/>
        </w:rPr>
      </w:pPr>
      <w:r>
        <w:rPr>
          <w:rFonts w:eastAsiaTheme="minorEastAsia"/>
          <w:b/>
          <w:bCs/>
          <w:sz w:val="22"/>
          <w:szCs w:val="22"/>
        </w:rPr>
        <w:t>Timer based:</w:t>
      </w:r>
    </w:p>
    <w:p w14:paraId="1855E63A" w14:textId="77777777" w:rsidR="00B918F1" w:rsidRDefault="00B918F1" w:rsidP="00B918F1">
      <w:pPr>
        <w:rPr>
          <w:rFonts w:eastAsia="MS Mincho"/>
          <w:lang w:val="en-US" w:eastAsia="en-GB"/>
        </w:rPr>
      </w:pPr>
      <w:r w:rsidRPr="00B918F1">
        <w:rPr>
          <w:rFonts w:eastAsia="MS Mincho"/>
          <w:lang w:val="en-US" w:eastAsia="en-GB"/>
        </w:rPr>
        <w:t>In general, it might make sense to think if the trigger to execute CHO would also include the timer till when the UE has to execute handover. This might allow the UEs to use legacy CHO evaluation criteria a bit longer and execute one of the CHO configurations just before timer expires</w:t>
      </w:r>
      <w:r>
        <w:rPr>
          <w:rFonts w:eastAsia="MS Mincho"/>
          <w:lang w:val="en-US" w:eastAsia="en-GB"/>
        </w:rPr>
        <w:t>.</w:t>
      </w:r>
    </w:p>
    <w:p w14:paraId="13C56C39" w14:textId="1BC2940C" w:rsidR="00B51EA9" w:rsidRPr="00B918F1" w:rsidRDefault="00B918F1" w:rsidP="00B918F1">
      <w:pPr>
        <w:rPr>
          <w:rFonts w:eastAsia="MS Mincho"/>
          <w:lang w:val="en-US" w:eastAsia="en-GB"/>
        </w:rPr>
      </w:pPr>
      <w:r>
        <w:rPr>
          <w:rFonts w:eastAsia="MS Mincho"/>
          <w:lang w:val="en-US" w:eastAsia="en-GB"/>
        </w:rPr>
        <w:t xml:space="preserve">Proposal 4: It is proposed </w:t>
      </w:r>
      <w:r w:rsidR="00BD7C82">
        <w:rPr>
          <w:rFonts w:eastAsia="MS Mincho"/>
          <w:lang w:val="en-US" w:eastAsia="en-GB"/>
        </w:rPr>
        <w:t>to introduce a</w:t>
      </w:r>
      <w:r>
        <w:rPr>
          <w:rFonts w:eastAsia="MS Mincho"/>
          <w:lang w:val="en-US" w:eastAsia="en-GB"/>
        </w:rPr>
        <w:t xml:space="preserve"> timer to facilitate the UEs in case </w:t>
      </w:r>
      <w:r w:rsidRPr="00B918F1">
        <w:rPr>
          <w:rFonts w:eastAsia="MS Mincho"/>
          <w:lang w:val="en-US" w:eastAsia="en-GB"/>
        </w:rPr>
        <w:t xml:space="preserve"> </w:t>
      </w:r>
      <w:r w:rsidRPr="00F01F6D">
        <w:t>Source Cell is going to switch off</w:t>
      </w:r>
      <w:r>
        <w:t>.</w:t>
      </w:r>
    </w:p>
    <w:p w14:paraId="201EC5B7" w14:textId="5FCED44E" w:rsidR="00B32D6B" w:rsidRDefault="00B32D6B" w:rsidP="00B32D6B">
      <w:pPr>
        <w:pStyle w:val="berschrift2"/>
        <w:rPr>
          <w:rFonts w:eastAsiaTheme="minorEastAsia"/>
          <w:b/>
          <w:bCs/>
          <w:sz w:val="22"/>
          <w:szCs w:val="22"/>
        </w:rPr>
      </w:pPr>
      <w:r>
        <w:rPr>
          <w:rFonts w:eastAsiaTheme="minorEastAsia"/>
          <w:b/>
          <w:bCs/>
          <w:sz w:val="22"/>
          <w:szCs w:val="22"/>
        </w:rPr>
        <w:lastRenderedPageBreak/>
        <w:t>Source Cell is going to activate cell DRX/DTX mode</w:t>
      </w:r>
    </w:p>
    <w:p w14:paraId="1CB38C28" w14:textId="4A75D161" w:rsidR="00B32D6B" w:rsidRPr="00B32D6B" w:rsidRDefault="00B32D6B" w:rsidP="00B32D6B">
      <w:r>
        <w:t>Below are some of the decisions RAN WG2 made during the last RAN WG2 meeting in April 2023:</w:t>
      </w:r>
    </w:p>
    <w:p w14:paraId="2254F6FE" w14:textId="77777777" w:rsidR="00B32D6B" w:rsidRPr="00B32D6B" w:rsidRDefault="00B32D6B" w:rsidP="00B32D6B">
      <w:pPr>
        <w:pStyle w:val="Agreement"/>
        <w:numPr>
          <w:ilvl w:val="0"/>
          <w:numId w:val="23"/>
        </w:numPr>
        <w:rPr>
          <w:b w:val="0"/>
          <w:bCs w:val="0"/>
          <w:lang w:val="en-US"/>
        </w:rPr>
      </w:pPr>
      <w:r w:rsidRPr="00B32D6B">
        <w:rPr>
          <w:b w:val="0"/>
          <w:bCs w:val="0"/>
          <w:lang w:val="en-US"/>
        </w:rPr>
        <w:t xml:space="preserve">As baseline, </w:t>
      </w:r>
      <w:r w:rsidRPr="00B32D6B">
        <w:rPr>
          <w:lang w:val="en-US"/>
        </w:rPr>
        <w:t>UE doesn’t monitor SPS occasions during Cell DTX non-active period</w:t>
      </w:r>
      <w:r w:rsidRPr="00B32D6B">
        <w:rPr>
          <w:b w:val="0"/>
          <w:bCs w:val="0"/>
          <w:lang w:val="en-US"/>
        </w:rPr>
        <w:t>. As baseline, gNB is assumed to be not transmitting PDSCH to that UE on such SPS occasions during the Cell DTX non-active period</w:t>
      </w:r>
    </w:p>
    <w:p w14:paraId="309432AF" w14:textId="77777777" w:rsidR="00B32D6B" w:rsidRPr="00B32D6B" w:rsidRDefault="00B32D6B" w:rsidP="00B32D6B">
      <w:pPr>
        <w:pStyle w:val="Agreement"/>
        <w:numPr>
          <w:ilvl w:val="0"/>
          <w:numId w:val="23"/>
        </w:numPr>
        <w:rPr>
          <w:lang w:val="en-US"/>
        </w:rPr>
      </w:pPr>
      <w:r w:rsidRPr="00B32D6B">
        <w:rPr>
          <w:b w:val="0"/>
          <w:bCs w:val="0"/>
          <w:lang w:val="en-US"/>
        </w:rPr>
        <w:t xml:space="preserve">As baseline, </w:t>
      </w:r>
      <w:r w:rsidRPr="00B32D6B">
        <w:rPr>
          <w:lang w:val="en-US"/>
        </w:rPr>
        <w:t>UE does not transmit on CG occasions during Cell DRX non-active periods</w:t>
      </w:r>
    </w:p>
    <w:p w14:paraId="40693732" w14:textId="15CA495E" w:rsidR="00B32D6B" w:rsidRDefault="00B32D6B" w:rsidP="00B32D6B">
      <w:pPr>
        <w:pStyle w:val="Agreement"/>
        <w:numPr>
          <w:ilvl w:val="0"/>
          <w:numId w:val="23"/>
        </w:numPr>
        <w:rPr>
          <w:b w:val="0"/>
          <w:bCs w:val="0"/>
          <w:lang w:val="en-US"/>
        </w:rPr>
      </w:pPr>
      <w:r w:rsidRPr="00B32D6B">
        <w:rPr>
          <w:b w:val="0"/>
          <w:bCs w:val="0"/>
          <w:lang w:val="en-US"/>
        </w:rPr>
        <w:t xml:space="preserve">As baseline, </w:t>
      </w:r>
      <w:r w:rsidRPr="00B32D6B">
        <w:rPr>
          <w:lang w:val="en-US"/>
        </w:rPr>
        <w:t>UE does not transmit SR occasions overlapping with Cell DRX non-active periods, e.g. SR transmissions are dropped during the non-active period</w:t>
      </w:r>
      <w:r w:rsidRPr="00B32D6B">
        <w:rPr>
          <w:b w:val="0"/>
          <w:bCs w:val="0"/>
          <w:lang w:val="en-US"/>
        </w:rPr>
        <w:t xml:space="preserve"> </w:t>
      </w:r>
    </w:p>
    <w:p w14:paraId="0C6D6B1A" w14:textId="77777777" w:rsidR="00B32D6B" w:rsidRPr="00B32D6B" w:rsidRDefault="00B32D6B" w:rsidP="00B32D6B">
      <w:pPr>
        <w:pStyle w:val="Agreement"/>
        <w:numPr>
          <w:ilvl w:val="0"/>
          <w:numId w:val="0"/>
        </w:numPr>
        <w:ind w:left="1619"/>
        <w:rPr>
          <w:b w:val="0"/>
          <w:bCs w:val="0"/>
          <w:lang w:val="en-US"/>
        </w:rPr>
      </w:pPr>
    </w:p>
    <w:p w14:paraId="2E910373" w14:textId="22CEB846" w:rsidR="008D46B6" w:rsidRDefault="00B32D6B" w:rsidP="00B32D6B">
      <w:pPr>
        <w:rPr>
          <w:lang w:val="en-US"/>
        </w:rPr>
      </w:pPr>
      <w:r>
        <w:rPr>
          <w:lang w:val="en-US"/>
        </w:rPr>
        <w:t>Based on these decisions,</w:t>
      </w:r>
      <w:r w:rsidR="008D46B6">
        <w:rPr>
          <w:lang w:val="en-US"/>
        </w:rPr>
        <w:t xml:space="preserve"> we believe</w:t>
      </w:r>
      <w:r>
        <w:rPr>
          <w:lang w:val="en-US"/>
        </w:rPr>
        <w:t xml:space="preserve"> the amount of UEs with real time traffic should be reduced before switching on cell DRX/DTX to allow the gNB to implement longer sleep periods, but also not to degrade the service. On the other hand we also agreed that legacy UEs can access the cell using cell DTX/DRX</w:t>
      </w:r>
      <w:r w:rsidR="008D46B6">
        <w:rPr>
          <w:lang w:val="en-US"/>
        </w:rPr>
        <w:t xml:space="preserve">. In other to achieve it, it would be beneficial to provide separate </w:t>
      </w:r>
      <w:r w:rsidR="00A91B06">
        <w:rPr>
          <w:lang w:val="en-US"/>
        </w:rPr>
        <w:t xml:space="preserve">CHO </w:t>
      </w:r>
      <w:r w:rsidR="008D46B6">
        <w:rPr>
          <w:lang w:val="en-US"/>
        </w:rPr>
        <w:t xml:space="preserve">configurations associated with cell DTX/DRX mode </w:t>
      </w:r>
      <w:r w:rsidR="003C74EF">
        <w:rPr>
          <w:lang w:val="en-US"/>
        </w:rPr>
        <w:t>or just an offset to the existing configuration.</w:t>
      </w:r>
    </w:p>
    <w:p w14:paraId="6C8FFF3A" w14:textId="3D632862" w:rsidR="008D46B6" w:rsidRDefault="008D46B6" w:rsidP="00B32D6B">
      <w:pPr>
        <w:rPr>
          <w:lang w:val="en-US"/>
        </w:rPr>
      </w:pPr>
      <w:r>
        <w:rPr>
          <w:lang w:val="en-US"/>
        </w:rPr>
        <w:t xml:space="preserve">Proposal 5: </w:t>
      </w:r>
      <w:r w:rsidR="003C74EF">
        <w:rPr>
          <w:lang w:val="en-US"/>
        </w:rPr>
        <w:t>It is proposed to discuss if a s</w:t>
      </w:r>
      <w:r>
        <w:rPr>
          <w:lang w:val="en-US"/>
        </w:rPr>
        <w:t xml:space="preserve">eparate CHO configurations associated with cell DRX/DTX mode </w:t>
      </w:r>
      <w:r w:rsidR="003C74EF">
        <w:rPr>
          <w:lang w:val="en-US"/>
        </w:rPr>
        <w:t xml:space="preserve">is needed or </w:t>
      </w:r>
      <w:r w:rsidR="00397A07">
        <w:rPr>
          <w:lang w:val="en-US"/>
        </w:rPr>
        <w:t>just an offset to the existing configuration is sufficient.</w:t>
      </w:r>
    </w:p>
    <w:p w14:paraId="412856EF" w14:textId="4EC0E3F4" w:rsidR="008D46B6" w:rsidRDefault="00E74781" w:rsidP="00B32D6B">
      <w:pPr>
        <w:rPr>
          <w:lang w:val="en-US"/>
        </w:rPr>
      </w:pPr>
      <w:r>
        <w:rPr>
          <w:lang w:val="en-US"/>
        </w:rPr>
        <w:t xml:space="preserve">Please note: </w:t>
      </w:r>
      <w:r w:rsidR="008D46B6">
        <w:rPr>
          <w:lang w:val="en-US"/>
        </w:rPr>
        <w:t xml:space="preserve">The target gNB knows about the QoS values of the traffic from a particular UE and could </w:t>
      </w:r>
      <w:r>
        <w:rPr>
          <w:lang w:val="en-US"/>
        </w:rPr>
        <w:t>provide such new CHO configurations for real time UEs only if this is a policy of an Operator.</w:t>
      </w:r>
    </w:p>
    <w:p w14:paraId="701FE939" w14:textId="234D174C" w:rsidR="00B32D6B" w:rsidRDefault="00E74781" w:rsidP="00C71848">
      <w:pPr>
        <w:pStyle w:val="berschrift2"/>
        <w:rPr>
          <w:rFonts w:eastAsiaTheme="minorEastAsia"/>
          <w:b/>
          <w:bCs/>
          <w:sz w:val="22"/>
          <w:szCs w:val="22"/>
        </w:rPr>
      </w:pPr>
      <w:r>
        <w:rPr>
          <w:rFonts w:eastAsiaTheme="minorEastAsia"/>
          <w:b/>
          <w:bCs/>
          <w:sz w:val="22"/>
          <w:szCs w:val="22"/>
        </w:rPr>
        <w:t>Trigger of HO execution in case cell DRX/DTX</w:t>
      </w:r>
    </w:p>
    <w:p w14:paraId="7CCD6CBD" w14:textId="77777777" w:rsidR="00E74781" w:rsidRDefault="00E74781" w:rsidP="00E74781">
      <w:r>
        <w:t>We believe that it would be sufficient to re-use broadcast RRC signalling to trigger the execution of additional CHO configuration associated with cell DRX/DTX. The same is applicable to the idea of usage of the timer till when the addition configuration need to be executed.</w:t>
      </w:r>
    </w:p>
    <w:p w14:paraId="66BF85CC" w14:textId="73BAFCB8" w:rsidR="00E74781" w:rsidRDefault="00E74781" w:rsidP="00E74781">
      <w:pPr>
        <w:rPr>
          <w:rFonts w:ascii="Arial" w:hAnsi="Arial"/>
          <w:b/>
          <w:bCs/>
          <w:sz w:val="22"/>
          <w:szCs w:val="22"/>
        </w:rPr>
      </w:pPr>
      <w:r w:rsidRPr="00E74781">
        <w:rPr>
          <w:rFonts w:ascii="Arial" w:hAnsi="Arial"/>
          <w:b/>
          <w:bCs/>
          <w:sz w:val="22"/>
          <w:szCs w:val="22"/>
        </w:rPr>
        <w:t>Remaining UEs:</w:t>
      </w:r>
    </w:p>
    <w:p w14:paraId="3358B366" w14:textId="69ADD9F1" w:rsidR="00E74781" w:rsidRPr="00E74781" w:rsidRDefault="00E74781" w:rsidP="00E74781">
      <w:r w:rsidRPr="00E74781">
        <w:t>As the cell going into Cell DRX/DTX is still providing a service, it would be important to understand what to do with the UEs (e.g. having real time traffic)</w:t>
      </w:r>
      <w:r w:rsidR="00323DFC">
        <w:t>,</w:t>
      </w:r>
      <w:r w:rsidRPr="00E74781">
        <w:t xml:space="preserve"> if neither legacy nor </w:t>
      </w:r>
      <w:r w:rsidR="00CE3362" w:rsidRPr="00E74781">
        <w:t>additional</w:t>
      </w:r>
      <w:r w:rsidRPr="00E74781">
        <w:t xml:space="preserve"> CHO conditions are fulfilled once the cell is activating cell DRX/DTX. In our view, this can be left </w:t>
      </w:r>
      <w:r w:rsidR="00F731AB">
        <w:t>to</w:t>
      </w:r>
      <w:r w:rsidRPr="00E74781">
        <w:t xml:space="preserve"> implementation as gNB has always a possibility to handover the UE to other cell individually.</w:t>
      </w:r>
    </w:p>
    <w:p w14:paraId="1EF2FC06" w14:textId="018D7D3D" w:rsidR="00E74781" w:rsidRPr="003C26B4" w:rsidRDefault="00E74781" w:rsidP="007E1200">
      <w:pPr>
        <w:rPr>
          <w:rFonts w:ascii="Arial" w:hAnsi="Arial"/>
          <w:b/>
          <w:bCs/>
          <w:sz w:val="22"/>
          <w:szCs w:val="22"/>
        </w:rPr>
      </w:pPr>
      <w:r w:rsidRPr="003C26B4">
        <w:rPr>
          <w:rFonts w:ascii="Arial" w:hAnsi="Arial"/>
          <w:b/>
          <w:bCs/>
          <w:sz w:val="22"/>
          <w:szCs w:val="22"/>
        </w:rPr>
        <w:t>Conclusions:</w:t>
      </w:r>
    </w:p>
    <w:p w14:paraId="29D6E1BD" w14:textId="77777777" w:rsidR="00E74781" w:rsidRPr="00B51EA9" w:rsidRDefault="00E74781" w:rsidP="00E74781">
      <w:r>
        <w:t>Proposal 1: For the case the “</w:t>
      </w:r>
      <w:r w:rsidRPr="00F01F6D">
        <w:t>Source Cell is going to switch off” no new CHO evaluation conditions</w:t>
      </w:r>
      <w:r>
        <w:t xml:space="preserve"> associated with the cell going to be switched off are needed. </w:t>
      </w:r>
    </w:p>
    <w:p w14:paraId="7E73FD0F" w14:textId="77777777" w:rsidR="00231F00" w:rsidRPr="00F01F6D" w:rsidRDefault="00231F00" w:rsidP="00231F00">
      <w:r>
        <w:t>Proposal 2: T</w:t>
      </w:r>
      <w:r w:rsidRPr="00F01F6D">
        <w:t>o trigger the CHO</w:t>
      </w:r>
      <w:r>
        <w:t xml:space="preserve"> in case of </w:t>
      </w:r>
      <w:r w:rsidRPr="00F01F6D">
        <w:t xml:space="preserve">Source Cell is going to </w:t>
      </w:r>
      <w:r>
        <w:t xml:space="preserve">be </w:t>
      </w:r>
      <w:r w:rsidRPr="00F01F6D">
        <w:t>switch</w:t>
      </w:r>
      <w:r>
        <w:t>ed</w:t>
      </w:r>
      <w:r w:rsidRPr="00F01F6D">
        <w:t xml:space="preserve"> off, broadcast signalling is used</w:t>
      </w:r>
    </w:p>
    <w:p w14:paraId="42C033BE" w14:textId="77777777" w:rsidR="00231F00" w:rsidRDefault="00231F00" w:rsidP="00231F00">
      <w:r w:rsidRPr="00F01F6D">
        <w:t xml:space="preserve">Proposal </w:t>
      </w:r>
      <w:r>
        <w:t>3</w:t>
      </w:r>
      <w:r w:rsidRPr="00F01F6D">
        <w:t xml:space="preserve">: </w:t>
      </w:r>
      <w:r>
        <w:t>T</w:t>
      </w:r>
      <w:r w:rsidRPr="00F01F6D">
        <w:t>o trigger the CHO</w:t>
      </w:r>
      <w:r>
        <w:t xml:space="preserve"> in case of </w:t>
      </w:r>
      <w:r w:rsidRPr="00F01F6D">
        <w:t xml:space="preserve">Source Cell is going to </w:t>
      </w:r>
      <w:r>
        <w:t xml:space="preserve">be </w:t>
      </w:r>
      <w:r w:rsidRPr="00F01F6D">
        <w:t>switch</w:t>
      </w:r>
      <w:r>
        <w:t>ed</w:t>
      </w:r>
      <w:r w:rsidRPr="00F01F6D">
        <w:t xml:space="preserve"> off, RRC signalling is used</w:t>
      </w:r>
    </w:p>
    <w:p w14:paraId="30CC79C6" w14:textId="77777777" w:rsidR="00E74781" w:rsidRPr="00B918F1" w:rsidRDefault="00E74781" w:rsidP="00E74781">
      <w:pPr>
        <w:rPr>
          <w:rFonts w:eastAsia="MS Mincho"/>
          <w:lang w:val="en-US" w:eastAsia="en-GB"/>
        </w:rPr>
      </w:pPr>
      <w:r>
        <w:rPr>
          <w:rFonts w:eastAsia="MS Mincho"/>
          <w:lang w:val="en-US" w:eastAsia="en-GB"/>
        </w:rPr>
        <w:t xml:space="preserve">Proposal 4: It is proposed to discuss if additional timer is needed to facilitate the UEs in case </w:t>
      </w:r>
      <w:r w:rsidRPr="00B918F1">
        <w:rPr>
          <w:rFonts w:eastAsia="MS Mincho"/>
          <w:lang w:val="en-US" w:eastAsia="en-GB"/>
        </w:rPr>
        <w:t xml:space="preserve"> </w:t>
      </w:r>
      <w:r w:rsidRPr="00F01F6D">
        <w:t>Source Cell is going to switch off</w:t>
      </w:r>
      <w:r>
        <w:t>.</w:t>
      </w:r>
    </w:p>
    <w:p w14:paraId="0AFA84E0" w14:textId="77777777" w:rsidR="00397A07" w:rsidRDefault="00397A07" w:rsidP="00397A07">
      <w:pPr>
        <w:rPr>
          <w:lang w:val="en-US"/>
        </w:rPr>
      </w:pPr>
      <w:r>
        <w:rPr>
          <w:lang w:val="en-US"/>
        </w:rPr>
        <w:t>Proposal 5: It is proposed to discuss if a separate CHO configurations associated with cell DRX/DTX mode is needed or just an offset to the existing configuration is sufficient.</w:t>
      </w:r>
    </w:p>
    <w:p w14:paraId="29BBA699" w14:textId="09998D7F" w:rsidR="00E74781" w:rsidRPr="00E74781" w:rsidRDefault="00E74781" w:rsidP="00E74781">
      <w:pPr>
        <w:rPr>
          <w:lang w:val="en-US"/>
        </w:rPr>
      </w:pPr>
      <w:r>
        <w:rPr>
          <w:lang w:val="en-US"/>
        </w:rPr>
        <w:t xml:space="preserve">Proposal 6: Proposals 2 and Proposal 3 and 4 are also valid for the case </w:t>
      </w:r>
      <w:r w:rsidR="00CE3279">
        <w:rPr>
          <w:lang w:val="en-US"/>
        </w:rPr>
        <w:t>cell is going into cell DRX/DTX mode</w:t>
      </w:r>
    </w:p>
    <w:p w14:paraId="1432C827" w14:textId="77777777" w:rsidR="00B32D6B" w:rsidRDefault="00B32D6B" w:rsidP="00C71848">
      <w:pPr>
        <w:pStyle w:val="berschrift2"/>
        <w:rPr>
          <w:rFonts w:eastAsiaTheme="minorEastAsia"/>
          <w:b/>
          <w:bCs/>
          <w:sz w:val="22"/>
          <w:szCs w:val="22"/>
        </w:rPr>
      </w:pPr>
    </w:p>
    <w:p w14:paraId="74ACCD93" w14:textId="77777777" w:rsidR="009946A0" w:rsidRDefault="009946A0" w:rsidP="009946A0">
      <w:pPr>
        <w:pStyle w:val="berschrift2"/>
        <w:rPr>
          <w:rFonts w:eastAsiaTheme="minorEastAsia"/>
          <w:b/>
          <w:bCs/>
        </w:rPr>
      </w:pPr>
      <w:r w:rsidRPr="03ED2143">
        <w:rPr>
          <w:rFonts w:eastAsiaTheme="minorEastAsia"/>
          <w:b/>
          <w:bCs/>
        </w:rPr>
        <w:t>Ref</w:t>
      </w:r>
      <w:r>
        <w:rPr>
          <w:rFonts w:eastAsiaTheme="minorEastAsia"/>
          <w:b/>
          <w:bCs/>
        </w:rPr>
        <w:t>e</w:t>
      </w:r>
      <w:r w:rsidRPr="03ED2143">
        <w:rPr>
          <w:rFonts w:eastAsiaTheme="minorEastAsia"/>
          <w:b/>
          <w:bCs/>
        </w:rPr>
        <w:t>rences</w:t>
      </w:r>
    </w:p>
    <w:p w14:paraId="3B2ED522" w14:textId="77777777" w:rsidR="008E5498" w:rsidRDefault="00B30F82" w:rsidP="00B30F82">
      <w:pPr>
        <w:pStyle w:val="Doc-title"/>
        <w:rPr>
          <w:noProof w:val="0"/>
          <w:lang w:val="en-US"/>
        </w:rPr>
      </w:pPr>
      <w:r w:rsidRPr="006F4A00">
        <w:rPr>
          <w:noProof w:val="0"/>
          <w:lang w:val="en-US"/>
        </w:rPr>
        <w:t>R2-2300702</w:t>
      </w:r>
      <w:r w:rsidR="00315B0F" w:rsidRPr="006F4A00">
        <w:rPr>
          <w:noProof w:val="0"/>
          <w:lang w:val="en-US"/>
        </w:rPr>
        <w:t xml:space="preserve"> Discussion on CHO enhancement in NES</w:t>
      </w:r>
      <w:r w:rsidR="006F4A00" w:rsidRPr="006F4A00">
        <w:rPr>
          <w:noProof w:val="0"/>
          <w:lang w:val="en-US"/>
        </w:rPr>
        <w:t xml:space="preserve"> (Apple)</w:t>
      </w:r>
    </w:p>
    <w:p w14:paraId="0C6D10EB" w14:textId="77777777" w:rsidR="006E7A0B" w:rsidRDefault="008E5498" w:rsidP="006E7A0B">
      <w:pPr>
        <w:pStyle w:val="Doc-title"/>
        <w:rPr>
          <w:noProof w:val="0"/>
          <w:lang w:val="en-US"/>
        </w:rPr>
      </w:pPr>
      <w:r>
        <w:rPr>
          <w:noProof w:val="0"/>
          <w:lang w:val="en-US"/>
        </w:rPr>
        <w:t xml:space="preserve">R2-2303161 </w:t>
      </w:r>
      <w:r w:rsidRPr="008E5498">
        <w:rPr>
          <w:noProof w:val="0"/>
          <w:lang w:val="en-US"/>
        </w:rPr>
        <w:t>Triggering conditions and other aspects of the Handover to/from DTX/DRX cells</w:t>
      </w:r>
    </w:p>
    <w:p w14:paraId="23AC3201" w14:textId="213BC123" w:rsidR="008E5498" w:rsidRPr="006E7A0B" w:rsidRDefault="008E5498" w:rsidP="006E7A0B">
      <w:pPr>
        <w:pStyle w:val="Doc-title"/>
        <w:rPr>
          <w:noProof w:val="0"/>
          <w:lang w:val="en-US"/>
        </w:rPr>
      </w:pPr>
      <w:r>
        <w:rPr>
          <w:noProof w:val="0"/>
          <w:lang w:val="en-US"/>
        </w:rPr>
        <w:t>(Vodafone</w:t>
      </w:r>
      <w:r w:rsidR="006E7A0B">
        <w:rPr>
          <w:noProof w:val="0"/>
          <w:lang w:val="en-US"/>
        </w:rPr>
        <w:t>, Apple</w:t>
      </w:r>
      <w:r>
        <w:rPr>
          <w:noProof w:val="0"/>
          <w:lang w:val="en-US"/>
        </w:rPr>
        <w:t>)</w:t>
      </w:r>
    </w:p>
    <w:p w14:paraId="255B20A1" w14:textId="200715C0" w:rsidR="00F07436" w:rsidRPr="005244D3" w:rsidRDefault="00B30F82" w:rsidP="00B30F82">
      <w:pPr>
        <w:pStyle w:val="Doc-title"/>
        <w:rPr>
          <w:lang w:val="en-US"/>
        </w:rPr>
      </w:pPr>
      <w:r w:rsidRPr="006F4A00">
        <w:rPr>
          <w:noProof w:val="0"/>
          <w:lang w:val="en-US"/>
        </w:rPr>
        <w:lastRenderedPageBreak/>
        <w:br/>
      </w:r>
    </w:p>
    <w:p w14:paraId="44504EB0" w14:textId="0F9C48AA" w:rsidR="03ED2143" w:rsidRPr="00F07436" w:rsidRDefault="03ED2143" w:rsidP="03ED2143">
      <w:pPr>
        <w:rPr>
          <w:lang w:val="en-US"/>
        </w:rPr>
      </w:pPr>
    </w:p>
    <w:sectPr w:rsidR="03ED2143" w:rsidRPr="00F07436">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79A83" w14:textId="77777777" w:rsidR="00804D12" w:rsidRDefault="00804D12" w:rsidP="006F5562">
      <w:pPr>
        <w:spacing w:after="0"/>
      </w:pPr>
      <w:r>
        <w:separator/>
      </w:r>
    </w:p>
  </w:endnote>
  <w:endnote w:type="continuationSeparator" w:id="0">
    <w:p w14:paraId="50622F1C" w14:textId="77777777" w:rsidR="00804D12" w:rsidRDefault="00804D12"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74D46" w14:textId="01F02A38" w:rsidR="006F5562" w:rsidRDefault="006F5562">
    <w:pPr>
      <w:pStyle w:val="Fuzeile"/>
    </w:pPr>
    <w:r>
      <w:rPr>
        <w:noProof/>
      </w:rPr>
      <mc:AlternateContent>
        <mc:Choice Requires="wps">
          <w:drawing>
            <wp:anchor distT="0" distB="0" distL="114300" distR="114300" simplePos="0" relativeHeight="251658752" behindDoc="0" locked="0" layoutInCell="0" allowOverlap="1" wp14:anchorId="75905F10" wp14:editId="4584F547">
              <wp:simplePos x="0" y="0"/>
              <wp:positionH relativeFrom="page">
                <wp:posOffset>0</wp:posOffset>
              </wp:positionH>
              <wp:positionV relativeFrom="page">
                <wp:posOffset>10227945</wp:posOffset>
              </wp:positionV>
              <wp:extent cx="7560310" cy="273050"/>
              <wp:effectExtent l="0" t="0" r="0" b="12700"/>
              <wp:wrapNone/>
              <wp:docPr id="1" name="MSIPCMc6da46cfb66e717c93fd624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F436B72" w14:textId="57CAE5A7" w:rsidR="006F5562" w:rsidRPr="006F5562" w:rsidRDefault="006F5562" w:rsidP="006F5562">
                          <w:pPr>
                            <w:spacing w:after="0"/>
                            <w:rPr>
                              <w:rFonts w:ascii="Calibri" w:hAnsi="Calibri" w:cs="Calibri"/>
                              <w:color w:val="000000"/>
                              <w:sz w:val="14"/>
                            </w:rPr>
                          </w:pPr>
                          <w:r w:rsidRPr="006F556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905F10" id="_x0000_t202" coordsize="21600,21600" o:spt="202" path="m,l,21600r21600,l21600,xe">
              <v:stroke joinstyle="miter"/>
              <v:path gradientshapeok="t" o:connecttype="rect"/>
            </v:shapetype>
            <v:shape id="MSIPCMc6da46cfb66e717c93fd6241"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7F436B72" w14:textId="57CAE5A7" w:rsidR="006F5562" w:rsidRPr="006F5562" w:rsidRDefault="006F5562" w:rsidP="006F5562">
                    <w:pPr>
                      <w:spacing w:after="0"/>
                      <w:rPr>
                        <w:rFonts w:ascii="Calibri" w:hAnsi="Calibri" w:cs="Calibri"/>
                        <w:color w:val="000000"/>
                        <w:sz w:val="14"/>
                      </w:rPr>
                    </w:pPr>
                    <w:r w:rsidRPr="006F556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5AE0" w14:textId="77777777" w:rsidR="00804D12" w:rsidRDefault="00804D12" w:rsidP="006F5562">
      <w:pPr>
        <w:spacing w:after="0"/>
      </w:pPr>
      <w:r>
        <w:separator/>
      </w:r>
    </w:p>
  </w:footnote>
  <w:footnote w:type="continuationSeparator" w:id="0">
    <w:p w14:paraId="6C8C8533" w14:textId="77777777" w:rsidR="00804D12" w:rsidRDefault="00804D12" w:rsidP="006F5562">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7O3uPWGo" int2:invalidationBookmarkName="" int2:hashCode="z/pQoyyxOiQNcF" int2:id="Kyq4sNaQ">
      <int2:state int2:value="Rejected" int2:type="LegacyProofing"/>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3194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 w15:restartNumberingAfterBreak="0">
    <w:nsid w:val="152567EC"/>
    <w:multiLevelType w:val="hybridMultilevel"/>
    <w:tmpl w:val="8DE04454"/>
    <w:lvl w:ilvl="0" w:tplc="D70EB072">
      <w:start w:val="2"/>
      <w:numFmt w:val="bullet"/>
      <w:lvlText w:val=""/>
      <w:lvlJc w:val="left"/>
      <w:pPr>
        <w:ind w:left="720" w:hanging="360"/>
      </w:pPr>
      <w:rPr>
        <w:rFonts w:ascii="Wingdings" w:eastAsiaTheme="minorEastAsia"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6335E52"/>
    <w:multiLevelType w:val="hybridMultilevel"/>
    <w:tmpl w:val="22F8FD16"/>
    <w:lvl w:ilvl="0" w:tplc="D2D85604">
      <w:start w:val="1"/>
      <w:numFmt w:val="bullet"/>
      <w:lvlText w:val=""/>
      <w:lvlJc w:val="left"/>
      <w:pPr>
        <w:ind w:left="720" w:hanging="360"/>
      </w:pPr>
      <w:rPr>
        <w:rFonts w:ascii="Symbol" w:hAnsi="Symbol" w:hint="default"/>
      </w:rPr>
    </w:lvl>
    <w:lvl w:ilvl="1" w:tplc="3A485490">
      <w:start w:val="1"/>
      <w:numFmt w:val="bullet"/>
      <w:lvlText w:val="o"/>
      <w:lvlJc w:val="left"/>
      <w:pPr>
        <w:ind w:left="1440" w:hanging="360"/>
      </w:pPr>
      <w:rPr>
        <w:rFonts w:ascii="Courier New" w:hAnsi="Courier New" w:hint="default"/>
      </w:rPr>
    </w:lvl>
    <w:lvl w:ilvl="2" w:tplc="6EDEC5F0">
      <w:start w:val="1"/>
      <w:numFmt w:val="bullet"/>
      <w:lvlText w:val=""/>
      <w:lvlJc w:val="left"/>
      <w:pPr>
        <w:ind w:left="2160" w:hanging="360"/>
      </w:pPr>
      <w:rPr>
        <w:rFonts w:ascii="Wingdings" w:hAnsi="Wingdings" w:hint="default"/>
      </w:rPr>
    </w:lvl>
    <w:lvl w:ilvl="3" w:tplc="2104FD92">
      <w:start w:val="1"/>
      <w:numFmt w:val="bullet"/>
      <w:lvlText w:val=""/>
      <w:lvlJc w:val="left"/>
      <w:pPr>
        <w:ind w:left="2880" w:hanging="360"/>
      </w:pPr>
      <w:rPr>
        <w:rFonts w:ascii="Symbol" w:hAnsi="Symbol" w:hint="default"/>
      </w:rPr>
    </w:lvl>
    <w:lvl w:ilvl="4" w:tplc="5EAEAFDE">
      <w:start w:val="1"/>
      <w:numFmt w:val="bullet"/>
      <w:lvlText w:val="o"/>
      <w:lvlJc w:val="left"/>
      <w:pPr>
        <w:ind w:left="3600" w:hanging="360"/>
      </w:pPr>
      <w:rPr>
        <w:rFonts w:ascii="Courier New" w:hAnsi="Courier New" w:hint="default"/>
      </w:rPr>
    </w:lvl>
    <w:lvl w:ilvl="5" w:tplc="488A2A3C">
      <w:start w:val="1"/>
      <w:numFmt w:val="bullet"/>
      <w:lvlText w:val=""/>
      <w:lvlJc w:val="left"/>
      <w:pPr>
        <w:ind w:left="4320" w:hanging="360"/>
      </w:pPr>
      <w:rPr>
        <w:rFonts w:ascii="Wingdings" w:hAnsi="Wingdings" w:hint="default"/>
      </w:rPr>
    </w:lvl>
    <w:lvl w:ilvl="6" w:tplc="98487320">
      <w:start w:val="1"/>
      <w:numFmt w:val="bullet"/>
      <w:lvlText w:val=""/>
      <w:lvlJc w:val="left"/>
      <w:pPr>
        <w:ind w:left="5040" w:hanging="360"/>
      </w:pPr>
      <w:rPr>
        <w:rFonts w:ascii="Symbol" w:hAnsi="Symbol" w:hint="default"/>
      </w:rPr>
    </w:lvl>
    <w:lvl w:ilvl="7" w:tplc="F38AB366">
      <w:start w:val="1"/>
      <w:numFmt w:val="bullet"/>
      <w:lvlText w:val="o"/>
      <w:lvlJc w:val="left"/>
      <w:pPr>
        <w:ind w:left="5760" w:hanging="360"/>
      </w:pPr>
      <w:rPr>
        <w:rFonts w:ascii="Courier New" w:hAnsi="Courier New" w:hint="default"/>
      </w:rPr>
    </w:lvl>
    <w:lvl w:ilvl="8" w:tplc="E3C6C342">
      <w:start w:val="1"/>
      <w:numFmt w:val="bullet"/>
      <w:lvlText w:val=""/>
      <w:lvlJc w:val="left"/>
      <w:pPr>
        <w:ind w:left="6480" w:hanging="360"/>
      </w:pPr>
      <w:rPr>
        <w:rFonts w:ascii="Wingdings" w:hAnsi="Wingdings" w:hint="default"/>
      </w:rPr>
    </w:lvl>
  </w:abstractNum>
  <w:abstractNum w:abstractNumId="3" w15:restartNumberingAfterBreak="0">
    <w:nsid w:val="1B460C59"/>
    <w:multiLevelType w:val="hybridMultilevel"/>
    <w:tmpl w:val="B082FB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EFF4C3F"/>
    <w:multiLevelType w:val="hybridMultilevel"/>
    <w:tmpl w:val="DE641E3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FBDA3DE"/>
    <w:multiLevelType w:val="multilevel"/>
    <w:tmpl w:val="A5762100"/>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F8221B"/>
    <w:multiLevelType w:val="hybridMultilevel"/>
    <w:tmpl w:val="44F03C1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5797E2C"/>
    <w:multiLevelType w:val="hybridMultilevel"/>
    <w:tmpl w:val="4EDA590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9A28A3"/>
    <w:multiLevelType w:val="hybridMultilevel"/>
    <w:tmpl w:val="C682F77C"/>
    <w:lvl w:ilvl="0" w:tplc="04070001">
      <w:start w:val="1"/>
      <w:numFmt w:val="bullet"/>
      <w:lvlText w:val=""/>
      <w:lvlJc w:val="left"/>
      <w:pPr>
        <w:tabs>
          <w:tab w:val="num" w:pos="1619"/>
        </w:tabs>
        <w:ind w:left="1619" w:hanging="360"/>
      </w:pPr>
      <w:rPr>
        <w:rFonts w:ascii="Symbol" w:hAnsi="Symbol"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8C657A"/>
    <w:multiLevelType w:val="hybridMultilevel"/>
    <w:tmpl w:val="5A7CB030"/>
    <w:lvl w:ilvl="0" w:tplc="99749316">
      <w:start w:val="1"/>
      <w:numFmt w:val="bullet"/>
      <w:lvlText w:val=""/>
      <w:lvlJc w:val="left"/>
      <w:pPr>
        <w:ind w:left="720" w:hanging="360"/>
      </w:pPr>
      <w:rPr>
        <w:rFonts w:ascii="Wingdings" w:hAnsi="Wingdings" w:hint="default"/>
      </w:rPr>
    </w:lvl>
    <w:lvl w:ilvl="1" w:tplc="509AAD3C">
      <w:start w:val="1"/>
      <w:numFmt w:val="bullet"/>
      <w:lvlText w:val="o"/>
      <w:lvlJc w:val="left"/>
      <w:pPr>
        <w:ind w:left="1440" w:hanging="360"/>
      </w:pPr>
      <w:rPr>
        <w:rFonts w:ascii="Courier New" w:hAnsi="Courier New" w:hint="default"/>
      </w:rPr>
    </w:lvl>
    <w:lvl w:ilvl="2" w:tplc="5BE02808">
      <w:start w:val="1"/>
      <w:numFmt w:val="bullet"/>
      <w:lvlText w:val=""/>
      <w:lvlJc w:val="left"/>
      <w:pPr>
        <w:ind w:left="2160" w:hanging="360"/>
      </w:pPr>
      <w:rPr>
        <w:rFonts w:ascii="Wingdings" w:hAnsi="Wingdings" w:hint="default"/>
      </w:rPr>
    </w:lvl>
    <w:lvl w:ilvl="3" w:tplc="12E2C936">
      <w:start w:val="1"/>
      <w:numFmt w:val="bullet"/>
      <w:lvlText w:val=""/>
      <w:lvlJc w:val="left"/>
      <w:pPr>
        <w:ind w:left="2880" w:hanging="360"/>
      </w:pPr>
      <w:rPr>
        <w:rFonts w:ascii="Symbol" w:hAnsi="Symbol" w:hint="default"/>
      </w:rPr>
    </w:lvl>
    <w:lvl w:ilvl="4" w:tplc="B10C9D10">
      <w:start w:val="1"/>
      <w:numFmt w:val="bullet"/>
      <w:lvlText w:val="o"/>
      <w:lvlJc w:val="left"/>
      <w:pPr>
        <w:ind w:left="3600" w:hanging="360"/>
      </w:pPr>
      <w:rPr>
        <w:rFonts w:ascii="Courier New" w:hAnsi="Courier New" w:hint="default"/>
      </w:rPr>
    </w:lvl>
    <w:lvl w:ilvl="5" w:tplc="1420797A">
      <w:start w:val="1"/>
      <w:numFmt w:val="bullet"/>
      <w:lvlText w:val=""/>
      <w:lvlJc w:val="left"/>
      <w:pPr>
        <w:ind w:left="4320" w:hanging="360"/>
      </w:pPr>
      <w:rPr>
        <w:rFonts w:ascii="Wingdings" w:hAnsi="Wingdings" w:hint="default"/>
      </w:rPr>
    </w:lvl>
    <w:lvl w:ilvl="6" w:tplc="B8DED3D4">
      <w:start w:val="1"/>
      <w:numFmt w:val="bullet"/>
      <w:lvlText w:val=""/>
      <w:lvlJc w:val="left"/>
      <w:pPr>
        <w:ind w:left="5040" w:hanging="360"/>
      </w:pPr>
      <w:rPr>
        <w:rFonts w:ascii="Symbol" w:hAnsi="Symbol" w:hint="default"/>
      </w:rPr>
    </w:lvl>
    <w:lvl w:ilvl="7" w:tplc="F57C2992">
      <w:start w:val="1"/>
      <w:numFmt w:val="bullet"/>
      <w:lvlText w:val="o"/>
      <w:lvlJc w:val="left"/>
      <w:pPr>
        <w:ind w:left="5760" w:hanging="360"/>
      </w:pPr>
      <w:rPr>
        <w:rFonts w:ascii="Courier New" w:hAnsi="Courier New" w:hint="default"/>
      </w:rPr>
    </w:lvl>
    <w:lvl w:ilvl="8" w:tplc="425AE306">
      <w:start w:val="1"/>
      <w:numFmt w:val="bullet"/>
      <w:lvlText w:val=""/>
      <w:lvlJc w:val="left"/>
      <w:pPr>
        <w:ind w:left="6480" w:hanging="360"/>
      </w:pPr>
      <w:rPr>
        <w:rFonts w:ascii="Wingdings" w:hAnsi="Wingdings" w:hint="default"/>
      </w:rPr>
    </w:lvl>
  </w:abstractNum>
  <w:abstractNum w:abstractNumId="13" w15:restartNumberingAfterBreak="0">
    <w:nsid w:val="541F717C"/>
    <w:multiLevelType w:val="hybridMultilevel"/>
    <w:tmpl w:val="094600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74E1830"/>
    <w:multiLevelType w:val="hybridMultilevel"/>
    <w:tmpl w:val="D6A651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893D764"/>
    <w:multiLevelType w:val="hybridMultilevel"/>
    <w:tmpl w:val="5A46C66C"/>
    <w:lvl w:ilvl="0" w:tplc="BF36251C">
      <w:start w:val="1"/>
      <w:numFmt w:val="bullet"/>
      <w:lvlText w:val="o"/>
      <w:lvlJc w:val="left"/>
      <w:pPr>
        <w:ind w:left="720" w:hanging="360"/>
      </w:pPr>
      <w:rPr>
        <w:rFonts w:ascii="&quot;Courier New&quot;" w:hAnsi="&quot;Courier New&quot;" w:hint="default"/>
      </w:rPr>
    </w:lvl>
    <w:lvl w:ilvl="1" w:tplc="0F127A48">
      <w:start w:val="1"/>
      <w:numFmt w:val="bullet"/>
      <w:lvlText w:val="o"/>
      <w:lvlJc w:val="left"/>
      <w:pPr>
        <w:ind w:left="1440" w:hanging="360"/>
      </w:pPr>
      <w:rPr>
        <w:rFonts w:ascii="Courier New" w:hAnsi="Courier New" w:hint="default"/>
      </w:rPr>
    </w:lvl>
    <w:lvl w:ilvl="2" w:tplc="897A74AC">
      <w:start w:val="1"/>
      <w:numFmt w:val="bullet"/>
      <w:lvlText w:val=""/>
      <w:lvlJc w:val="left"/>
      <w:pPr>
        <w:ind w:left="2160" w:hanging="360"/>
      </w:pPr>
      <w:rPr>
        <w:rFonts w:ascii="Wingdings" w:hAnsi="Wingdings" w:hint="default"/>
      </w:rPr>
    </w:lvl>
    <w:lvl w:ilvl="3" w:tplc="672A2408">
      <w:start w:val="1"/>
      <w:numFmt w:val="bullet"/>
      <w:lvlText w:val=""/>
      <w:lvlJc w:val="left"/>
      <w:pPr>
        <w:ind w:left="2880" w:hanging="360"/>
      </w:pPr>
      <w:rPr>
        <w:rFonts w:ascii="Symbol" w:hAnsi="Symbol" w:hint="default"/>
      </w:rPr>
    </w:lvl>
    <w:lvl w:ilvl="4" w:tplc="8DCAFAE0">
      <w:start w:val="1"/>
      <w:numFmt w:val="bullet"/>
      <w:lvlText w:val="o"/>
      <w:lvlJc w:val="left"/>
      <w:pPr>
        <w:ind w:left="3600" w:hanging="360"/>
      </w:pPr>
      <w:rPr>
        <w:rFonts w:ascii="Courier New" w:hAnsi="Courier New" w:hint="default"/>
      </w:rPr>
    </w:lvl>
    <w:lvl w:ilvl="5" w:tplc="26BC8432">
      <w:start w:val="1"/>
      <w:numFmt w:val="bullet"/>
      <w:lvlText w:val=""/>
      <w:lvlJc w:val="left"/>
      <w:pPr>
        <w:ind w:left="4320" w:hanging="360"/>
      </w:pPr>
      <w:rPr>
        <w:rFonts w:ascii="Wingdings" w:hAnsi="Wingdings" w:hint="default"/>
      </w:rPr>
    </w:lvl>
    <w:lvl w:ilvl="6" w:tplc="F57E806C">
      <w:start w:val="1"/>
      <w:numFmt w:val="bullet"/>
      <w:lvlText w:val=""/>
      <w:lvlJc w:val="left"/>
      <w:pPr>
        <w:ind w:left="5040" w:hanging="360"/>
      </w:pPr>
      <w:rPr>
        <w:rFonts w:ascii="Symbol" w:hAnsi="Symbol" w:hint="default"/>
      </w:rPr>
    </w:lvl>
    <w:lvl w:ilvl="7" w:tplc="2DD0FEFE">
      <w:start w:val="1"/>
      <w:numFmt w:val="bullet"/>
      <w:lvlText w:val="o"/>
      <w:lvlJc w:val="left"/>
      <w:pPr>
        <w:ind w:left="5760" w:hanging="360"/>
      </w:pPr>
      <w:rPr>
        <w:rFonts w:ascii="Courier New" w:hAnsi="Courier New" w:hint="default"/>
      </w:rPr>
    </w:lvl>
    <w:lvl w:ilvl="8" w:tplc="13F27E66">
      <w:start w:val="1"/>
      <w:numFmt w:val="bullet"/>
      <w:lvlText w:val=""/>
      <w:lvlJc w:val="left"/>
      <w:pPr>
        <w:ind w:left="6480" w:hanging="360"/>
      </w:pPr>
      <w:rPr>
        <w:rFonts w:ascii="Wingdings" w:hAnsi="Wingdings" w:hint="default"/>
      </w:rPr>
    </w:lvl>
  </w:abstractNum>
  <w:abstractNum w:abstractNumId="17" w15:restartNumberingAfterBreak="0">
    <w:nsid w:val="60277942"/>
    <w:multiLevelType w:val="hybridMultilevel"/>
    <w:tmpl w:val="625CDC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8A097D"/>
    <w:multiLevelType w:val="hybridMultilevel"/>
    <w:tmpl w:val="714E43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BF7CB2"/>
    <w:multiLevelType w:val="hybridMultilevel"/>
    <w:tmpl w:val="97A2BF9E"/>
    <w:lvl w:ilvl="0" w:tplc="6A1C1C4A">
      <w:start w:val="2"/>
      <w:numFmt w:val="bullet"/>
      <w:lvlText w:val="-"/>
      <w:lvlJc w:val="left"/>
      <w:pPr>
        <w:ind w:left="720" w:hanging="360"/>
      </w:pPr>
      <w:rPr>
        <w:rFonts w:ascii="Times New Roman" w:eastAsiaTheme="minorEastAsia"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21" w15:restartNumberingAfterBreak="0">
    <w:nsid w:val="70146DC0"/>
    <w:multiLevelType w:val="hybridMultilevel"/>
    <w:tmpl w:val="614E7AF8"/>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6C57A7"/>
    <w:multiLevelType w:val="hybridMultilevel"/>
    <w:tmpl w:val="D290703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94124224">
    <w:abstractNumId w:val="12"/>
  </w:num>
  <w:num w:numId="2" w16cid:durableId="1005473713">
    <w:abstractNumId w:val="2"/>
  </w:num>
  <w:num w:numId="3" w16cid:durableId="1288514621">
    <w:abstractNumId w:val="16"/>
  </w:num>
  <w:num w:numId="4" w16cid:durableId="607323251">
    <w:abstractNumId w:val="6"/>
  </w:num>
  <w:num w:numId="5" w16cid:durableId="1352562340">
    <w:abstractNumId w:val="7"/>
  </w:num>
  <w:num w:numId="6" w16cid:durableId="1442720036">
    <w:abstractNumId w:val="8"/>
  </w:num>
  <w:num w:numId="7" w16cid:durableId="979647804">
    <w:abstractNumId w:val="18"/>
  </w:num>
  <w:num w:numId="8" w16cid:durableId="1954289943">
    <w:abstractNumId w:val="22"/>
  </w:num>
  <w:num w:numId="9" w16cid:durableId="1638416924">
    <w:abstractNumId w:val="17"/>
  </w:num>
  <w:num w:numId="10" w16cid:durableId="1467159598">
    <w:abstractNumId w:val="9"/>
  </w:num>
  <w:num w:numId="11" w16cid:durableId="1169828469">
    <w:abstractNumId w:val="19"/>
  </w:num>
  <w:num w:numId="12" w16cid:durableId="1582105096">
    <w:abstractNumId w:val="1"/>
  </w:num>
  <w:num w:numId="13" w16cid:durableId="49548211">
    <w:abstractNumId w:val="10"/>
  </w:num>
  <w:num w:numId="14" w16cid:durableId="1417216109">
    <w:abstractNumId w:val="14"/>
  </w:num>
  <w:num w:numId="15" w16cid:durableId="557277641">
    <w:abstractNumId w:val="0"/>
  </w:num>
  <w:num w:numId="16" w16cid:durableId="1447387154">
    <w:abstractNumId w:val="5"/>
  </w:num>
  <w:num w:numId="17" w16cid:durableId="1082723517">
    <w:abstractNumId w:val="4"/>
  </w:num>
  <w:num w:numId="18" w16cid:durableId="1985885849">
    <w:abstractNumId w:val="13"/>
  </w:num>
  <w:num w:numId="19" w16cid:durableId="1737512627">
    <w:abstractNumId w:val="20"/>
  </w:num>
  <w:num w:numId="20" w16cid:durableId="1694917161">
    <w:abstractNumId w:val="3"/>
  </w:num>
  <w:num w:numId="21" w16cid:durableId="839387942">
    <w:abstractNumId w:val="15"/>
  </w:num>
  <w:num w:numId="22" w16cid:durableId="733552573">
    <w:abstractNumId w:val="21"/>
  </w:num>
  <w:num w:numId="23" w16cid:durableId="26858435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D0C"/>
    <w:rsid w:val="00000E25"/>
    <w:rsid w:val="0000687A"/>
    <w:rsid w:val="000070D3"/>
    <w:rsid w:val="00027921"/>
    <w:rsid w:val="00032381"/>
    <w:rsid w:val="00036301"/>
    <w:rsid w:val="00060F40"/>
    <w:rsid w:val="00065347"/>
    <w:rsid w:val="000909B2"/>
    <w:rsid w:val="000B3FAE"/>
    <w:rsid w:val="000B6310"/>
    <w:rsid w:val="000B7C00"/>
    <w:rsid w:val="000C0670"/>
    <w:rsid w:val="000C08D9"/>
    <w:rsid w:val="000C1B37"/>
    <w:rsid w:val="000C6827"/>
    <w:rsid w:val="000C6AF1"/>
    <w:rsid w:val="000E0D58"/>
    <w:rsid w:val="000E3EDC"/>
    <w:rsid w:val="000F1060"/>
    <w:rsid w:val="000F40BF"/>
    <w:rsid w:val="001003FA"/>
    <w:rsid w:val="00105702"/>
    <w:rsid w:val="00141D02"/>
    <w:rsid w:val="00141EE1"/>
    <w:rsid w:val="0015107A"/>
    <w:rsid w:val="0017723B"/>
    <w:rsid w:val="00180CB3"/>
    <w:rsid w:val="0019368B"/>
    <w:rsid w:val="00195BA8"/>
    <w:rsid w:val="001B485B"/>
    <w:rsid w:val="001F0431"/>
    <w:rsid w:val="001F4B56"/>
    <w:rsid w:val="00202D7C"/>
    <w:rsid w:val="0020310B"/>
    <w:rsid w:val="00212274"/>
    <w:rsid w:val="002130D4"/>
    <w:rsid w:val="00231F00"/>
    <w:rsid w:val="00232062"/>
    <w:rsid w:val="002331B5"/>
    <w:rsid w:val="00237E62"/>
    <w:rsid w:val="00270767"/>
    <w:rsid w:val="00270E99"/>
    <w:rsid w:val="0028071E"/>
    <w:rsid w:val="0029488F"/>
    <w:rsid w:val="002B28DC"/>
    <w:rsid w:val="002D5B3A"/>
    <w:rsid w:val="002D5DB6"/>
    <w:rsid w:val="002E662B"/>
    <w:rsid w:val="0030035F"/>
    <w:rsid w:val="00301B6B"/>
    <w:rsid w:val="003065AA"/>
    <w:rsid w:val="00306711"/>
    <w:rsid w:val="00310B83"/>
    <w:rsid w:val="00315638"/>
    <w:rsid w:val="00315B0F"/>
    <w:rsid w:val="00323DFC"/>
    <w:rsid w:val="00336D4A"/>
    <w:rsid w:val="003458BC"/>
    <w:rsid w:val="003559A1"/>
    <w:rsid w:val="00356A3B"/>
    <w:rsid w:val="00365894"/>
    <w:rsid w:val="00365C66"/>
    <w:rsid w:val="0037496D"/>
    <w:rsid w:val="003816E3"/>
    <w:rsid w:val="00387003"/>
    <w:rsid w:val="00397A07"/>
    <w:rsid w:val="003B6318"/>
    <w:rsid w:val="003C2443"/>
    <w:rsid w:val="003C26B4"/>
    <w:rsid w:val="003C74EF"/>
    <w:rsid w:val="00410727"/>
    <w:rsid w:val="00430F8D"/>
    <w:rsid w:val="00432DAD"/>
    <w:rsid w:val="00436645"/>
    <w:rsid w:val="004538C9"/>
    <w:rsid w:val="004854C1"/>
    <w:rsid w:val="00494B60"/>
    <w:rsid w:val="004A05ED"/>
    <w:rsid w:val="004A3C60"/>
    <w:rsid w:val="004B256F"/>
    <w:rsid w:val="004D2337"/>
    <w:rsid w:val="004E3BA7"/>
    <w:rsid w:val="00512F62"/>
    <w:rsid w:val="00513381"/>
    <w:rsid w:val="005221D0"/>
    <w:rsid w:val="00524164"/>
    <w:rsid w:val="005244D3"/>
    <w:rsid w:val="00554B22"/>
    <w:rsid w:val="005564E2"/>
    <w:rsid w:val="005603A5"/>
    <w:rsid w:val="00563B9A"/>
    <w:rsid w:val="005824F4"/>
    <w:rsid w:val="00584306"/>
    <w:rsid w:val="005A1A08"/>
    <w:rsid w:val="005A7553"/>
    <w:rsid w:val="005B6A18"/>
    <w:rsid w:val="005D22AC"/>
    <w:rsid w:val="005D632F"/>
    <w:rsid w:val="005E016A"/>
    <w:rsid w:val="005E018D"/>
    <w:rsid w:val="00606BC9"/>
    <w:rsid w:val="0062125C"/>
    <w:rsid w:val="0064521D"/>
    <w:rsid w:val="0067177B"/>
    <w:rsid w:val="00677F97"/>
    <w:rsid w:val="00682B49"/>
    <w:rsid w:val="006A326C"/>
    <w:rsid w:val="006A77AF"/>
    <w:rsid w:val="006B261E"/>
    <w:rsid w:val="006C6535"/>
    <w:rsid w:val="006D7853"/>
    <w:rsid w:val="006E7A0B"/>
    <w:rsid w:val="006F4A00"/>
    <w:rsid w:val="006F5449"/>
    <w:rsid w:val="006F5562"/>
    <w:rsid w:val="007011D3"/>
    <w:rsid w:val="007269D8"/>
    <w:rsid w:val="0074201B"/>
    <w:rsid w:val="00751E85"/>
    <w:rsid w:val="00761A7D"/>
    <w:rsid w:val="007632D3"/>
    <w:rsid w:val="00764669"/>
    <w:rsid w:val="007672A1"/>
    <w:rsid w:val="00772439"/>
    <w:rsid w:val="00792DA7"/>
    <w:rsid w:val="007954AD"/>
    <w:rsid w:val="007A5439"/>
    <w:rsid w:val="007B45B3"/>
    <w:rsid w:val="007D0FD2"/>
    <w:rsid w:val="007E0BE0"/>
    <w:rsid w:val="007E1200"/>
    <w:rsid w:val="007F1CDE"/>
    <w:rsid w:val="007F4D3A"/>
    <w:rsid w:val="007F569F"/>
    <w:rsid w:val="00804D12"/>
    <w:rsid w:val="00816133"/>
    <w:rsid w:val="00833D0C"/>
    <w:rsid w:val="008446F0"/>
    <w:rsid w:val="00850333"/>
    <w:rsid w:val="00856918"/>
    <w:rsid w:val="008630C5"/>
    <w:rsid w:val="008667F3"/>
    <w:rsid w:val="008901C2"/>
    <w:rsid w:val="008A0A7E"/>
    <w:rsid w:val="008B70AA"/>
    <w:rsid w:val="008C2D78"/>
    <w:rsid w:val="008D0160"/>
    <w:rsid w:val="008D46B6"/>
    <w:rsid w:val="008D624B"/>
    <w:rsid w:val="008E03F3"/>
    <w:rsid w:val="008E5498"/>
    <w:rsid w:val="008F174C"/>
    <w:rsid w:val="00920701"/>
    <w:rsid w:val="00920F4F"/>
    <w:rsid w:val="00951296"/>
    <w:rsid w:val="009662B9"/>
    <w:rsid w:val="00984D6D"/>
    <w:rsid w:val="009914B9"/>
    <w:rsid w:val="009931C5"/>
    <w:rsid w:val="009946A0"/>
    <w:rsid w:val="009A2C45"/>
    <w:rsid w:val="009C1213"/>
    <w:rsid w:val="009C2786"/>
    <w:rsid w:val="009D1EFD"/>
    <w:rsid w:val="009D2112"/>
    <w:rsid w:val="009D609A"/>
    <w:rsid w:val="009E556A"/>
    <w:rsid w:val="00A04D58"/>
    <w:rsid w:val="00A12018"/>
    <w:rsid w:val="00A423E6"/>
    <w:rsid w:val="00A4424E"/>
    <w:rsid w:val="00A5384F"/>
    <w:rsid w:val="00A5604B"/>
    <w:rsid w:val="00A70087"/>
    <w:rsid w:val="00A836C9"/>
    <w:rsid w:val="00A91B06"/>
    <w:rsid w:val="00AA5B11"/>
    <w:rsid w:val="00AA62EB"/>
    <w:rsid w:val="00AB54F2"/>
    <w:rsid w:val="00AB5631"/>
    <w:rsid w:val="00AB7DE2"/>
    <w:rsid w:val="00AD246C"/>
    <w:rsid w:val="00AD77D0"/>
    <w:rsid w:val="00B052E8"/>
    <w:rsid w:val="00B1629B"/>
    <w:rsid w:val="00B17534"/>
    <w:rsid w:val="00B30F82"/>
    <w:rsid w:val="00B310F0"/>
    <w:rsid w:val="00B31B81"/>
    <w:rsid w:val="00B32D6B"/>
    <w:rsid w:val="00B45B93"/>
    <w:rsid w:val="00B4744A"/>
    <w:rsid w:val="00B507C7"/>
    <w:rsid w:val="00B51EA9"/>
    <w:rsid w:val="00B54210"/>
    <w:rsid w:val="00B6054D"/>
    <w:rsid w:val="00B907BB"/>
    <w:rsid w:val="00B918F1"/>
    <w:rsid w:val="00B940AD"/>
    <w:rsid w:val="00BA0D86"/>
    <w:rsid w:val="00BA4D43"/>
    <w:rsid w:val="00BC66C0"/>
    <w:rsid w:val="00BC7438"/>
    <w:rsid w:val="00BD5FEA"/>
    <w:rsid w:val="00BD7C82"/>
    <w:rsid w:val="00BF4C41"/>
    <w:rsid w:val="00C04DF8"/>
    <w:rsid w:val="00C4009D"/>
    <w:rsid w:val="00C420C8"/>
    <w:rsid w:val="00C43A36"/>
    <w:rsid w:val="00C448E8"/>
    <w:rsid w:val="00C65E78"/>
    <w:rsid w:val="00C71848"/>
    <w:rsid w:val="00C72255"/>
    <w:rsid w:val="00C757EC"/>
    <w:rsid w:val="00C85049"/>
    <w:rsid w:val="00C86328"/>
    <w:rsid w:val="00C8659C"/>
    <w:rsid w:val="00C91C0E"/>
    <w:rsid w:val="00CC0ABC"/>
    <w:rsid w:val="00CC48E3"/>
    <w:rsid w:val="00CD6CEE"/>
    <w:rsid w:val="00CE2898"/>
    <w:rsid w:val="00CE3279"/>
    <w:rsid w:val="00CE3362"/>
    <w:rsid w:val="00CE4B6F"/>
    <w:rsid w:val="00D10158"/>
    <w:rsid w:val="00D14DF5"/>
    <w:rsid w:val="00D225F0"/>
    <w:rsid w:val="00D41E6D"/>
    <w:rsid w:val="00D511D4"/>
    <w:rsid w:val="00D55554"/>
    <w:rsid w:val="00D86950"/>
    <w:rsid w:val="00D91771"/>
    <w:rsid w:val="00DB033D"/>
    <w:rsid w:val="00DB17BD"/>
    <w:rsid w:val="00DC35A2"/>
    <w:rsid w:val="00DC55BF"/>
    <w:rsid w:val="00DE7672"/>
    <w:rsid w:val="00DF3D2C"/>
    <w:rsid w:val="00E0457F"/>
    <w:rsid w:val="00E078F6"/>
    <w:rsid w:val="00E153ED"/>
    <w:rsid w:val="00E35116"/>
    <w:rsid w:val="00E74781"/>
    <w:rsid w:val="00E74845"/>
    <w:rsid w:val="00E87411"/>
    <w:rsid w:val="00E93CC5"/>
    <w:rsid w:val="00E95AFD"/>
    <w:rsid w:val="00EA5F38"/>
    <w:rsid w:val="00EC6400"/>
    <w:rsid w:val="00EC7959"/>
    <w:rsid w:val="00EE14A1"/>
    <w:rsid w:val="00F01F6D"/>
    <w:rsid w:val="00F06784"/>
    <w:rsid w:val="00F07436"/>
    <w:rsid w:val="00F10865"/>
    <w:rsid w:val="00F32E33"/>
    <w:rsid w:val="00F346F8"/>
    <w:rsid w:val="00F369A3"/>
    <w:rsid w:val="00F36D3A"/>
    <w:rsid w:val="00F712F1"/>
    <w:rsid w:val="00F731AB"/>
    <w:rsid w:val="00F74E7C"/>
    <w:rsid w:val="00F84F3F"/>
    <w:rsid w:val="00F947D5"/>
    <w:rsid w:val="00FB7642"/>
    <w:rsid w:val="00FB7EA2"/>
    <w:rsid w:val="00FE2181"/>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8DE64"/>
  <w15:chartTrackingRefBased/>
  <w15:docId w15:val="{3EABE013-BDBA-4911-804E-31B2C7EEC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eastAsiaTheme="minorEastAsia"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列表段落 Zchn,¥¡¡¡¡ì¬º¥¹¥È¶ÎÂä Zchn,ÁÐ³ö¶ÎÂä Zchn,列表段落1 Zchn,—ño’i—Ž Zchn,¥ê¥¹¥È¶ÎÂä Zchn,列出段落 Zchn,Paragrafo elenco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iPriority w:val="99"/>
    <w:unhideWhenUsed/>
    <w:rsid w:val="006F5562"/>
    <w:pPr>
      <w:tabs>
        <w:tab w:val="center" w:pos="4536"/>
        <w:tab w:val="right" w:pos="9072"/>
      </w:tabs>
      <w:spacing w:after="0"/>
    </w:pPr>
  </w:style>
  <w:style w:type="character" w:customStyle="1" w:styleId="KopfzeileZchn">
    <w:name w:val="Kopfzeile Zchn"/>
    <w:basedOn w:val="Absatz-Standardschriftart"/>
    <w:link w:val="Kopfzeile"/>
    <w:uiPriority w:val="99"/>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uiPriority w:val="1"/>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eastAsiaTheme="minorEastAsia"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paragraph" w:customStyle="1" w:styleId="Agreement">
    <w:name w:val="Agreement"/>
    <w:basedOn w:val="Standard"/>
    <w:uiPriority w:val="99"/>
    <w:rsid w:val="00B51EA9"/>
    <w:pPr>
      <w:numPr>
        <w:numId w:val="22"/>
      </w:numPr>
      <w:spacing w:before="60" w:after="0"/>
    </w:pPr>
    <w:rPr>
      <w:rFonts w:ascii="Arial" w:eastAsiaTheme="minorHAnsi" w:hAnsi="Arial" w:cs="Arial"/>
      <w:b/>
      <w:bCs/>
      <w:lang w:val="de-DE" w:eastAsia="en-GB"/>
    </w:rPr>
  </w:style>
  <w:style w:type="character" w:styleId="Kommentarzeichen">
    <w:name w:val="annotation reference"/>
    <w:basedOn w:val="Absatz-Standardschriftart"/>
    <w:uiPriority w:val="99"/>
    <w:semiHidden/>
    <w:unhideWhenUsed/>
    <w:rsid w:val="00A423E6"/>
    <w:rPr>
      <w:sz w:val="16"/>
      <w:szCs w:val="16"/>
    </w:rPr>
  </w:style>
  <w:style w:type="paragraph" w:styleId="Kommentartext">
    <w:name w:val="annotation text"/>
    <w:basedOn w:val="Standard"/>
    <w:link w:val="KommentartextZchn"/>
    <w:uiPriority w:val="99"/>
    <w:semiHidden/>
    <w:unhideWhenUsed/>
    <w:rsid w:val="00A423E6"/>
  </w:style>
  <w:style w:type="character" w:customStyle="1" w:styleId="KommentartextZchn">
    <w:name w:val="Kommentartext Zchn"/>
    <w:basedOn w:val="Absatz-Standardschriftart"/>
    <w:link w:val="Kommentartext"/>
    <w:uiPriority w:val="99"/>
    <w:semiHidden/>
    <w:rsid w:val="00A423E6"/>
    <w:rPr>
      <w:rFonts w:ascii="Times New Roman" w:eastAsiaTheme="minorEastAsia"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A423E6"/>
    <w:rPr>
      <w:b/>
      <w:bCs/>
    </w:rPr>
  </w:style>
  <w:style w:type="character" w:customStyle="1" w:styleId="KommentarthemaZchn">
    <w:name w:val="Kommentarthema Zchn"/>
    <w:basedOn w:val="KommentartextZchn"/>
    <w:link w:val="Kommentarthema"/>
    <w:uiPriority w:val="99"/>
    <w:semiHidden/>
    <w:rsid w:val="00A423E6"/>
    <w:rPr>
      <w:rFonts w:ascii="Times New Roman" w:eastAsiaTheme="minorEastAsia"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174073">
      <w:bodyDiv w:val="1"/>
      <w:marLeft w:val="0"/>
      <w:marRight w:val="0"/>
      <w:marTop w:val="0"/>
      <w:marBottom w:val="0"/>
      <w:divBdr>
        <w:top w:val="none" w:sz="0" w:space="0" w:color="auto"/>
        <w:left w:val="none" w:sz="0" w:space="0" w:color="auto"/>
        <w:bottom w:val="none" w:sz="0" w:space="0" w:color="auto"/>
        <w:right w:val="none" w:sz="0" w:space="0" w:color="auto"/>
      </w:divBdr>
    </w:div>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55276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3.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5E3E50C4-5DD2-4726-B8C0-24802A154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826</Words>
  <Characters>5206</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 Kulakov, Vodafone</dc:creator>
  <cp:keywords/>
  <dc:description/>
  <cp:lastModifiedBy>Alexey Kulakov, Vodafone</cp:lastModifiedBy>
  <cp:revision>2</cp:revision>
  <dcterms:created xsi:type="dcterms:W3CDTF">2023-05-11T09:36:00Z</dcterms:created>
  <dcterms:modified xsi:type="dcterms:W3CDTF">2023-05-11T09:36:00Z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0359f705-2ba0-454b-9cfc-6ce5bcaac040_Enabled">
    <vt:lpwstr>true</vt:lpwstr>
  </property>
  <property fmtid="{D5CDD505-2E9C-101B-9397-08002B2CF9AE}" pid="5" name="MSIP_Label_0359f705-2ba0-454b-9cfc-6ce5bcaac040_SetDate">
    <vt:lpwstr>2023-05-11T09:36:07Z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fa59d5f3-14f0-4aba-a547-d1f0750a5123</vt:lpwstr>
  </property>
  <property fmtid="{D5CDD505-2E9C-101B-9397-08002B2CF9AE}" pid="10" name="MSIP_Label_0359f705-2ba0-454b-9cfc-6ce5bcaac040_ContentBits">
    <vt:lpwstr>2</vt:lpwstr>
  </property>
</Properties>
</file>