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9A5682B" w:rsidR="006408F6" w:rsidRPr="00575E71" w:rsidRDefault="003E5D2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R2-122</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2D14E6" w:rsidRPr="002D14E6">
        <w:rPr>
          <w:rFonts w:eastAsia="Times New Roman" w:cs="Arial"/>
          <w:bCs/>
          <w:noProof w:val="0"/>
          <w:sz w:val="24"/>
          <w:szCs w:val="28"/>
          <w:lang w:val="en-US" w:eastAsia="x-none"/>
        </w:rPr>
        <w:t>R2-2304966</w:t>
      </w:r>
    </w:p>
    <w:p w14:paraId="41F9B491" w14:textId="2CA4BE06" w:rsidR="0097167E" w:rsidRPr="00575E71" w:rsidRDefault="003E5D2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575E71">
        <w:rPr>
          <w:rFonts w:eastAsia="Times New Roman" w:cs="Arial"/>
          <w:noProof w:val="0"/>
          <w:sz w:val="24"/>
          <w:szCs w:val="28"/>
          <w:lang w:eastAsia="x-none"/>
        </w:rPr>
        <w:t xml:space="preserve">, </w:t>
      </w:r>
      <w:r w:rsidRPr="00276A55">
        <w:rPr>
          <w:rFonts w:hint="eastAsia"/>
          <w:sz w:val="24"/>
          <w:szCs w:val="24"/>
        </w:rPr>
        <w:t>May</w:t>
      </w:r>
      <w:r w:rsidRPr="00276A55">
        <w:rPr>
          <w:sz w:val="24"/>
          <w:szCs w:val="24"/>
        </w:rPr>
        <w:t xml:space="preserve"> </w:t>
      </w:r>
      <w:r w:rsidRPr="00276A55">
        <w:rPr>
          <w:rFonts w:hint="eastAsia"/>
          <w:sz w:val="24"/>
          <w:szCs w:val="24"/>
        </w:rPr>
        <w:t>22</w:t>
      </w:r>
      <w:r w:rsidRPr="00276A55">
        <w:rPr>
          <w:sz w:val="24"/>
          <w:szCs w:val="24"/>
        </w:rPr>
        <w:t xml:space="preserve"> – </w:t>
      </w:r>
      <w:r w:rsidRPr="00276A55">
        <w:rPr>
          <w:rFonts w:hint="eastAsia"/>
          <w:sz w:val="24"/>
          <w:szCs w:val="24"/>
        </w:rPr>
        <w:t>26,</w:t>
      </w:r>
      <w:r w:rsidRPr="00276A55">
        <w:rPr>
          <w:sz w:val="24"/>
          <w:szCs w:val="24"/>
        </w:rPr>
        <w:t xml:space="preserve"> </w:t>
      </w:r>
      <w:r w:rsidRPr="00276A55">
        <w:rPr>
          <w:rFonts w:hint="eastAsia"/>
          <w:sz w:val="24"/>
          <w:szCs w:val="24"/>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8BDE29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w:t>
      </w:r>
      <w:r w:rsidR="00416F30">
        <w:rPr>
          <w:rFonts w:ascii="Arial" w:hAnsi="Arial" w:cs="Arial"/>
          <w:szCs w:val="24"/>
        </w:rPr>
        <w:t>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13D0B88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7340A4">
        <w:rPr>
          <w:b/>
          <w:sz w:val="24"/>
          <w:lang w:val="en-GB"/>
        </w:rPr>
        <w:t xml:space="preserve">Security impacts </w:t>
      </w:r>
      <w:r w:rsidR="000B2572">
        <w:rPr>
          <w:b/>
          <w:sz w:val="24"/>
          <w:lang w:val="en-GB"/>
        </w:rPr>
        <w:t>of</w:t>
      </w:r>
      <w:r w:rsidR="007340A4">
        <w:rPr>
          <w:b/>
          <w:sz w:val="24"/>
          <w:lang w:val="en-GB"/>
        </w:rPr>
        <w:t xml:space="preserve"> </w:t>
      </w:r>
      <w:r w:rsidR="00BB05A0">
        <w:rPr>
          <w:b/>
          <w:sz w:val="24"/>
          <w:lang w:val="en-GB"/>
        </w:rPr>
        <w:t xml:space="preserve">intra </w:t>
      </w:r>
      <w:proofErr w:type="spellStart"/>
      <w:r w:rsidR="00BB05A0">
        <w:rPr>
          <w:b/>
          <w:sz w:val="24"/>
          <w:lang w:val="en-GB"/>
        </w:rPr>
        <w:t>gNB</w:t>
      </w:r>
      <w:proofErr w:type="spellEnd"/>
      <w:r w:rsidR="00BB05A0">
        <w:rPr>
          <w:b/>
          <w:sz w:val="24"/>
          <w:lang w:val="en-GB"/>
        </w:rPr>
        <w:t xml:space="preserve">, inter </w:t>
      </w:r>
      <w:proofErr w:type="spellStart"/>
      <w:r w:rsidR="00BB05A0">
        <w:rPr>
          <w:b/>
          <w:sz w:val="24"/>
          <w:lang w:val="en-GB"/>
        </w:rPr>
        <w:t>gNB</w:t>
      </w:r>
      <w:proofErr w:type="spellEnd"/>
      <w:r w:rsidR="00BB05A0">
        <w:rPr>
          <w:b/>
          <w:sz w:val="24"/>
          <w:lang w:val="en-GB"/>
        </w:rPr>
        <w:t>-CU-UP relocation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91FD80B" w14:textId="7F38FF95" w:rsidR="007340A4" w:rsidRDefault="007340A4" w:rsidP="006953A5">
      <w:pPr>
        <w:spacing w:before="120" w:after="120"/>
        <w:jc w:val="both"/>
        <w:rPr>
          <w:rFonts w:ascii="Arial" w:hAnsi="Arial" w:cs="Arial"/>
          <w:sz w:val="20"/>
          <w:szCs w:val="20"/>
          <w:lang w:val="en-GB"/>
        </w:rPr>
      </w:pPr>
      <w:r>
        <w:t xml:space="preserve">This contribution discusses the security aspects </w:t>
      </w:r>
      <w:r w:rsidR="001F7935">
        <w:t>associated with</w:t>
      </w:r>
      <w:r>
        <w:t xml:space="preserve"> inter </w:t>
      </w:r>
      <w:proofErr w:type="spellStart"/>
      <w:r>
        <w:t>gNB</w:t>
      </w:r>
      <w:proofErr w:type="spellEnd"/>
      <w:r>
        <w:t>-DU L1/2 Triggered Mobility</w:t>
      </w:r>
    </w:p>
    <w:p w14:paraId="3193FBF5" w14:textId="625ED31B"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7340A4">
        <w:rPr>
          <w:rFonts w:ascii="Arial" w:hAnsi="Arial" w:cs="Arial"/>
          <w:sz w:val="20"/>
          <w:szCs w:val="20"/>
          <w:lang w:val="en-GB"/>
        </w:rPr>
        <w:t>2</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001F7935">
        <w:rPr>
          <w:rFonts w:ascii="Arial" w:hAnsi="Arial" w:cs="Arial"/>
          <w:sz w:val="20"/>
          <w:szCs w:val="20"/>
          <w:lang w:val="en-GB"/>
        </w:rPr>
        <w:t xml:space="preserve"> (</w:t>
      </w:r>
      <w:r w:rsidR="001F7935">
        <w:t>RAN2#11</w:t>
      </w:r>
      <w:r w:rsidR="001F7935">
        <w:rPr>
          <w:lang w:eastAsia="zh-CN"/>
        </w:rPr>
        <w:t>9bis</w:t>
      </w:r>
      <w:r w:rsidR="001F7935">
        <w:rPr>
          <w:rFonts w:hint="eastAsia"/>
        </w:rPr>
        <w:t>-</w:t>
      </w:r>
      <w:r w:rsidR="001F7935">
        <w:t>e)</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 xml:space="preserve">ollowing agreement </w:t>
      </w:r>
      <w:r w:rsidR="007340A4">
        <w:rPr>
          <w:rFonts w:ascii="Arial" w:hAnsi="Arial" w:cs="Arial"/>
          <w:sz w:val="20"/>
          <w:szCs w:val="20"/>
          <w:lang w:val="en-GB"/>
        </w:rPr>
        <w:t>was</w:t>
      </w:r>
      <w:r w:rsidR="001A4337">
        <w:rPr>
          <w:rFonts w:ascii="Arial" w:hAnsi="Arial" w:cs="Arial"/>
          <w:sz w:val="20"/>
          <w:szCs w:val="20"/>
          <w:lang w:val="en-GB"/>
        </w:rPr>
        <w:t xml:space="preserv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4729FA90" w14:textId="0F8341EA" w:rsidR="00560BC6" w:rsidRPr="001F7935" w:rsidRDefault="001F7935" w:rsidP="001F7935">
            <w:pPr>
              <w:pStyle w:val="Agreement"/>
              <w:tabs>
                <w:tab w:val="clear" w:pos="-3602"/>
                <w:tab w:val="left" w:pos="1619"/>
              </w:tabs>
              <w:ind w:left="1619"/>
              <w:jc w:val="both"/>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tc>
      </w:tr>
    </w:tbl>
    <w:p w14:paraId="61C10978" w14:textId="77777777" w:rsidR="00AB3C69" w:rsidRDefault="00AB3C69" w:rsidP="00257453">
      <w:pPr>
        <w:spacing w:before="120" w:after="120"/>
        <w:jc w:val="both"/>
        <w:rPr>
          <w:rFonts w:ascii="Arial" w:hAnsi="Arial" w:cs="Arial"/>
          <w:sz w:val="20"/>
          <w:szCs w:val="20"/>
          <w:lang w:val="en-GB"/>
        </w:rPr>
      </w:pPr>
    </w:p>
    <w:p w14:paraId="7F726189" w14:textId="1EE7ED4C" w:rsidR="00AB3C69" w:rsidRDefault="00AB3C69" w:rsidP="00AB3C69">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Pr>
          <w:rFonts w:ascii="Arial" w:hAnsi="Arial" w:cs="Arial"/>
          <w:sz w:val="20"/>
          <w:szCs w:val="20"/>
          <w:lang w:val="en-GB"/>
        </w:rPr>
        <w:t>the</w:t>
      </w:r>
      <w:r>
        <w:rPr>
          <w:rFonts w:ascii="Arial" w:hAnsi="Arial" w:cs="Arial"/>
          <w:sz w:val="20"/>
          <w:szCs w:val="20"/>
          <w:lang w:val="en-GB"/>
        </w:rPr>
        <w:t xml:space="preserve"> previous</w:t>
      </w:r>
      <w:r w:rsidRPr="00575E71">
        <w:rPr>
          <w:rFonts w:ascii="Arial" w:hAnsi="Arial" w:cs="Arial"/>
          <w:sz w:val="20"/>
          <w:szCs w:val="20"/>
          <w:lang w:val="en-GB"/>
        </w:rPr>
        <w:t xml:space="preserve"> </w:t>
      </w:r>
      <w:r>
        <w:rPr>
          <w:rFonts w:ascii="Arial" w:hAnsi="Arial" w:cs="Arial"/>
          <w:sz w:val="20"/>
          <w:szCs w:val="20"/>
          <w:lang w:val="en-GB"/>
        </w:rPr>
        <w:t>RAN</w:t>
      </w:r>
      <w:r>
        <w:rPr>
          <w:rFonts w:ascii="Arial" w:hAnsi="Arial" w:cs="Arial"/>
          <w:sz w:val="20"/>
          <w:szCs w:val="20"/>
          <w:lang w:val="en-GB"/>
        </w:rPr>
        <w:t>3</w:t>
      </w:r>
      <w:r>
        <w:rPr>
          <w:rFonts w:ascii="Arial" w:hAnsi="Arial" w:cs="Arial"/>
          <w:sz w:val="20"/>
          <w:szCs w:val="20"/>
          <w:lang w:val="en-GB"/>
        </w:rPr>
        <w:t xml:space="preserve"> </w:t>
      </w:r>
      <w:r w:rsidRPr="00575E71">
        <w:rPr>
          <w:rFonts w:ascii="Arial" w:hAnsi="Arial" w:cs="Arial"/>
          <w:sz w:val="20"/>
          <w:szCs w:val="20"/>
          <w:lang w:val="en-GB"/>
        </w:rPr>
        <w:t>meeting</w:t>
      </w:r>
      <w:r>
        <w:rPr>
          <w:rFonts w:ascii="Arial" w:hAnsi="Arial" w:cs="Arial"/>
          <w:sz w:val="20"/>
          <w:szCs w:val="20"/>
          <w:lang w:val="en-GB"/>
        </w:rPr>
        <w:t xml:space="preserve"> (</w:t>
      </w:r>
      <w:r>
        <w:t>RAN</w:t>
      </w:r>
      <w:r>
        <w:t>3</w:t>
      </w:r>
      <w:r>
        <w:t>#11</w:t>
      </w:r>
      <w:r>
        <w:rPr>
          <w:lang w:eastAsia="zh-CN"/>
        </w:rPr>
        <w:t>9bis</w:t>
      </w:r>
      <w:r>
        <w:rPr>
          <w:rFonts w:hint="eastAsia"/>
        </w:rPr>
        <w:t>-</w:t>
      </w:r>
      <w:r>
        <w:t>e)</w:t>
      </w:r>
      <w:r w:rsidRPr="00575E71">
        <w:rPr>
          <w:rFonts w:ascii="Arial" w:hAnsi="Arial" w:cs="Arial"/>
          <w:sz w:val="20"/>
          <w:szCs w:val="20"/>
          <w:lang w:val="en-GB"/>
        </w:rPr>
        <w:t xml:space="preserve">, </w:t>
      </w:r>
      <w:r>
        <w:rPr>
          <w:rFonts w:ascii="Arial" w:hAnsi="Arial" w:cs="Arial"/>
          <w:sz w:val="20"/>
          <w:szCs w:val="20"/>
          <w:lang w:val="en-GB"/>
        </w:rPr>
        <w:t xml:space="preserve">the following </w:t>
      </w:r>
      <w:r>
        <w:rPr>
          <w:rFonts w:ascii="Arial" w:hAnsi="Arial" w:cs="Arial"/>
          <w:sz w:val="20"/>
          <w:szCs w:val="20"/>
          <w:lang w:val="en-GB"/>
        </w:rPr>
        <w:t xml:space="preserve">scenario has been identified and corresponding </w:t>
      </w:r>
      <w:r>
        <w:rPr>
          <w:rFonts w:ascii="Arial" w:hAnsi="Arial" w:cs="Arial"/>
          <w:sz w:val="20"/>
          <w:szCs w:val="20"/>
          <w:lang w:val="en-GB"/>
        </w:rPr>
        <w:t>agreement was made:</w:t>
      </w:r>
    </w:p>
    <w:tbl>
      <w:tblPr>
        <w:tblStyle w:val="TableGrid"/>
        <w:tblW w:w="0" w:type="auto"/>
        <w:tblLook w:val="04A0" w:firstRow="1" w:lastRow="0" w:firstColumn="1" w:lastColumn="0" w:noHBand="0" w:noVBand="1"/>
      </w:tblPr>
      <w:tblGrid>
        <w:gridCol w:w="10195"/>
      </w:tblGrid>
      <w:tr w:rsidR="00AB3C69" w:rsidRPr="00575E71" w14:paraId="614C36D2" w14:textId="77777777" w:rsidTr="00955B70">
        <w:tc>
          <w:tcPr>
            <w:tcW w:w="10195" w:type="dxa"/>
          </w:tcPr>
          <w:p w14:paraId="1D2EBB0F" w14:textId="77777777" w:rsidR="00AB3C69" w:rsidRPr="00AB3C69" w:rsidRDefault="00AB3C69" w:rsidP="00AB3C69">
            <w:pPr>
              <w:overflowPunct w:val="0"/>
              <w:spacing w:after="18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eastAsianLayout w:id="-1252828922"/>
              </w:rPr>
              <w:t>Agreements</w:t>
            </w:r>
            <w:r w:rsidRPr="00AB3C69">
              <w:rPr>
                <w:rFonts w:ascii="Arial" w:eastAsia="Times New Roman" w:hAnsi="Arial" w:cs="+mj-cs"/>
                <w:b/>
                <w:bCs/>
                <w:color w:val="008000"/>
                <w:u w:val="single"/>
                <w:lang w:val="en-GB" w:eastAsia="en-GB"/>
                <w:eastAsianLayout w:id="-1252828921"/>
              </w:rPr>
              <w:t>:</w:t>
            </w:r>
          </w:p>
          <w:p w14:paraId="61F8C4E0"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eastAsianLayout w:id="-1252828915"/>
              </w:rPr>
              <w:t xml:space="preserve">For inter-CU-UP LTM, once the CU-CP receives LTM cell switch </w:t>
            </w:r>
            <w:proofErr w:type="spellStart"/>
            <w:r w:rsidRPr="00AB3C69">
              <w:rPr>
                <w:rFonts w:ascii="Times New Roman" w:eastAsia="Times New Roman" w:hAnsi="Times New Roman" w:cs="+mj-cs"/>
                <w:b/>
                <w:bCs/>
                <w:color w:val="008000"/>
                <w:highlight w:val="yellow"/>
                <w:lang w:val="en-GB" w:eastAsia="en-GB"/>
                <w:eastAsianLayout w:id="-1252828914"/>
              </w:rPr>
              <w:t>signaling</w:t>
            </w:r>
            <w:proofErr w:type="spellEnd"/>
            <w:r w:rsidRPr="00AB3C69">
              <w:rPr>
                <w:rFonts w:ascii="Times New Roman" w:eastAsia="Times New Roman" w:hAnsi="Times New Roman" w:cs="+mj-cs"/>
                <w:b/>
                <w:bCs/>
                <w:color w:val="008000"/>
                <w:highlight w:val="yellow"/>
                <w:lang w:val="en-GB" w:eastAsia="en-GB"/>
                <w:eastAsianLayout w:id="-1252828913"/>
              </w:rPr>
              <w:t xml:space="preserve"> from (source) DU, the CU-CP initiates E1 bearer context modification to the target CU UP including DL tunnel ID per DRB for target cell for data transmission</w:t>
            </w:r>
            <w:r w:rsidRPr="00AB3C69">
              <w:rPr>
                <w:rFonts w:ascii="Times New Roman" w:eastAsia="Times New Roman" w:hAnsi="Times New Roman" w:cs="+mj-cs"/>
                <w:b/>
                <w:bCs/>
                <w:color w:val="008000"/>
                <w:lang w:val="en-GB" w:eastAsia="en-GB"/>
                <w:eastAsianLayout w:id="-1252828912"/>
              </w:rPr>
              <w:t>.</w:t>
            </w:r>
          </w:p>
          <w:p w14:paraId="1FA5C115" w14:textId="77777777" w:rsidR="00AB3C69" w:rsidRPr="00AB3C69" w:rsidRDefault="00AB3C69" w:rsidP="00AB3C69">
            <w:pPr>
              <w:overflowPunct w:val="0"/>
              <w:rPr>
                <w:rFonts w:ascii="Times New Roman" w:eastAsia="Times New Roman" w:hAnsi="Times New Roman"/>
                <w:sz w:val="24"/>
                <w:szCs w:val="24"/>
                <w:lang w:val="en-IN" w:eastAsia="en-GB"/>
              </w:rPr>
            </w:pPr>
            <w:r w:rsidRPr="00AB3C69">
              <w:rPr>
                <w:rFonts w:ascii="Arial" w:eastAsia="Times New Roman" w:hAnsi="Arial" w:cs="+mj-cs"/>
                <w:b/>
                <w:bCs/>
                <w:color w:val="008000"/>
                <w:u w:val="single"/>
                <w:lang w:val="en-GB" w:eastAsia="en-GB"/>
                <w:eastAsianLayout w:id="-1252828928"/>
              </w:rPr>
              <w:t>Agreements:</w:t>
            </w:r>
          </w:p>
          <w:p w14:paraId="34ED1833"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eastAsianLayout w:id="-1252828927"/>
              </w:rPr>
              <w:t>For inter-CU-UP LTM, the CU-CP initiates E1 bearer context modification to the source CU-UP for retrieving the latest PDCP status at the source CU-UP and exchanging the data forwarding information to target CU-UP.</w:t>
            </w:r>
          </w:p>
          <w:p w14:paraId="06C620A4" w14:textId="77777777"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highlight w:val="yellow"/>
                <w:lang w:val="en-GB" w:eastAsia="en-GB"/>
                <w:eastAsianLayout w:id="-1252828926"/>
              </w:rPr>
              <w:t xml:space="preserve">In case of </w:t>
            </w:r>
            <w:proofErr w:type="spellStart"/>
            <w:r w:rsidRPr="00AB3C69">
              <w:rPr>
                <w:rFonts w:ascii="Times New Roman" w:eastAsia="Times New Roman" w:hAnsi="Times New Roman" w:cs="+mj-cs"/>
                <w:b/>
                <w:bCs/>
                <w:color w:val="008000"/>
                <w:highlight w:val="yellow"/>
                <w:lang w:val="en-GB" w:eastAsia="en-GB"/>
                <w:eastAsianLayout w:id="-1252828925"/>
              </w:rPr>
              <w:t>gNB</w:t>
            </w:r>
            <w:proofErr w:type="spellEnd"/>
            <w:r w:rsidRPr="00AB3C69">
              <w:rPr>
                <w:rFonts w:ascii="Times New Roman" w:eastAsia="Times New Roman" w:hAnsi="Times New Roman" w:cs="+mj-cs"/>
                <w:b/>
                <w:bCs/>
                <w:color w:val="008000"/>
                <w:highlight w:val="yellow"/>
                <w:lang w:val="en-GB" w:eastAsia="en-GB"/>
                <w:eastAsianLayout w:id="-1252828924"/>
              </w:rPr>
              <w:t xml:space="preserve">-CU-UP change, the </w:t>
            </w:r>
            <w:proofErr w:type="spellStart"/>
            <w:r w:rsidRPr="00AB3C69">
              <w:rPr>
                <w:rFonts w:ascii="Times New Roman" w:eastAsia="Times New Roman" w:hAnsi="Times New Roman" w:cs="+mj-cs"/>
                <w:b/>
                <w:bCs/>
                <w:color w:val="008000"/>
                <w:highlight w:val="yellow"/>
                <w:lang w:val="en-GB" w:eastAsia="en-GB"/>
                <w:eastAsianLayout w:id="-1252828923"/>
              </w:rPr>
              <w:t>gNB</w:t>
            </w:r>
            <w:proofErr w:type="spellEnd"/>
            <w:r w:rsidRPr="00AB3C69">
              <w:rPr>
                <w:rFonts w:ascii="Times New Roman" w:eastAsia="Times New Roman" w:hAnsi="Times New Roman" w:cs="+mj-cs"/>
                <w:b/>
                <w:bCs/>
                <w:color w:val="008000"/>
                <w:highlight w:val="yellow"/>
                <w:lang w:val="en-GB" w:eastAsia="en-GB"/>
                <w:eastAsianLayout w:id="-1252828922"/>
              </w:rPr>
              <w:t xml:space="preserve">-CU triggers the source </w:t>
            </w:r>
            <w:proofErr w:type="spellStart"/>
            <w:r w:rsidRPr="00AB3C69">
              <w:rPr>
                <w:rFonts w:ascii="Times New Roman" w:eastAsia="Times New Roman" w:hAnsi="Times New Roman" w:cs="+mj-cs"/>
                <w:b/>
                <w:bCs/>
                <w:color w:val="008000"/>
                <w:highlight w:val="yellow"/>
                <w:lang w:val="en-GB" w:eastAsia="en-GB"/>
                <w:eastAsianLayout w:id="-1252828921"/>
              </w:rPr>
              <w:t>gNB</w:t>
            </w:r>
            <w:proofErr w:type="spellEnd"/>
            <w:r w:rsidRPr="00AB3C69">
              <w:rPr>
                <w:rFonts w:ascii="Times New Roman" w:eastAsia="Times New Roman" w:hAnsi="Times New Roman" w:cs="+mj-cs"/>
                <w:b/>
                <w:bCs/>
                <w:color w:val="008000"/>
                <w:highlight w:val="yellow"/>
                <w:lang w:val="en-GB" w:eastAsia="en-GB"/>
                <w:eastAsianLayout w:id="-1252828920"/>
              </w:rPr>
              <w:t>-CU-UP to start data forwarding after receiving LTM cells switch signalling from DU</w:t>
            </w:r>
            <w:r w:rsidRPr="00AB3C69">
              <w:rPr>
                <w:rFonts w:ascii="Times New Roman" w:eastAsia="Times New Roman" w:hAnsi="Times New Roman" w:cs="+mj-cs"/>
                <w:b/>
                <w:bCs/>
                <w:color w:val="008000"/>
                <w:lang w:val="en-GB" w:eastAsia="en-GB"/>
                <w:eastAsianLayout w:id="-1252828919"/>
              </w:rPr>
              <w:t>.</w:t>
            </w:r>
          </w:p>
          <w:p w14:paraId="4F03D697" w14:textId="17D1C910" w:rsidR="00AB3C69" w:rsidRPr="00AB3C69" w:rsidRDefault="00AB3C69" w:rsidP="00AB3C69">
            <w:pPr>
              <w:overflowPunct w:val="0"/>
              <w:spacing w:after="120"/>
              <w:rPr>
                <w:rFonts w:ascii="Times New Roman" w:eastAsia="Times New Roman" w:hAnsi="Times New Roman"/>
                <w:sz w:val="24"/>
                <w:szCs w:val="24"/>
                <w:lang w:val="en-IN" w:eastAsia="en-GB"/>
              </w:rPr>
            </w:pPr>
            <w:r w:rsidRPr="00AB3C69">
              <w:rPr>
                <w:rFonts w:ascii="Times New Roman" w:eastAsia="Times New Roman" w:hAnsi="Times New Roman" w:cs="+mj-cs"/>
                <w:b/>
                <w:bCs/>
                <w:color w:val="008000"/>
                <w:lang w:val="en-GB" w:eastAsia="en-GB"/>
                <w:eastAsianLayout w:id="-1252828918"/>
              </w:rPr>
              <w:t>For inter-CU-UP LTM, Path switch procedure is performed towards the core network after detecting the UE has accessed to the target cell</w:t>
            </w:r>
            <w:r w:rsidRPr="00AB3C69">
              <w:rPr>
                <w:rFonts w:ascii="Times New Roman" w:eastAsia="Times New Roman" w:hAnsi="Times New Roman" w:cs="+mj-cs"/>
                <w:b/>
                <w:bCs/>
                <w:color w:val="008000"/>
                <w:lang w:val="en-GB" w:eastAsia="en-GB"/>
                <w:eastAsianLayout w:id="-1252828917"/>
              </w:rPr>
              <w:t>.</w:t>
            </w:r>
          </w:p>
        </w:tc>
      </w:tr>
    </w:tbl>
    <w:p w14:paraId="075FC0C1" w14:textId="77777777" w:rsidR="00AB3C69" w:rsidRDefault="00AB3C69" w:rsidP="00257453">
      <w:pPr>
        <w:spacing w:before="120" w:after="120"/>
        <w:jc w:val="both"/>
        <w:rPr>
          <w:rFonts w:ascii="Arial" w:hAnsi="Arial" w:cs="Arial"/>
          <w:sz w:val="20"/>
          <w:szCs w:val="20"/>
          <w:lang w:val="en-GB"/>
        </w:rPr>
      </w:pPr>
    </w:p>
    <w:p w14:paraId="1B3A399A" w14:textId="45953003"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1F7935">
        <w:rPr>
          <w:rFonts w:ascii="Arial" w:hAnsi="Arial" w:cs="Arial"/>
          <w:sz w:val="20"/>
          <w:szCs w:val="20"/>
          <w:lang w:val="en-GB"/>
        </w:rPr>
        <w:t xml:space="preserve">we </w:t>
      </w:r>
      <w:r w:rsidR="007340A4">
        <w:rPr>
          <w:rFonts w:ascii="Arial" w:hAnsi="Arial" w:cs="Arial"/>
          <w:sz w:val="20"/>
          <w:szCs w:val="20"/>
          <w:lang w:val="en-GB"/>
        </w:rPr>
        <w:t xml:space="preserve">present a </w:t>
      </w:r>
      <w:r w:rsidR="001F7935">
        <w:rPr>
          <w:rFonts w:ascii="Arial" w:hAnsi="Arial" w:cs="Arial"/>
          <w:sz w:val="20"/>
          <w:szCs w:val="20"/>
          <w:lang w:val="en-GB"/>
        </w:rPr>
        <w:t>plausible use case</w:t>
      </w:r>
      <w:r w:rsidR="007340A4">
        <w:rPr>
          <w:rFonts w:ascii="Arial" w:hAnsi="Arial" w:cs="Arial"/>
          <w:sz w:val="20"/>
          <w:szCs w:val="20"/>
          <w:lang w:val="en-GB"/>
        </w:rPr>
        <w:t xml:space="preserve"> and analyse the security impacts on a typical inter </w:t>
      </w:r>
      <w:proofErr w:type="spellStart"/>
      <w:r w:rsidR="007340A4">
        <w:rPr>
          <w:rFonts w:ascii="Arial" w:hAnsi="Arial" w:cs="Arial"/>
          <w:sz w:val="20"/>
          <w:szCs w:val="20"/>
          <w:lang w:val="en-GB"/>
        </w:rPr>
        <w:t>gNB</w:t>
      </w:r>
      <w:proofErr w:type="spellEnd"/>
      <w:r w:rsidR="007340A4">
        <w:rPr>
          <w:rFonts w:ascii="Arial" w:hAnsi="Arial" w:cs="Arial"/>
          <w:sz w:val="20"/>
          <w:szCs w:val="20"/>
          <w:lang w:val="en-GB"/>
        </w:rPr>
        <w:t>-DU LTM</w:t>
      </w:r>
      <w:r w:rsidR="001F7935">
        <w:rPr>
          <w:rFonts w:ascii="Arial" w:hAnsi="Arial" w:cs="Arial"/>
          <w:sz w:val="20"/>
          <w:szCs w:val="20"/>
          <w:lang w:val="en-GB"/>
        </w:rPr>
        <w:t xml:space="preserve"> connected to the use case</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3317DC4F"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7340A4">
        <w:rPr>
          <w:rFonts w:ascii="Arial" w:hAnsi="Arial" w:cs="Arial"/>
          <w:sz w:val="20"/>
          <w:szCs w:val="20"/>
          <w:lang w:val="en-GB"/>
        </w:rPr>
        <w:t xml:space="preserve">RAN2 has agreed that there shall be no security </w:t>
      </w:r>
      <w:r w:rsidR="001F7935">
        <w:rPr>
          <w:rFonts w:ascii="Arial" w:hAnsi="Arial" w:cs="Arial"/>
          <w:sz w:val="20"/>
          <w:szCs w:val="20"/>
          <w:lang w:val="en-GB"/>
        </w:rPr>
        <w:t>update</w:t>
      </w:r>
      <w:r w:rsidR="007340A4">
        <w:rPr>
          <w:rFonts w:ascii="Arial" w:hAnsi="Arial" w:cs="Arial"/>
          <w:sz w:val="20"/>
          <w:szCs w:val="20"/>
          <w:lang w:val="en-GB"/>
        </w:rPr>
        <w:t xml:space="preserve"> during the LTM handover scenarios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66A4AA37" w14:textId="076A3083" w:rsidR="00660D4B" w:rsidRDefault="007340A4" w:rsidP="007340A4">
      <w:pPr>
        <w:pStyle w:val="Heading2"/>
        <w:rPr>
          <w:rFonts w:cs="Arial"/>
        </w:rPr>
      </w:pPr>
      <w:r>
        <w:rPr>
          <w:rFonts w:cs="Arial"/>
        </w:rPr>
        <w:lastRenderedPageBreak/>
        <w:t xml:space="preserve">Inter </w:t>
      </w:r>
      <w:proofErr w:type="spellStart"/>
      <w:r>
        <w:rPr>
          <w:rFonts w:cs="Arial"/>
        </w:rPr>
        <w:t>gNB</w:t>
      </w:r>
      <w:proofErr w:type="spellEnd"/>
      <w:r>
        <w:rPr>
          <w:rFonts w:cs="Arial"/>
        </w:rPr>
        <w:t xml:space="preserve">-DU LTM HO with </w:t>
      </w:r>
      <w:proofErr w:type="spellStart"/>
      <w:r>
        <w:rPr>
          <w:rFonts w:cs="Arial"/>
        </w:rPr>
        <w:t>gNB</w:t>
      </w:r>
      <w:proofErr w:type="spellEnd"/>
      <w:r>
        <w:rPr>
          <w:rFonts w:cs="Arial"/>
        </w:rPr>
        <w:t xml:space="preserve">-CU-UP </w:t>
      </w:r>
      <w:r w:rsidR="007313DA">
        <w:rPr>
          <w:rFonts w:cs="Arial"/>
        </w:rPr>
        <w:t>relocation.</w:t>
      </w:r>
    </w:p>
    <w:p w14:paraId="015DEC0A" w14:textId="0B34F076" w:rsidR="007340A4" w:rsidRDefault="007340A4" w:rsidP="007340A4">
      <w:pPr>
        <w:rPr>
          <w:lang w:val="en-GB" w:eastAsia="en-US"/>
        </w:rPr>
      </w:pPr>
    </w:p>
    <w:p w14:paraId="08F99485" w14:textId="77777777" w:rsidR="007340A4" w:rsidRPr="007340A4" w:rsidRDefault="007340A4" w:rsidP="007340A4">
      <w:pPr>
        <w:rPr>
          <w:lang w:val="en-GB" w:eastAsia="en-US"/>
        </w:rPr>
      </w:pPr>
    </w:p>
    <w:p w14:paraId="4B393227" w14:textId="3A1EF5ED" w:rsidR="007340A4" w:rsidRDefault="003C0C4B" w:rsidP="00532567">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0CD6275" wp14:editId="18032FFF">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526EA3DC" w14:textId="6A0419FF" w:rsidR="007340A4" w:rsidRDefault="007340A4" w:rsidP="007340A4">
      <w:pPr>
        <w:spacing w:before="120" w:after="120"/>
        <w:jc w:val="center"/>
        <w:rPr>
          <w:rFonts w:ascii="Arial" w:hAnsi="Arial" w:cs="Arial"/>
          <w:sz w:val="20"/>
          <w:szCs w:val="20"/>
        </w:rPr>
      </w:pPr>
      <w:r>
        <w:rPr>
          <w:rFonts w:ascii="Arial" w:hAnsi="Arial" w:cs="Arial"/>
          <w:sz w:val="20"/>
          <w:szCs w:val="20"/>
        </w:rPr>
        <w:t xml:space="preserve">Figure </w:t>
      </w:r>
      <w:r w:rsidR="006805B4">
        <w:rPr>
          <w:rFonts w:ascii="Arial" w:hAnsi="Arial" w:cs="Arial"/>
          <w:sz w:val="20"/>
          <w:szCs w:val="20"/>
        </w:rPr>
        <w:t>1:</w:t>
      </w:r>
      <w:r>
        <w:rPr>
          <w:rFonts w:ascii="Arial" w:hAnsi="Arial" w:cs="Arial"/>
          <w:sz w:val="20"/>
          <w:szCs w:val="20"/>
        </w:rPr>
        <w:t xml:space="preserve"> Inter </w:t>
      </w:r>
      <w:proofErr w:type="spellStart"/>
      <w:r>
        <w:rPr>
          <w:rFonts w:ascii="Arial" w:hAnsi="Arial" w:cs="Arial"/>
          <w:sz w:val="20"/>
          <w:szCs w:val="20"/>
        </w:rPr>
        <w:t>gNB</w:t>
      </w:r>
      <w:proofErr w:type="spellEnd"/>
      <w:r>
        <w:rPr>
          <w:rFonts w:ascii="Arial" w:hAnsi="Arial" w:cs="Arial"/>
          <w:sz w:val="20"/>
          <w:szCs w:val="20"/>
        </w:rPr>
        <w:t xml:space="preserve">-DU LTM HO with </w:t>
      </w:r>
      <w:r w:rsidR="00BE160F">
        <w:rPr>
          <w:rFonts w:ascii="Arial" w:hAnsi="Arial" w:cs="Arial"/>
          <w:sz w:val="20"/>
          <w:szCs w:val="20"/>
        </w:rPr>
        <w:t xml:space="preserve">intra </w:t>
      </w:r>
      <w:proofErr w:type="spellStart"/>
      <w:r w:rsidR="00BE160F">
        <w:rPr>
          <w:rFonts w:ascii="Arial" w:hAnsi="Arial" w:cs="Arial"/>
          <w:sz w:val="20"/>
          <w:szCs w:val="20"/>
        </w:rPr>
        <w:t>gNB</w:t>
      </w:r>
      <w:proofErr w:type="spellEnd"/>
      <w:r w:rsidR="00BE160F">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 xml:space="preserve">-CU-UP </w:t>
      </w:r>
      <w:proofErr w:type="gramStart"/>
      <w:r>
        <w:rPr>
          <w:rFonts w:ascii="Arial" w:hAnsi="Arial" w:cs="Arial"/>
          <w:sz w:val="20"/>
          <w:szCs w:val="20"/>
        </w:rPr>
        <w:t>relocation</w:t>
      </w:r>
      <w:proofErr w:type="gramEnd"/>
    </w:p>
    <w:p w14:paraId="4BE77410" w14:textId="77777777" w:rsidR="007340A4" w:rsidRDefault="007340A4" w:rsidP="00532567">
      <w:pPr>
        <w:spacing w:before="120" w:after="120"/>
        <w:jc w:val="both"/>
        <w:rPr>
          <w:rFonts w:ascii="Arial" w:hAnsi="Arial" w:cs="Arial"/>
          <w:sz w:val="20"/>
          <w:szCs w:val="20"/>
        </w:rPr>
      </w:pPr>
    </w:p>
    <w:p w14:paraId="231AAA09" w14:textId="5B65F2D9" w:rsidR="003C0C4B" w:rsidRDefault="007340A4" w:rsidP="005424E7">
      <w:pPr>
        <w:spacing w:before="120" w:after="120"/>
        <w:jc w:val="both"/>
        <w:rPr>
          <w:rFonts w:ascii="Arial" w:hAnsi="Arial" w:cs="Arial"/>
          <w:sz w:val="20"/>
          <w:szCs w:val="20"/>
        </w:rPr>
      </w:pPr>
      <w:r>
        <w:rPr>
          <w:rFonts w:ascii="Arial" w:hAnsi="Arial" w:cs="Arial"/>
          <w:sz w:val="20"/>
          <w:szCs w:val="20"/>
        </w:rPr>
        <w:t xml:space="preserve">Let us consider the above figure which depicts </w:t>
      </w:r>
      <w:r w:rsidR="003C0C4B">
        <w:rPr>
          <w:rFonts w:ascii="Arial" w:hAnsi="Arial" w:cs="Arial"/>
          <w:sz w:val="20"/>
          <w:szCs w:val="20"/>
        </w:rPr>
        <w:t xml:space="preserve">a </w:t>
      </w:r>
      <w:proofErr w:type="spellStart"/>
      <w:r w:rsidR="003C0C4B">
        <w:rPr>
          <w:rFonts w:ascii="Arial" w:hAnsi="Arial" w:cs="Arial"/>
          <w:sz w:val="20"/>
          <w:szCs w:val="20"/>
        </w:rPr>
        <w:t>gNB</w:t>
      </w:r>
      <w:proofErr w:type="spellEnd"/>
      <w:r w:rsidR="003C0C4B">
        <w:rPr>
          <w:rFonts w:ascii="Arial" w:hAnsi="Arial" w:cs="Arial"/>
          <w:sz w:val="20"/>
          <w:szCs w:val="20"/>
        </w:rPr>
        <w:t xml:space="preserve"> with the following</w:t>
      </w:r>
      <w:r w:rsidR="00BE4136">
        <w:rPr>
          <w:rFonts w:ascii="Arial" w:hAnsi="Arial" w:cs="Arial"/>
          <w:sz w:val="20"/>
          <w:szCs w:val="20"/>
        </w:rPr>
        <w:t xml:space="preserve"> elements,</w:t>
      </w:r>
    </w:p>
    <w:p w14:paraId="1467C2F6" w14:textId="712247B2" w:rsidR="004638FD"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hosts a </w:t>
      </w:r>
      <w:proofErr w:type="spellStart"/>
      <w:r>
        <w:rPr>
          <w:rFonts w:ascii="Arial" w:hAnsi="Arial" w:cs="Arial"/>
        </w:rPr>
        <w:t>gNB</w:t>
      </w:r>
      <w:proofErr w:type="spellEnd"/>
      <w:r>
        <w:rPr>
          <w:rFonts w:ascii="Arial" w:hAnsi="Arial" w:cs="Arial"/>
        </w:rPr>
        <w:t>-CU-CP and t</w:t>
      </w:r>
      <w:r w:rsidR="003C0C4B" w:rsidRPr="003C0C4B">
        <w:rPr>
          <w:rFonts w:ascii="Arial" w:hAnsi="Arial" w:cs="Arial"/>
        </w:rPr>
        <w:t xml:space="preserve">wo </w:t>
      </w:r>
      <w:proofErr w:type="spellStart"/>
      <w:r w:rsidR="003C0C4B" w:rsidRPr="003C0C4B">
        <w:rPr>
          <w:rFonts w:ascii="Arial" w:hAnsi="Arial" w:cs="Arial"/>
        </w:rPr>
        <w:t>gNB</w:t>
      </w:r>
      <w:proofErr w:type="spellEnd"/>
      <w:r w:rsidR="003C0C4B"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003C0C4B" w:rsidRPr="003C0C4B">
        <w:rPr>
          <w:rFonts w:ascii="Arial" w:hAnsi="Arial" w:cs="Arial"/>
        </w:rPr>
        <w:t>.</w:t>
      </w:r>
    </w:p>
    <w:p w14:paraId="70909337" w14:textId="4D494960"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1..</w:t>
      </w:r>
      <w:proofErr w:type="gramEnd"/>
      <w:r>
        <w:rPr>
          <w:rFonts w:ascii="Arial" w:hAnsi="Arial" w:cs="Arial"/>
        </w:rPr>
        <w:t>DU5.</w:t>
      </w:r>
    </w:p>
    <w:p w14:paraId="59BD5C5C" w14:textId="4A1E3B33" w:rsidR="00E0772F" w:rsidRDefault="00E0772F" w:rsidP="003C0C4B">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sidR="00BE4136">
        <w:rPr>
          <w:rFonts w:ascii="Arial" w:hAnsi="Arial" w:cs="Arial"/>
        </w:rPr>
        <w:t>gNB</w:t>
      </w:r>
      <w:proofErr w:type="spellEnd"/>
      <w:r w:rsidR="00BE4136">
        <w:rPr>
          <w:rFonts w:ascii="Arial" w:hAnsi="Arial" w:cs="Arial"/>
        </w:rPr>
        <w:t xml:space="preserve">-DUs, </w:t>
      </w:r>
      <w:r>
        <w:rPr>
          <w:rFonts w:ascii="Arial" w:hAnsi="Arial" w:cs="Arial"/>
        </w:rPr>
        <w:t>DU</w:t>
      </w:r>
      <w:proofErr w:type="gramStart"/>
      <w:r>
        <w:rPr>
          <w:rFonts w:ascii="Arial" w:hAnsi="Arial" w:cs="Arial"/>
        </w:rPr>
        <w:t>6..</w:t>
      </w:r>
      <w:proofErr w:type="gramEnd"/>
      <w:r>
        <w:rPr>
          <w:rFonts w:ascii="Arial" w:hAnsi="Arial" w:cs="Arial"/>
        </w:rPr>
        <w:t>DU10</w:t>
      </w:r>
      <w:r w:rsidR="00BE4136">
        <w:rPr>
          <w:rFonts w:ascii="Arial" w:hAnsi="Arial" w:cs="Arial"/>
        </w:rPr>
        <w:t>.</w:t>
      </w:r>
    </w:p>
    <w:p w14:paraId="3B690171" w14:textId="65D6BF57" w:rsidR="00E0772F" w:rsidRDefault="00BE4136" w:rsidP="00E0772F">
      <w:pPr>
        <w:spacing w:before="120" w:after="120"/>
        <w:jc w:val="both"/>
        <w:rPr>
          <w:rFonts w:ascii="Arial" w:hAnsi="Arial" w:cs="Arial"/>
          <w:lang w:eastAsia="en-US"/>
        </w:rPr>
      </w:pPr>
      <w:r>
        <w:rPr>
          <w:rFonts w:ascii="Arial" w:hAnsi="Arial" w:cs="Arial"/>
          <w:lang w:eastAsia="en-US"/>
        </w:rPr>
        <w:t>W</w:t>
      </w:r>
      <w:r w:rsidR="00E0772F">
        <w:rPr>
          <w:rFonts w:ascii="Arial" w:hAnsi="Arial" w:cs="Arial"/>
          <w:lang w:eastAsia="en-US"/>
        </w:rPr>
        <w:t xml:space="preserve">hile the </w:t>
      </w:r>
      <w:proofErr w:type="spellStart"/>
      <w:r w:rsidR="00E0772F">
        <w:rPr>
          <w:rFonts w:ascii="Arial" w:hAnsi="Arial" w:cs="Arial"/>
          <w:lang w:eastAsia="en-US"/>
        </w:rPr>
        <w:t>gNB</w:t>
      </w:r>
      <w:proofErr w:type="spellEnd"/>
      <w:r w:rsidR="00E0772F">
        <w:rPr>
          <w:rFonts w:ascii="Arial" w:hAnsi="Arial" w:cs="Arial"/>
          <w:lang w:eastAsia="en-US"/>
        </w:rPr>
        <w:t xml:space="preserve"> internal architecture is not relevant to RAN2, it </w:t>
      </w:r>
      <w:r w:rsidR="006F5C68">
        <w:rPr>
          <w:rFonts w:ascii="Arial" w:hAnsi="Arial" w:cs="Arial"/>
          <w:lang w:eastAsia="en-US"/>
        </w:rPr>
        <w:t>may be</w:t>
      </w:r>
      <w:r w:rsidR="00E0772F">
        <w:rPr>
          <w:rFonts w:ascii="Arial" w:hAnsi="Arial" w:cs="Arial"/>
          <w:lang w:eastAsia="en-US"/>
        </w:rPr>
        <w:t xml:space="preserve"> </w:t>
      </w:r>
      <w:r w:rsidR="000F17BF">
        <w:rPr>
          <w:rFonts w:ascii="Arial" w:hAnsi="Arial" w:cs="Arial"/>
          <w:lang w:eastAsia="en-US"/>
        </w:rPr>
        <w:t xml:space="preserve">interesting to notice here that </w:t>
      </w:r>
      <w:r w:rsidR="006F5C68">
        <w:rPr>
          <w:rFonts w:ascii="Arial" w:hAnsi="Arial" w:cs="Arial"/>
          <w:lang w:eastAsia="en-US"/>
        </w:rPr>
        <w:t xml:space="preserve">when a UE undergoes </w:t>
      </w:r>
      <w:r w:rsidR="00244C38">
        <w:rPr>
          <w:rFonts w:ascii="Arial" w:hAnsi="Arial" w:cs="Arial"/>
          <w:lang w:eastAsia="en-US"/>
        </w:rPr>
        <w:t xml:space="preserve">LTM </w:t>
      </w:r>
      <w:r w:rsidR="006F5C68">
        <w:rPr>
          <w:rFonts w:ascii="Arial" w:hAnsi="Arial" w:cs="Arial"/>
          <w:lang w:eastAsia="en-US"/>
        </w:rPr>
        <w:t xml:space="preserve">mobility from a cell belonging to DU5 to </w:t>
      </w:r>
      <w:r w:rsidR="00244C38">
        <w:rPr>
          <w:rFonts w:ascii="Arial" w:hAnsi="Arial" w:cs="Arial"/>
          <w:lang w:eastAsia="en-US"/>
        </w:rPr>
        <w:t xml:space="preserve">a cell belonging to </w:t>
      </w:r>
      <w:r w:rsidR="006F5C68">
        <w:rPr>
          <w:rFonts w:ascii="Arial" w:hAnsi="Arial" w:cs="Arial"/>
          <w:lang w:eastAsia="en-US"/>
        </w:rPr>
        <w:t xml:space="preserve">DU6, it also undergoes intra </w:t>
      </w:r>
      <w:proofErr w:type="spellStart"/>
      <w:r w:rsidR="006F5C68">
        <w:rPr>
          <w:rFonts w:ascii="Arial" w:hAnsi="Arial" w:cs="Arial"/>
          <w:lang w:eastAsia="en-US"/>
        </w:rPr>
        <w:t>gNB</w:t>
      </w:r>
      <w:proofErr w:type="spellEnd"/>
      <w:r w:rsidR="006F5C68">
        <w:rPr>
          <w:rFonts w:ascii="Arial" w:hAnsi="Arial" w:cs="Arial"/>
          <w:lang w:eastAsia="en-US"/>
        </w:rPr>
        <w:t xml:space="preserve"> </w:t>
      </w:r>
      <w:proofErr w:type="spellStart"/>
      <w:r w:rsidR="006F5C68">
        <w:rPr>
          <w:rFonts w:ascii="Arial" w:hAnsi="Arial" w:cs="Arial"/>
          <w:lang w:eastAsia="en-US"/>
        </w:rPr>
        <w:t>gNB</w:t>
      </w:r>
      <w:proofErr w:type="spellEnd"/>
      <w:r w:rsidR="006F5C68">
        <w:rPr>
          <w:rFonts w:ascii="Arial" w:hAnsi="Arial" w:cs="Arial"/>
          <w:lang w:eastAsia="en-US"/>
        </w:rPr>
        <w:t>-CU-UP relocation.</w:t>
      </w:r>
      <w:r w:rsidR="00EF4380">
        <w:rPr>
          <w:rFonts w:ascii="Arial" w:hAnsi="Arial" w:cs="Arial"/>
          <w:lang w:eastAsia="en-US"/>
        </w:rPr>
        <w:t xml:space="preserve"> When a UE undergoes intra </w:t>
      </w:r>
      <w:proofErr w:type="spellStart"/>
      <w:r w:rsidR="00EF4380">
        <w:rPr>
          <w:rFonts w:ascii="Arial" w:hAnsi="Arial" w:cs="Arial"/>
          <w:lang w:eastAsia="en-US"/>
        </w:rPr>
        <w:t>gNB</w:t>
      </w:r>
      <w:proofErr w:type="spellEnd"/>
      <w:r w:rsidR="00EF4380">
        <w:rPr>
          <w:rFonts w:ascii="Arial" w:hAnsi="Arial" w:cs="Arial"/>
          <w:lang w:eastAsia="en-US"/>
        </w:rPr>
        <w:t xml:space="preserve"> </w:t>
      </w:r>
      <w:proofErr w:type="spellStart"/>
      <w:r w:rsidR="00EF4380">
        <w:rPr>
          <w:rFonts w:ascii="Arial" w:hAnsi="Arial" w:cs="Arial"/>
          <w:lang w:eastAsia="en-US"/>
        </w:rPr>
        <w:t>gNB</w:t>
      </w:r>
      <w:proofErr w:type="spellEnd"/>
      <w:r w:rsidR="00EF4380">
        <w:rPr>
          <w:rFonts w:ascii="Arial" w:hAnsi="Arial" w:cs="Arial"/>
          <w:lang w:eastAsia="en-US"/>
        </w:rPr>
        <w:t xml:space="preserve">-CU-UP relocation, it changes the PDCP entity </w:t>
      </w:r>
      <w:r w:rsidR="00244C38">
        <w:rPr>
          <w:rFonts w:ascii="Arial" w:hAnsi="Arial" w:cs="Arial"/>
          <w:lang w:eastAsia="en-US"/>
        </w:rPr>
        <w:t xml:space="preserve">and hence the </w:t>
      </w:r>
      <w:r w:rsidR="001F5B24">
        <w:rPr>
          <w:rFonts w:ascii="Arial" w:hAnsi="Arial" w:cs="Arial"/>
          <w:lang w:eastAsia="en-US"/>
        </w:rPr>
        <w:t xml:space="preserve">existing </w:t>
      </w:r>
      <w:r w:rsidR="00244C38">
        <w:rPr>
          <w:rFonts w:ascii="Arial" w:hAnsi="Arial" w:cs="Arial"/>
          <w:lang w:eastAsia="en-US"/>
        </w:rPr>
        <w:t xml:space="preserve">security keys </w:t>
      </w:r>
      <w:r>
        <w:rPr>
          <w:rFonts w:ascii="Arial" w:hAnsi="Arial" w:cs="Arial"/>
          <w:lang w:eastAsia="en-US"/>
        </w:rPr>
        <w:t xml:space="preserve">from the serving cell </w:t>
      </w:r>
      <w:r w:rsidR="00244C38">
        <w:rPr>
          <w:rFonts w:ascii="Arial" w:hAnsi="Arial" w:cs="Arial"/>
          <w:lang w:eastAsia="en-US"/>
        </w:rPr>
        <w:t xml:space="preserve">are no more valid. This also implies that </w:t>
      </w:r>
      <w:r w:rsidR="00AF6606">
        <w:rPr>
          <w:rFonts w:ascii="Arial" w:hAnsi="Arial" w:cs="Arial"/>
          <w:lang w:eastAsia="en-US"/>
        </w:rPr>
        <w:t>new</w:t>
      </w:r>
      <w:r w:rsidR="00244C38">
        <w:rPr>
          <w:rFonts w:ascii="Arial" w:hAnsi="Arial" w:cs="Arial"/>
          <w:lang w:eastAsia="en-US"/>
        </w:rPr>
        <w:t xml:space="preserve"> security key</w:t>
      </w:r>
      <w:r w:rsidR="00AF6606">
        <w:rPr>
          <w:rFonts w:ascii="Arial" w:hAnsi="Arial" w:cs="Arial"/>
          <w:lang w:eastAsia="en-US"/>
        </w:rPr>
        <w:t>s</w:t>
      </w:r>
      <w:r w:rsidR="00244C38">
        <w:rPr>
          <w:rFonts w:ascii="Arial" w:hAnsi="Arial" w:cs="Arial"/>
          <w:lang w:eastAsia="en-US"/>
        </w:rPr>
        <w:t xml:space="preserve"> </w:t>
      </w:r>
      <w:r>
        <w:rPr>
          <w:rFonts w:ascii="Arial" w:hAnsi="Arial" w:cs="Arial"/>
          <w:lang w:eastAsia="en-US"/>
        </w:rPr>
        <w:t>are</w:t>
      </w:r>
      <w:r w:rsidR="00AF6606">
        <w:rPr>
          <w:rFonts w:ascii="Arial" w:hAnsi="Arial" w:cs="Arial"/>
          <w:lang w:eastAsia="en-US"/>
        </w:rPr>
        <w:t xml:space="preserve"> generated and sent to the UE. </w:t>
      </w:r>
    </w:p>
    <w:p w14:paraId="45B8828D" w14:textId="5A16C2B5" w:rsidR="00AF6606" w:rsidRDefault="00AF6606" w:rsidP="00E0772F">
      <w:pPr>
        <w:spacing w:before="120" w:after="120"/>
        <w:jc w:val="both"/>
        <w:rPr>
          <w:rFonts w:ascii="Arial" w:hAnsi="Arial" w:cs="Arial"/>
          <w:lang w:eastAsia="en-US"/>
        </w:rPr>
      </w:pPr>
      <w:r>
        <w:rPr>
          <w:rFonts w:ascii="Arial" w:hAnsi="Arial" w:cs="Arial"/>
          <w:lang w:eastAsia="en-US"/>
        </w:rPr>
        <w:t xml:space="preserve">Another key impact in this scenario due to the involvement of </w:t>
      </w:r>
      <w:proofErr w:type="spellStart"/>
      <w:r>
        <w:rPr>
          <w:rFonts w:ascii="Arial" w:hAnsi="Arial" w:cs="Arial"/>
          <w:lang w:eastAsia="en-US"/>
        </w:rPr>
        <w:t>gNB</w:t>
      </w:r>
      <w:proofErr w:type="spellEnd"/>
      <w:r>
        <w:rPr>
          <w:rFonts w:ascii="Arial" w:hAnsi="Arial" w:cs="Arial"/>
          <w:lang w:eastAsia="en-US"/>
        </w:rPr>
        <w:t xml:space="preserve">-CU-UP is the </w:t>
      </w:r>
      <w:r w:rsidR="001F5B24">
        <w:rPr>
          <w:rFonts w:ascii="Arial" w:hAnsi="Arial" w:cs="Arial"/>
          <w:lang w:eastAsia="en-US"/>
        </w:rPr>
        <w:t xml:space="preserve">procedural </w:t>
      </w:r>
      <w:r>
        <w:rPr>
          <w:rFonts w:ascii="Arial" w:hAnsi="Arial" w:cs="Arial"/>
          <w:lang w:eastAsia="en-US"/>
        </w:rPr>
        <w:t xml:space="preserve">interactions between </w:t>
      </w:r>
      <w:r w:rsidR="001F5B24">
        <w:rPr>
          <w:rFonts w:ascii="Arial" w:hAnsi="Arial" w:cs="Arial"/>
          <w:lang w:eastAsia="en-US"/>
        </w:rPr>
        <w:t xml:space="preserve">over the E1 interface between </w:t>
      </w:r>
      <w:proofErr w:type="spellStart"/>
      <w:r>
        <w:rPr>
          <w:rFonts w:ascii="Arial" w:hAnsi="Arial" w:cs="Arial"/>
          <w:lang w:eastAsia="en-US"/>
        </w:rPr>
        <w:t>gNB</w:t>
      </w:r>
      <w:proofErr w:type="spellEnd"/>
      <w:r>
        <w:rPr>
          <w:rFonts w:ascii="Arial" w:hAnsi="Arial" w:cs="Arial"/>
          <w:lang w:eastAsia="en-US"/>
        </w:rPr>
        <w:t>-</w:t>
      </w:r>
      <w:r w:rsidR="001F5B24">
        <w:rPr>
          <w:rFonts w:ascii="Arial" w:hAnsi="Arial" w:cs="Arial"/>
          <w:lang w:eastAsia="en-US"/>
        </w:rPr>
        <w:t xml:space="preserve">CU-CP and </w:t>
      </w:r>
      <w:proofErr w:type="spellStart"/>
      <w:r w:rsidR="001F5B24">
        <w:rPr>
          <w:rFonts w:ascii="Arial" w:hAnsi="Arial" w:cs="Arial"/>
          <w:lang w:eastAsia="en-US"/>
        </w:rPr>
        <w:t>gNB</w:t>
      </w:r>
      <w:proofErr w:type="spellEnd"/>
      <w:r w:rsidR="001F5B24">
        <w:rPr>
          <w:rFonts w:ascii="Arial" w:hAnsi="Arial" w:cs="Arial"/>
          <w:lang w:eastAsia="en-US"/>
        </w:rPr>
        <w:t>-CU-UP</w:t>
      </w:r>
      <w:r>
        <w:rPr>
          <w:rFonts w:ascii="Arial" w:hAnsi="Arial" w:cs="Arial"/>
          <w:lang w:eastAsia="en-US"/>
        </w:rPr>
        <w:t>, which otherwise is not needed</w:t>
      </w:r>
      <w:r w:rsidR="001F5B24">
        <w:rPr>
          <w:rFonts w:ascii="Arial" w:hAnsi="Arial" w:cs="Arial"/>
          <w:lang w:eastAsia="en-US"/>
        </w:rPr>
        <w:t xml:space="preserve"> when the serving and candidate </w:t>
      </w:r>
      <w:proofErr w:type="spellStart"/>
      <w:r w:rsidR="001F5B24">
        <w:rPr>
          <w:rFonts w:ascii="Arial" w:hAnsi="Arial" w:cs="Arial"/>
          <w:lang w:eastAsia="en-US"/>
        </w:rPr>
        <w:t>gNB</w:t>
      </w:r>
      <w:proofErr w:type="spellEnd"/>
      <w:r w:rsidR="001F5B24">
        <w:rPr>
          <w:rFonts w:ascii="Arial" w:hAnsi="Arial" w:cs="Arial"/>
          <w:lang w:eastAsia="en-US"/>
        </w:rPr>
        <w:t xml:space="preserve">-DUs are served by the same </w:t>
      </w:r>
      <w:proofErr w:type="spellStart"/>
      <w:r w:rsidR="001F5B24">
        <w:rPr>
          <w:rFonts w:ascii="Arial" w:hAnsi="Arial" w:cs="Arial"/>
          <w:lang w:eastAsia="en-US"/>
        </w:rPr>
        <w:t>gNB</w:t>
      </w:r>
      <w:proofErr w:type="spellEnd"/>
      <w:r w:rsidR="001F5B24">
        <w:rPr>
          <w:rFonts w:ascii="Arial" w:hAnsi="Arial" w:cs="Arial"/>
          <w:lang w:eastAsia="en-US"/>
        </w:rPr>
        <w:t>-CU-UP.</w:t>
      </w:r>
    </w:p>
    <w:p w14:paraId="15CE1EE0" w14:textId="0414A545"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1F5B24">
        <w:rPr>
          <w:rFonts w:ascii="Arial" w:hAnsi="Arial" w:cs="Arial"/>
          <w:i/>
          <w:iCs/>
          <w:sz w:val="20"/>
          <w:szCs w:val="20"/>
          <w:lang w:eastAsia="en-US"/>
        </w:rPr>
        <w:t xml:space="preserve">UE security is impacted whenever a UE undergoes inter </w:t>
      </w:r>
      <w:proofErr w:type="spellStart"/>
      <w:r w:rsidR="001F5B24">
        <w:rPr>
          <w:rFonts w:ascii="Arial" w:hAnsi="Arial" w:cs="Arial"/>
          <w:i/>
          <w:iCs/>
          <w:sz w:val="20"/>
          <w:szCs w:val="20"/>
          <w:lang w:eastAsia="en-US"/>
        </w:rPr>
        <w:t>gNB</w:t>
      </w:r>
      <w:proofErr w:type="spellEnd"/>
      <w:r w:rsidR="001F5B24">
        <w:rPr>
          <w:rFonts w:ascii="Arial" w:hAnsi="Arial" w:cs="Arial"/>
          <w:i/>
          <w:iCs/>
          <w:sz w:val="20"/>
          <w:szCs w:val="20"/>
          <w:lang w:eastAsia="en-US"/>
        </w:rPr>
        <w:t xml:space="preserve">-DU mobility that results in </w:t>
      </w:r>
      <w:r w:rsidR="00DF4A2E">
        <w:rPr>
          <w:rFonts w:ascii="Arial" w:hAnsi="Arial" w:cs="Arial"/>
          <w:i/>
          <w:iCs/>
          <w:sz w:val="20"/>
          <w:szCs w:val="20"/>
          <w:lang w:eastAsia="en-US"/>
        </w:rPr>
        <w:t xml:space="preserve">an </w:t>
      </w:r>
      <w:r w:rsidR="001F5B24" w:rsidRPr="001F5B24">
        <w:rPr>
          <w:rFonts w:ascii="Arial" w:hAnsi="Arial" w:cs="Arial"/>
          <w:i/>
          <w:iCs/>
          <w:sz w:val="20"/>
          <w:szCs w:val="20"/>
          <w:lang w:eastAsia="en-US"/>
        </w:rPr>
        <w:t xml:space="preserve">intra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 xml:space="preserve"> </w:t>
      </w:r>
      <w:proofErr w:type="spellStart"/>
      <w:r w:rsidR="001F5B24" w:rsidRPr="001F5B24">
        <w:rPr>
          <w:rFonts w:ascii="Arial" w:hAnsi="Arial" w:cs="Arial"/>
          <w:i/>
          <w:iCs/>
          <w:sz w:val="20"/>
          <w:szCs w:val="20"/>
          <w:lang w:eastAsia="en-US"/>
        </w:rPr>
        <w:t>gNB</w:t>
      </w:r>
      <w:proofErr w:type="spellEnd"/>
      <w:r w:rsidR="001F5B24" w:rsidRPr="001F5B24">
        <w:rPr>
          <w:rFonts w:ascii="Arial" w:hAnsi="Arial" w:cs="Arial"/>
          <w:i/>
          <w:iCs/>
          <w:sz w:val="20"/>
          <w:szCs w:val="20"/>
          <w:lang w:eastAsia="en-US"/>
        </w:rPr>
        <w:t>-CU-UP relocation</w:t>
      </w:r>
      <w:r>
        <w:rPr>
          <w:rFonts w:ascii="Arial" w:hAnsi="Arial" w:cs="Arial"/>
          <w:i/>
          <w:iCs/>
          <w:sz w:val="20"/>
          <w:szCs w:val="20"/>
          <w:lang w:eastAsia="en-US"/>
        </w:rPr>
        <w:t>.</w:t>
      </w:r>
    </w:p>
    <w:p w14:paraId="6737339B" w14:textId="0444A3EF" w:rsidR="001F5B24" w:rsidRDefault="001F5B24" w:rsidP="005424E7">
      <w:pPr>
        <w:spacing w:before="120" w:after="120"/>
        <w:jc w:val="both"/>
        <w:rPr>
          <w:rFonts w:ascii="Arial" w:hAnsi="Arial" w:cs="Arial"/>
          <w:sz w:val="20"/>
          <w:szCs w:val="20"/>
          <w:lang w:eastAsia="en-US"/>
        </w:rPr>
      </w:pPr>
    </w:p>
    <w:p w14:paraId="5851CA82" w14:textId="57FD069B" w:rsidR="00DF4A2E" w:rsidRDefault="00DF4A2E" w:rsidP="005424E7">
      <w:pPr>
        <w:spacing w:before="120" w:after="120"/>
        <w:jc w:val="both"/>
        <w:rPr>
          <w:rFonts w:ascii="Arial" w:hAnsi="Arial" w:cs="Arial"/>
          <w:sz w:val="20"/>
          <w:szCs w:val="20"/>
          <w:lang w:eastAsia="en-US"/>
        </w:rPr>
      </w:pPr>
      <w:r>
        <w:rPr>
          <w:rFonts w:ascii="Arial" w:hAnsi="Arial" w:cs="Arial"/>
          <w:sz w:val="20"/>
          <w:szCs w:val="20"/>
          <w:lang w:eastAsia="en-US"/>
        </w:rPr>
        <w:t xml:space="preserve">There are two alternatives possible </w:t>
      </w:r>
      <w:r w:rsidR="00BE4136">
        <w:rPr>
          <w:rFonts w:ascii="Arial" w:hAnsi="Arial" w:cs="Arial"/>
          <w:sz w:val="20"/>
          <w:szCs w:val="20"/>
          <w:lang w:eastAsia="en-US"/>
        </w:rPr>
        <w:t xml:space="preserve">to address the issue </w:t>
      </w:r>
      <w:r>
        <w:rPr>
          <w:rFonts w:ascii="Arial" w:hAnsi="Arial" w:cs="Arial"/>
          <w:sz w:val="20"/>
          <w:szCs w:val="20"/>
          <w:lang w:eastAsia="en-US"/>
        </w:rPr>
        <w:t>here</w:t>
      </w:r>
      <w:r w:rsidR="00F6744F">
        <w:rPr>
          <w:rFonts w:ascii="Arial" w:hAnsi="Arial" w:cs="Arial"/>
          <w:sz w:val="20"/>
          <w:szCs w:val="20"/>
          <w:lang w:eastAsia="en-US"/>
        </w:rPr>
        <w:t xml:space="preserve">. A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can find out that the candidate/target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-DU is served by a different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-CU-UP</w:t>
      </w:r>
      <w:r w:rsidR="00BE4136">
        <w:rPr>
          <w:rFonts w:ascii="Arial" w:hAnsi="Arial" w:cs="Arial"/>
          <w:sz w:val="20"/>
          <w:szCs w:val="20"/>
          <w:lang w:eastAsia="en-US"/>
        </w:rPr>
        <w:t xml:space="preserve"> by verifying the association between candidate/target cell’s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 xml:space="preserve">-DU and its corresponding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-CU-UP</w:t>
      </w:r>
      <w:r w:rsidR="00F6744F">
        <w:rPr>
          <w:rFonts w:ascii="Arial" w:hAnsi="Arial" w:cs="Arial"/>
          <w:sz w:val="20"/>
          <w:szCs w:val="20"/>
          <w:lang w:eastAsia="en-US"/>
        </w:rPr>
        <w:t>.</w:t>
      </w:r>
      <w:r>
        <w:rPr>
          <w:rFonts w:ascii="Arial" w:hAnsi="Arial" w:cs="Arial"/>
          <w:sz w:val="20"/>
          <w:szCs w:val="20"/>
          <w:lang w:eastAsia="en-US"/>
        </w:rPr>
        <w:t xml:space="preserve"> </w:t>
      </w:r>
      <w:r w:rsidR="00F6744F">
        <w:rPr>
          <w:rFonts w:ascii="Arial" w:hAnsi="Arial" w:cs="Arial"/>
          <w:sz w:val="20"/>
          <w:szCs w:val="20"/>
          <w:lang w:eastAsia="en-US"/>
        </w:rPr>
        <w:t>A</w:t>
      </w:r>
      <w:r w:rsidR="00F92869">
        <w:rPr>
          <w:rFonts w:ascii="Arial" w:hAnsi="Arial" w:cs="Arial"/>
          <w:sz w:val="20"/>
          <w:szCs w:val="20"/>
          <w:lang w:eastAsia="en-US"/>
        </w:rPr>
        <w:t xml:space="preserve">lternative 1 is where the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prepares the target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-CU-UP for an LTM HO over E1 </w:t>
      </w:r>
      <w:r w:rsidR="00BE4136">
        <w:rPr>
          <w:rFonts w:ascii="Arial" w:hAnsi="Arial" w:cs="Arial"/>
          <w:sz w:val="20"/>
          <w:szCs w:val="20"/>
          <w:lang w:eastAsia="en-US"/>
        </w:rPr>
        <w:t>interface</w:t>
      </w:r>
      <w:r w:rsidR="00F6744F">
        <w:rPr>
          <w:rFonts w:ascii="Arial" w:hAnsi="Arial" w:cs="Arial"/>
          <w:sz w:val="20"/>
          <w:szCs w:val="20"/>
          <w:lang w:eastAsia="en-US"/>
        </w:rPr>
        <w:t xml:space="preserve"> and indicates that the bearer context being prepared is </w:t>
      </w:r>
      <w:r w:rsidR="00BE4136">
        <w:rPr>
          <w:rFonts w:ascii="Arial" w:hAnsi="Arial" w:cs="Arial"/>
          <w:sz w:val="20"/>
          <w:szCs w:val="20"/>
          <w:lang w:eastAsia="en-US"/>
        </w:rPr>
        <w:t xml:space="preserve">for LTM and hence </w:t>
      </w:r>
      <w:r w:rsidR="00F6744F">
        <w:rPr>
          <w:rFonts w:ascii="Arial" w:hAnsi="Arial" w:cs="Arial"/>
          <w:sz w:val="20"/>
          <w:szCs w:val="20"/>
          <w:lang w:eastAsia="en-US"/>
        </w:rPr>
        <w:t xml:space="preserve">not yet active. Alternative 2 is where the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-CU-CP does not select a candidate/target cell from a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 xml:space="preserve">-DU which is served by a different </w:t>
      </w:r>
      <w:proofErr w:type="spellStart"/>
      <w:r w:rsidR="00F6744F">
        <w:rPr>
          <w:rFonts w:ascii="Arial" w:hAnsi="Arial" w:cs="Arial"/>
          <w:sz w:val="20"/>
          <w:szCs w:val="20"/>
          <w:lang w:eastAsia="en-US"/>
        </w:rPr>
        <w:t>gNB</w:t>
      </w:r>
      <w:proofErr w:type="spellEnd"/>
      <w:r w:rsidR="00F6744F">
        <w:rPr>
          <w:rFonts w:ascii="Arial" w:hAnsi="Arial" w:cs="Arial"/>
          <w:sz w:val="20"/>
          <w:szCs w:val="20"/>
          <w:lang w:eastAsia="en-US"/>
        </w:rPr>
        <w:t>-CU-UP</w:t>
      </w:r>
      <w:r w:rsidR="00BE4136">
        <w:rPr>
          <w:rFonts w:ascii="Arial" w:hAnsi="Arial" w:cs="Arial"/>
          <w:sz w:val="20"/>
          <w:szCs w:val="20"/>
          <w:lang w:eastAsia="en-US"/>
        </w:rPr>
        <w:t xml:space="preserve"> as compared to the serving </w:t>
      </w:r>
      <w:proofErr w:type="spellStart"/>
      <w:r w:rsidR="00BE4136">
        <w:rPr>
          <w:rFonts w:ascii="Arial" w:hAnsi="Arial" w:cs="Arial"/>
          <w:sz w:val="20"/>
          <w:szCs w:val="20"/>
          <w:lang w:eastAsia="en-US"/>
        </w:rPr>
        <w:t>gNB</w:t>
      </w:r>
      <w:proofErr w:type="spellEnd"/>
      <w:r w:rsidR="00BE4136">
        <w:rPr>
          <w:rFonts w:ascii="Arial" w:hAnsi="Arial" w:cs="Arial"/>
          <w:sz w:val="20"/>
          <w:szCs w:val="20"/>
          <w:lang w:eastAsia="en-US"/>
        </w:rPr>
        <w:t>-DU</w:t>
      </w:r>
      <w:r w:rsidR="00F6744F">
        <w:rPr>
          <w:rFonts w:ascii="Arial" w:hAnsi="Arial" w:cs="Arial"/>
          <w:sz w:val="20"/>
          <w:szCs w:val="20"/>
          <w:lang w:eastAsia="en-US"/>
        </w:rPr>
        <w:t>.</w:t>
      </w:r>
    </w:p>
    <w:p w14:paraId="2B71437A" w14:textId="77777777" w:rsidR="001F5B24" w:rsidRDefault="001F5B24" w:rsidP="005424E7">
      <w:pPr>
        <w:spacing w:before="120" w:after="120"/>
        <w:jc w:val="both"/>
        <w:rPr>
          <w:rFonts w:ascii="Arial" w:hAnsi="Arial" w:cs="Arial"/>
          <w:sz w:val="20"/>
          <w:szCs w:val="20"/>
          <w:lang w:eastAsia="en-US"/>
        </w:rPr>
      </w:pPr>
    </w:p>
    <w:p w14:paraId="14A5A648" w14:textId="78356160" w:rsidR="006C7A06" w:rsidRPr="00331447" w:rsidRDefault="005424E7" w:rsidP="0033144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w:t>
      </w:r>
      <w:r w:rsidR="00BE4136">
        <w:rPr>
          <w:rFonts w:ascii="Arial" w:hAnsi="Arial" w:cs="Arial"/>
          <w:b/>
          <w:bCs/>
          <w:sz w:val="20"/>
          <w:szCs w:val="20"/>
        </w:rPr>
        <w:t xml:space="preserve">and agrees a way forward for </w:t>
      </w:r>
      <w:r w:rsidR="00F6744F">
        <w:rPr>
          <w:rFonts w:ascii="Arial" w:hAnsi="Arial" w:cs="Arial"/>
          <w:b/>
          <w:bCs/>
          <w:sz w:val="20"/>
          <w:szCs w:val="20"/>
        </w:rPr>
        <w:t xml:space="preserve">the security impacts of the </w:t>
      </w:r>
      <w:r w:rsidR="00BE4136">
        <w:rPr>
          <w:rFonts w:ascii="Arial" w:hAnsi="Arial" w:cs="Arial"/>
          <w:b/>
          <w:bCs/>
          <w:sz w:val="20"/>
          <w:szCs w:val="20"/>
        </w:rPr>
        <w:t xml:space="preserve">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w:t>
      </w:r>
      <w:r w:rsidR="00F6744F">
        <w:rPr>
          <w:rFonts w:ascii="Arial" w:hAnsi="Arial" w:cs="Arial"/>
          <w:b/>
          <w:bCs/>
          <w:sz w:val="20"/>
          <w:szCs w:val="20"/>
        </w:rPr>
        <w:t xml:space="preserve"> and sends an LS to RAN3 to </w:t>
      </w:r>
      <w:r w:rsidR="00BE4136">
        <w:rPr>
          <w:rFonts w:ascii="Arial" w:hAnsi="Arial" w:cs="Arial"/>
          <w:b/>
          <w:bCs/>
          <w:sz w:val="20"/>
          <w:szCs w:val="20"/>
        </w:rPr>
        <w:t>discuss</w:t>
      </w:r>
      <w:r w:rsidR="00F6744F">
        <w:rPr>
          <w:rFonts w:ascii="Arial" w:hAnsi="Arial" w:cs="Arial"/>
          <w:b/>
          <w:bCs/>
          <w:sz w:val="20"/>
          <w:szCs w:val="20"/>
        </w:rPr>
        <w:t xml:space="preserve"> </w:t>
      </w:r>
      <w:r w:rsidR="00BE4136">
        <w:rPr>
          <w:rFonts w:ascii="Arial" w:hAnsi="Arial" w:cs="Arial"/>
          <w:b/>
          <w:bCs/>
          <w:sz w:val="20"/>
          <w:szCs w:val="20"/>
        </w:rPr>
        <w:t xml:space="preserve">and address </w:t>
      </w:r>
      <w:r w:rsidR="00F6744F">
        <w:rPr>
          <w:rFonts w:ascii="Arial" w:hAnsi="Arial" w:cs="Arial"/>
          <w:b/>
          <w:bCs/>
          <w:sz w:val="20"/>
          <w:szCs w:val="20"/>
        </w:rPr>
        <w:t xml:space="preserve">the </w:t>
      </w:r>
      <w:r w:rsidR="00BE4136">
        <w:rPr>
          <w:rFonts w:ascii="Arial" w:hAnsi="Arial" w:cs="Arial"/>
          <w:b/>
          <w:bCs/>
          <w:sz w:val="20"/>
          <w:szCs w:val="20"/>
        </w:rPr>
        <w:t>scenario</w:t>
      </w:r>
      <w:r w:rsidR="007119B8">
        <w:rPr>
          <w:rFonts w:ascii="Arial" w:hAnsi="Arial" w:cs="Arial"/>
          <w:b/>
          <w:bCs/>
          <w:sz w:val="20"/>
          <w:szCs w:val="20"/>
        </w:rPr>
        <w:t>.</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525D9687" w:rsidR="007247BA" w:rsidRDefault="00F6744F"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UE security is impacted whenever a UE undergoes inter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 xml:space="preserve">-DU mobility that results in an </w:t>
      </w:r>
      <w:r w:rsidRPr="001F5B24">
        <w:rPr>
          <w:rFonts w:ascii="Arial" w:hAnsi="Arial" w:cs="Arial"/>
          <w:i/>
          <w:iCs/>
          <w:sz w:val="20"/>
          <w:szCs w:val="20"/>
          <w:lang w:eastAsia="en-US"/>
        </w:rPr>
        <w:t xml:space="preserve">intra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 xml:space="preserve"> </w:t>
      </w:r>
      <w:proofErr w:type="spellStart"/>
      <w:r w:rsidRPr="001F5B24">
        <w:rPr>
          <w:rFonts w:ascii="Arial" w:hAnsi="Arial" w:cs="Arial"/>
          <w:i/>
          <w:iCs/>
          <w:sz w:val="20"/>
          <w:szCs w:val="20"/>
          <w:lang w:eastAsia="en-US"/>
        </w:rPr>
        <w:t>gNB</w:t>
      </w:r>
      <w:proofErr w:type="spellEnd"/>
      <w:r w:rsidRPr="001F5B24">
        <w:rPr>
          <w:rFonts w:ascii="Arial" w:hAnsi="Arial" w:cs="Arial"/>
          <w:i/>
          <w:iCs/>
          <w:sz w:val="20"/>
          <w:szCs w:val="20"/>
          <w:lang w:eastAsia="en-US"/>
        </w:rPr>
        <w:t>-CU-UP relocation</w:t>
      </w:r>
      <w:r w:rsidR="007247BA">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D7B2F55" w14:textId="2407F618" w:rsidR="000E6026" w:rsidRPr="00BB788B" w:rsidRDefault="00F6744F" w:rsidP="007119B8">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sidR="00BE4136">
        <w:rPr>
          <w:rFonts w:ascii="Arial" w:hAnsi="Arial" w:cs="Arial"/>
          <w:b/>
          <w:bCs/>
          <w:sz w:val="20"/>
          <w:szCs w:val="20"/>
        </w:rPr>
        <w:t xml:space="preserve">RAN2 discusses and agrees a way forward for the security impacts of the intra </w:t>
      </w:r>
      <w:proofErr w:type="spellStart"/>
      <w:r w:rsidR="00BE4136">
        <w:rPr>
          <w:rFonts w:ascii="Arial" w:hAnsi="Arial" w:cs="Arial"/>
          <w:b/>
          <w:bCs/>
          <w:sz w:val="20"/>
          <w:szCs w:val="20"/>
        </w:rPr>
        <w:t>gNB</w:t>
      </w:r>
      <w:proofErr w:type="spellEnd"/>
      <w:r w:rsidR="00BE4136">
        <w:rPr>
          <w:rFonts w:ascii="Arial" w:hAnsi="Arial" w:cs="Arial"/>
          <w:b/>
          <w:bCs/>
          <w:sz w:val="20"/>
          <w:szCs w:val="20"/>
        </w:rPr>
        <w:t xml:space="preserve"> </w:t>
      </w:r>
      <w:proofErr w:type="spellStart"/>
      <w:r w:rsidR="00BE4136" w:rsidRPr="00BE4136">
        <w:rPr>
          <w:rFonts w:ascii="Arial" w:hAnsi="Arial" w:cs="Arial"/>
          <w:b/>
          <w:bCs/>
          <w:sz w:val="20"/>
          <w:szCs w:val="20"/>
        </w:rPr>
        <w:t>gNB</w:t>
      </w:r>
      <w:proofErr w:type="spellEnd"/>
      <w:r w:rsidR="00BE4136" w:rsidRPr="00BE4136">
        <w:rPr>
          <w:rFonts w:ascii="Arial" w:hAnsi="Arial" w:cs="Arial"/>
          <w:b/>
          <w:bCs/>
          <w:sz w:val="20"/>
          <w:szCs w:val="20"/>
        </w:rPr>
        <w:t xml:space="preserve">-CU-UP relocation </w:t>
      </w:r>
      <w:r w:rsidR="00BE4136">
        <w:rPr>
          <w:rFonts w:ascii="Arial" w:hAnsi="Arial" w:cs="Arial"/>
          <w:b/>
          <w:bCs/>
          <w:sz w:val="20"/>
          <w:szCs w:val="20"/>
        </w:rPr>
        <w:t>scenario and sends an LS to RAN3 to discuss and address the scenario</w:t>
      </w:r>
      <w:r>
        <w:rPr>
          <w:rFonts w:ascii="Arial" w:hAnsi="Arial" w:cs="Arial"/>
          <w:b/>
          <w:bCs/>
          <w:sz w:val="20"/>
          <w:szCs w:val="20"/>
        </w:rPr>
        <w:t>.</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06E6EE40" w:rsidR="00F942C7" w:rsidRPr="00451A2E"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644EC0F3" w14:textId="0C811B58" w:rsidR="00451A2E" w:rsidRPr="00D052E3" w:rsidRDefault="00451A2E" w:rsidP="00D052E3">
      <w:pPr>
        <w:pStyle w:val="ListParagraph"/>
        <w:numPr>
          <w:ilvl w:val="0"/>
          <w:numId w:val="5"/>
        </w:numPr>
        <w:spacing w:after="120"/>
        <w:ind w:left="482" w:hanging="482"/>
        <w:contextualSpacing w:val="0"/>
        <w:textAlignment w:val="auto"/>
        <w:rPr>
          <w:rFonts w:ascii="Arial" w:hAnsi="Arial" w:cs="Arial"/>
        </w:rPr>
      </w:pPr>
      <w:r w:rsidRPr="00451A2E">
        <w:rPr>
          <w:rFonts w:ascii="Arial" w:hAnsi="Arial" w:cs="Arial"/>
          <w:lang w:val="en-US"/>
        </w:rPr>
        <w:t>RAN2 #119bis-e, Chairman session notes, October 2022</w:t>
      </w:r>
    </w:p>
    <w:sectPr w:rsidR="00451A2E"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61F5" w14:textId="77777777" w:rsidR="00E207DB" w:rsidRDefault="00E207DB">
      <w:pPr>
        <w:pStyle w:val="TAL"/>
      </w:pPr>
      <w:r>
        <w:separator/>
      </w:r>
    </w:p>
  </w:endnote>
  <w:endnote w:type="continuationSeparator" w:id="0">
    <w:p w14:paraId="3B634BCD" w14:textId="77777777" w:rsidR="00E207DB" w:rsidRDefault="00E207D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j-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0A36" w14:textId="77777777" w:rsidR="00E207DB" w:rsidRDefault="00E207DB">
      <w:pPr>
        <w:pStyle w:val="TAL"/>
      </w:pPr>
      <w:r>
        <w:separator/>
      </w:r>
    </w:p>
  </w:footnote>
  <w:footnote w:type="continuationSeparator" w:id="0">
    <w:p w14:paraId="01661613" w14:textId="77777777" w:rsidR="00E207DB" w:rsidRDefault="00E207D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C69"/>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998</TotalTime>
  <Pages>4</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4249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47</cp:revision>
  <cp:lastPrinted>2007-12-21T04:58:00Z</cp:lastPrinted>
  <dcterms:created xsi:type="dcterms:W3CDTF">2022-09-30T04:42:00Z</dcterms:created>
  <dcterms:modified xsi:type="dcterms:W3CDTF">2023-05-10T08:00:00Z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