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240F371F" w:rsidR="00537809" w:rsidRPr="00F44546" w:rsidRDefault="00537809" w:rsidP="00537809">
      <w:pPr>
        <w:pStyle w:val="Header"/>
        <w:tabs>
          <w:tab w:val="right" w:pos="9639"/>
        </w:tabs>
        <w:rPr>
          <w:bCs/>
          <w:i/>
          <w:noProof w:val="0"/>
          <w:sz w:val="24"/>
          <w:szCs w:val="24"/>
        </w:rPr>
      </w:pPr>
      <w:r w:rsidRPr="00F44546">
        <w:rPr>
          <w:bCs/>
          <w:noProof w:val="0"/>
          <w:sz w:val="24"/>
          <w:szCs w:val="24"/>
        </w:rPr>
        <w:t>3GPP TSG-RAN WG2 Meeting #122</w:t>
      </w:r>
      <w:r w:rsidRPr="00F44546">
        <w:rPr>
          <w:bCs/>
          <w:noProof w:val="0"/>
          <w:sz w:val="24"/>
          <w:szCs w:val="24"/>
        </w:rPr>
        <w:tab/>
        <w:t>R2-230</w:t>
      </w:r>
      <w:r w:rsidR="0051339A" w:rsidRPr="00F44546">
        <w:rPr>
          <w:bCs/>
          <w:noProof w:val="0"/>
          <w:sz w:val="24"/>
          <w:szCs w:val="24"/>
        </w:rPr>
        <w:t>4876</w:t>
      </w:r>
    </w:p>
    <w:p w14:paraId="11776FA6" w14:textId="62E7C12C" w:rsidR="00A209D6" w:rsidRPr="00F44546" w:rsidRDefault="00537809" w:rsidP="00A209D6">
      <w:pPr>
        <w:pStyle w:val="Header"/>
        <w:tabs>
          <w:tab w:val="right" w:pos="9639"/>
        </w:tabs>
        <w:rPr>
          <w:rFonts w:eastAsia="SimSun"/>
          <w:bCs/>
          <w:sz w:val="24"/>
          <w:szCs w:val="24"/>
          <w:lang w:eastAsia="zh-CN"/>
        </w:rPr>
      </w:pPr>
      <w:r w:rsidRPr="00F44546">
        <w:rPr>
          <w:rFonts w:eastAsia="SimSun"/>
          <w:bCs/>
          <w:sz w:val="24"/>
          <w:szCs w:val="24"/>
          <w:lang w:eastAsia="zh-CN"/>
        </w:rPr>
        <w:t>Incheon, South Korea, 22– 26 May 2023</w:t>
      </w:r>
      <w:r w:rsidR="00A209D6" w:rsidRPr="00F44546">
        <w:rPr>
          <w:rFonts w:eastAsia="SimSun"/>
          <w:noProof w:val="0"/>
          <w:sz w:val="24"/>
          <w:szCs w:val="24"/>
          <w:lang w:eastAsia="zh-CN"/>
        </w:rPr>
        <w:tab/>
      </w:r>
    </w:p>
    <w:p w14:paraId="2E02E5F5" w14:textId="77777777" w:rsidR="00A209D6" w:rsidRPr="00F44546" w:rsidRDefault="00A209D6" w:rsidP="00A209D6">
      <w:pPr>
        <w:pStyle w:val="Header"/>
        <w:rPr>
          <w:bCs/>
          <w:noProof w:val="0"/>
          <w:sz w:val="24"/>
        </w:rPr>
      </w:pPr>
    </w:p>
    <w:p w14:paraId="403CB9C0" w14:textId="77777777" w:rsidR="00A209D6" w:rsidRPr="00F44546" w:rsidRDefault="00A209D6" w:rsidP="00A209D6">
      <w:pPr>
        <w:pStyle w:val="Header"/>
        <w:rPr>
          <w:bCs/>
          <w:noProof w:val="0"/>
          <w:sz w:val="24"/>
        </w:rPr>
      </w:pPr>
    </w:p>
    <w:p w14:paraId="310B92C9" w14:textId="64C7DFF6" w:rsidR="00446C3A" w:rsidRPr="00F44546" w:rsidRDefault="00446C3A" w:rsidP="00446C3A">
      <w:pPr>
        <w:pStyle w:val="CRCoverPage"/>
        <w:tabs>
          <w:tab w:val="left" w:pos="1985"/>
        </w:tabs>
        <w:rPr>
          <w:rFonts w:cs="Arial"/>
          <w:b/>
          <w:bCs/>
          <w:sz w:val="24"/>
          <w:lang w:eastAsia="ja-JP"/>
        </w:rPr>
      </w:pPr>
      <w:r w:rsidRPr="00F44546">
        <w:rPr>
          <w:rFonts w:cs="Arial"/>
          <w:b/>
          <w:bCs/>
          <w:sz w:val="24"/>
        </w:rPr>
        <w:t>Agenda item:</w:t>
      </w:r>
      <w:r w:rsidRPr="00F44546">
        <w:rPr>
          <w:rFonts w:cs="Arial"/>
          <w:b/>
          <w:bCs/>
          <w:sz w:val="24"/>
        </w:rPr>
        <w:tab/>
      </w:r>
      <w:r w:rsidR="0051339A" w:rsidRPr="00F44546">
        <w:rPr>
          <w:rFonts w:cs="Arial"/>
          <w:b/>
          <w:bCs/>
          <w:sz w:val="24"/>
          <w:lang w:eastAsia="ja-JP"/>
        </w:rPr>
        <w:t>7.20.3</w:t>
      </w:r>
    </w:p>
    <w:p w14:paraId="73188B46" w14:textId="77777777" w:rsidR="00446C3A" w:rsidRPr="00F44546" w:rsidRDefault="00446C3A" w:rsidP="00446C3A">
      <w:pPr>
        <w:tabs>
          <w:tab w:val="left" w:pos="1985"/>
        </w:tabs>
        <w:ind w:left="1985" w:hanging="1985"/>
        <w:rPr>
          <w:rFonts w:ascii="Arial" w:hAnsi="Arial" w:cs="Arial"/>
          <w:b/>
          <w:bCs/>
          <w:sz w:val="24"/>
        </w:rPr>
      </w:pPr>
      <w:r w:rsidRPr="00F44546">
        <w:rPr>
          <w:rFonts w:ascii="Arial" w:hAnsi="Arial" w:cs="Arial"/>
          <w:b/>
          <w:bCs/>
          <w:sz w:val="24"/>
        </w:rPr>
        <w:t>Source:</w:t>
      </w:r>
      <w:r w:rsidRPr="00F44546">
        <w:rPr>
          <w:rFonts w:ascii="Arial" w:hAnsi="Arial" w:cs="Arial"/>
          <w:b/>
          <w:bCs/>
          <w:sz w:val="24"/>
        </w:rPr>
        <w:tab/>
        <w:t>Nokia, Nokia Shanghai Bell</w:t>
      </w:r>
    </w:p>
    <w:p w14:paraId="553D264F" w14:textId="472F60EA" w:rsidR="00446C3A" w:rsidRPr="00F44546" w:rsidRDefault="00446C3A" w:rsidP="00446C3A">
      <w:pPr>
        <w:ind w:left="1985" w:hanging="1985"/>
        <w:rPr>
          <w:rFonts w:ascii="Arial" w:hAnsi="Arial" w:cs="Arial"/>
          <w:b/>
          <w:bCs/>
          <w:sz w:val="24"/>
        </w:rPr>
      </w:pPr>
      <w:r w:rsidRPr="00F44546">
        <w:rPr>
          <w:rFonts w:ascii="Arial" w:hAnsi="Arial" w:cs="Arial"/>
          <w:b/>
          <w:bCs/>
          <w:sz w:val="24"/>
        </w:rPr>
        <w:t>Title:</w:t>
      </w:r>
      <w:r w:rsidRPr="00F44546">
        <w:rPr>
          <w:rFonts w:ascii="Arial" w:hAnsi="Arial" w:cs="Arial"/>
          <w:b/>
          <w:bCs/>
          <w:sz w:val="24"/>
        </w:rPr>
        <w:tab/>
      </w:r>
      <w:r w:rsidR="0051339A" w:rsidRPr="00F44546">
        <w:rPr>
          <w:rFonts w:ascii="Arial" w:hAnsi="Arial" w:cs="Arial"/>
          <w:b/>
          <w:bCs/>
          <w:sz w:val="24"/>
        </w:rPr>
        <w:t>RAN2 impacts of multi-TRP with unified TCI states</w:t>
      </w:r>
    </w:p>
    <w:p w14:paraId="25F387E8" w14:textId="0B864F1B" w:rsidR="00446C3A" w:rsidRPr="00F44546" w:rsidRDefault="00446C3A" w:rsidP="00446C3A">
      <w:pPr>
        <w:ind w:left="1985" w:hanging="1985"/>
        <w:rPr>
          <w:rFonts w:ascii="Arial" w:hAnsi="Arial" w:cs="Arial"/>
          <w:b/>
          <w:bCs/>
          <w:sz w:val="24"/>
        </w:rPr>
      </w:pPr>
      <w:r w:rsidRPr="00F44546">
        <w:rPr>
          <w:rFonts w:ascii="Arial" w:hAnsi="Arial" w:cs="Arial"/>
          <w:b/>
          <w:bCs/>
          <w:sz w:val="24"/>
        </w:rPr>
        <w:t>WID/SID:</w:t>
      </w:r>
      <w:r w:rsidRPr="00F44546">
        <w:rPr>
          <w:rFonts w:ascii="Arial" w:hAnsi="Arial" w:cs="Arial"/>
          <w:b/>
          <w:bCs/>
          <w:sz w:val="24"/>
        </w:rPr>
        <w:tab/>
      </w:r>
      <w:r w:rsidR="0051339A" w:rsidRPr="00F44546">
        <w:rPr>
          <w:rFonts w:ascii="Arial" w:hAnsi="Arial" w:cs="Arial"/>
          <w:b/>
          <w:bCs/>
          <w:sz w:val="24"/>
        </w:rPr>
        <w:t xml:space="preserve">NR_MIMO_evo_DL_UL-Core </w:t>
      </w:r>
      <w:r w:rsidRPr="00F44546">
        <w:rPr>
          <w:rFonts w:ascii="Arial" w:hAnsi="Arial" w:cs="Arial"/>
          <w:b/>
          <w:bCs/>
          <w:sz w:val="24"/>
        </w:rPr>
        <w:t xml:space="preserve">- Release </w:t>
      </w:r>
      <w:r w:rsidR="0051339A" w:rsidRPr="00F44546">
        <w:rPr>
          <w:rFonts w:ascii="Arial" w:hAnsi="Arial" w:cs="Arial"/>
          <w:b/>
          <w:bCs/>
          <w:sz w:val="24"/>
        </w:rPr>
        <w:t>18</w:t>
      </w:r>
    </w:p>
    <w:p w14:paraId="6FEB19D6" w14:textId="77777777" w:rsidR="00446C3A" w:rsidRPr="00F44546" w:rsidRDefault="00446C3A" w:rsidP="00446C3A">
      <w:pPr>
        <w:tabs>
          <w:tab w:val="left" w:pos="1985"/>
        </w:tabs>
        <w:rPr>
          <w:rFonts w:ascii="Arial" w:hAnsi="Arial" w:cs="Arial"/>
          <w:b/>
          <w:bCs/>
          <w:sz w:val="24"/>
        </w:rPr>
      </w:pPr>
      <w:r w:rsidRPr="00F44546">
        <w:rPr>
          <w:rFonts w:ascii="Arial" w:hAnsi="Arial" w:cs="Arial"/>
          <w:b/>
          <w:bCs/>
          <w:sz w:val="24"/>
        </w:rPr>
        <w:t>Document for:</w:t>
      </w:r>
      <w:r w:rsidRPr="00F44546">
        <w:rPr>
          <w:rFonts w:ascii="Arial" w:hAnsi="Arial" w:cs="Arial"/>
          <w:b/>
          <w:bCs/>
          <w:sz w:val="24"/>
        </w:rPr>
        <w:tab/>
        <w:t>Discussion and Decision</w:t>
      </w:r>
    </w:p>
    <w:p w14:paraId="294B1FC1" w14:textId="77777777" w:rsidR="00A209D6" w:rsidRPr="00F44546" w:rsidRDefault="00A209D6" w:rsidP="00A209D6">
      <w:pPr>
        <w:pStyle w:val="Heading1"/>
      </w:pPr>
      <w:r w:rsidRPr="00F44546">
        <w:t>1</w:t>
      </w:r>
      <w:r w:rsidRPr="00F44546">
        <w:tab/>
        <w:t>Introduction</w:t>
      </w:r>
    </w:p>
    <w:p w14:paraId="4854EE57" w14:textId="5D655330" w:rsidR="009339CB" w:rsidRPr="00F44546" w:rsidRDefault="006C38B4" w:rsidP="009339CB">
      <w:r w:rsidRPr="00F44546">
        <w:t>The Rel-18 MIMO work is (once again) specifying a host of enhancements for multi-antenna operation. One such enhancement is the unified TCI operation with multi-TRP. Although the RAN1 work is still not complete, we attempt to provide an overview make some basic assumptions of the expected RAN2 work for the unified TCIs with multi-TRP.</w:t>
      </w:r>
    </w:p>
    <w:p w14:paraId="7D484B6E" w14:textId="75B87D7D" w:rsidR="009339CB" w:rsidRPr="00F44546" w:rsidRDefault="009339CB" w:rsidP="009339CB">
      <w:pPr>
        <w:pStyle w:val="Heading1"/>
      </w:pPr>
      <w:r w:rsidRPr="00F44546">
        <w:t>2</w:t>
      </w:r>
      <w:r w:rsidRPr="00F44546">
        <w:tab/>
      </w:r>
      <w:r w:rsidR="006C38B4" w:rsidRPr="00F44546">
        <w:t>Unified TCI states with multi-TRP</w:t>
      </w:r>
      <w:r w:rsidRPr="00F44546">
        <w:t xml:space="preserve"> </w:t>
      </w:r>
    </w:p>
    <w:p w14:paraId="5982B445" w14:textId="788BC272" w:rsidR="009339CB" w:rsidRPr="00F44546" w:rsidRDefault="009339CB" w:rsidP="009339CB">
      <w:pPr>
        <w:pStyle w:val="Heading2"/>
      </w:pPr>
      <w:r w:rsidRPr="00F44546">
        <w:t>2.1</w:t>
      </w:r>
      <w:r w:rsidRPr="00F44546">
        <w:tab/>
      </w:r>
      <w:r w:rsidR="006C38B4" w:rsidRPr="00F44546">
        <w:t>Overview</w:t>
      </w:r>
      <w:r w:rsidRPr="00F44546">
        <w:t xml:space="preserve"> </w:t>
      </w:r>
      <w:r w:rsidR="00DF4917" w:rsidRPr="00F44546">
        <w:t>of unified TCI states</w:t>
      </w:r>
    </w:p>
    <w:p w14:paraId="551E543C" w14:textId="669176D0" w:rsidR="00F7106F" w:rsidRPr="00F44546" w:rsidRDefault="00F7106F" w:rsidP="009339CB">
      <w:r w:rsidRPr="00F44546">
        <w:t xml:space="preserve">The Rel-17 unified TCI states work according to three levels: Configured, </w:t>
      </w:r>
      <w:proofErr w:type="gramStart"/>
      <w:r w:rsidR="008E58B0" w:rsidRPr="00F44546">
        <w:t>activated</w:t>
      </w:r>
      <w:proofErr w:type="gramEnd"/>
      <w:r w:rsidR="008E58B0" w:rsidRPr="00F44546">
        <w:t xml:space="preserve"> and</w:t>
      </w:r>
      <w:r w:rsidRPr="00F44546">
        <w:t xml:space="preserve"> indicated. </w:t>
      </w:r>
    </w:p>
    <w:p w14:paraId="600170CE" w14:textId="11429A4A" w:rsidR="00F7106F" w:rsidRPr="00F44546" w:rsidRDefault="00F7106F" w:rsidP="00F7106F">
      <w:pPr>
        <w:pStyle w:val="B1"/>
      </w:pPr>
      <w:r w:rsidRPr="00F44546">
        <w:t>-</w:t>
      </w:r>
      <w:r w:rsidRPr="00F44546">
        <w:tab/>
        <w:t xml:space="preserve">UE can be </w:t>
      </w:r>
      <w:r w:rsidRPr="00F44546">
        <w:rPr>
          <w:b/>
          <w:bCs/>
          <w:u w:val="single"/>
        </w:rPr>
        <w:t>configured</w:t>
      </w:r>
      <w:r w:rsidRPr="00F44546">
        <w:t xml:space="preserve"> with up to 128 TCI states</w:t>
      </w:r>
    </w:p>
    <w:p w14:paraId="32516D2C" w14:textId="078838C6" w:rsidR="00F7106F" w:rsidRPr="00F44546" w:rsidRDefault="00F7106F" w:rsidP="00F7106F">
      <w:pPr>
        <w:pStyle w:val="B1"/>
      </w:pPr>
      <w:r w:rsidRPr="00F44546">
        <w:t>-</w:t>
      </w:r>
      <w:r w:rsidRPr="00F44546">
        <w:tab/>
        <w:t xml:space="preserve">Up to 8 TCI states can be </w:t>
      </w:r>
      <w:r w:rsidRPr="00F44546">
        <w:rPr>
          <w:b/>
          <w:bCs/>
          <w:u w:val="single"/>
        </w:rPr>
        <w:t>activated</w:t>
      </w:r>
      <w:r w:rsidRPr="00F44546">
        <w:t xml:space="preserve"> out of the configured TCI states:</w:t>
      </w:r>
    </w:p>
    <w:p w14:paraId="14053B39" w14:textId="4548FF91" w:rsidR="00F7106F" w:rsidRPr="00F44546" w:rsidRDefault="00F7106F" w:rsidP="00F7106F">
      <w:pPr>
        <w:pStyle w:val="B1"/>
      </w:pPr>
      <w:r w:rsidRPr="00F44546">
        <w:t>-</w:t>
      </w:r>
      <w:r w:rsidRPr="00F44546">
        <w:tab/>
        <w:t xml:space="preserve">Only one TCI state (or a TCI state pair), determined by </w:t>
      </w:r>
      <w:r w:rsidRPr="00F44546">
        <w:rPr>
          <w:b/>
          <w:bCs/>
          <w:u w:val="single"/>
        </w:rPr>
        <w:t>DCI indication</w:t>
      </w:r>
      <w:r w:rsidRPr="00F44546">
        <w:t>, is used by the UE</w:t>
      </w:r>
    </w:p>
    <w:p w14:paraId="680B11E8" w14:textId="7D410BEC" w:rsidR="009339CB" w:rsidRPr="00F44546" w:rsidRDefault="00B15DFA" w:rsidP="009339CB">
      <w:r w:rsidRPr="00F44546">
        <w:t>This is also depicted in Figure 1 below.</w:t>
      </w:r>
    </w:p>
    <w:p w14:paraId="3C50EE78" w14:textId="77777777" w:rsidR="00B15DFA" w:rsidRPr="00F44546" w:rsidRDefault="00B15DFA" w:rsidP="00B15DFA">
      <w:pPr>
        <w:jc w:val="center"/>
      </w:pPr>
      <w:r w:rsidRPr="00F44546">
        <w:rPr>
          <w:noProof/>
        </w:rPr>
        <w:drawing>
          <wp:inline distT="0" distB="0" distL="0" distR="0" wp14:anchorId="3507A051" wp14:editId="009E1F4B">
            <wp:extent cx="5805059" cy="347071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15710" cy="3477085"/>
                    </a:xfrm>
                    <a:prstGeom prst="rect">
                      <a:avLst/>
                    </a:prstGeom>
                    <a:noFill/>
                  </pic:spPr>
                </pic:pic>
              </a:graphicData>
            </a:graphic>
          </wp:inline>
        </w:drawing>
      </w:r>
    </w:p>
    <w:p w14:paraId="07D943B8" w14:textId="2F4DEAE8" w:rsidR="00B15DFA" w:rsidRPr="00F44546" w:rsidRDefault="00B15DFA" w:rsidP="00B15DFA">
      <w:pPr>
        <w:pStyle w:val="Caption"/>
        <w:jc w:val="center"/>
        <w:rPr>
          <w:lang w:val="en-GB"/>
        </w:rPr>
      </w:pPr>
      <w:bookmarkStart w:id="0" w:name="_Ref79078915"/>
      <w:r w:rsidRPr="00F44546">
        <w:rPr>
          <w:bCs/>
          <w:lang w:val="en-GB"/>
        </w:rPr>
        <w:t xml:space="preserve">Figure </w:t>
      </w:r>
      <w:r w:rsidRPr="00F44546">
        <w:rPr>
          <w:b w:val="0"/>
          <w:bCs/>
          <w:i/>
          <w:iCs/>
          <w:lang w:val="en-GB"/>
        </w:rPr>
        <w:fldChar w:fldCharType="begin"/>
      </w:r>
      <w:r w:rsidRPr="00F44546">
        <w:rPr>
          <w:bCs/>
          <w:lang w:val="en-GB"/>
        </w:rPr>
        <w:instrText xml:space="preserve"> SEQ Figure \* ARABIC </w:instrText>
      </w:r>
      <w:r w:rsidRPr="00F44546">
        <w:rPr>
          <w:b w:val="0"/>
          <w:bCs/>
          <w:i/>
          <w:iCs/>
          <w:lang w:val="en-GB"/>
        </w:rPr>
        <w:fldChar w:fldCharType="separate"/>
      </w:r>
      <w:r w:rsidR="00D07433">
        <w:rPr>
          <w:bCs/>
          <w:noProof/>
          <w:lang w:val="en-GB"/>
        </w:rPr>
        <w:t>1</w:t>
      </w:r>
      <w:r w:rsidRPr="00F44546">
        <w:rPr>
          <w:b w:val="0"/>
          <w:bCs/>
          <w:i/>
          <w:iCs/>
          <w:lang w:val="en-GB"/>
        </w:rPr>
        <w:fldChar w:fldCharType="end"/>
      </w:r>
      <w:bookmarkEnd w:id="0"/>
      <w:r w:rsidRPr="00F44546">
        <w:rPr>
          <w:bCs/>
          <w:lang w:val="en-GB"/>
        </w:rPr>
        <w:t>. Unified TCI state in Rel-17</w:t>
      </w:r>
    </w:p>
    <w:p w14:paraId="2DF87A4D" w14:textId="2AE94879" w:rsidR="00F44546" w:rsidRPr="00F44546" w:rsidRDefault="00B15DFA" w:rsidP="009339CB">
      <w:r w:rsidRPr="00F44546">
        <w:lastRenderedPageBreak/>
        <w:t xml:space="preserve">Multi-TRP (as per Rel-16) is an operation with two different modes: Single DCI (i.e. one PDCCH/DCI schedules UE for both TRPs, with DCI code point being mapped to one or two different TCI states) and multi-DCI (i.e. the UE is explicitly configured with two CORESET </w:t>
      </w:r>
      <w:r w:rsidR="00F44546" w:rsidRPr="00F44546">
        <w:t>“</w:t>
      </w:r>
      <w:r w:rsidRPr="00F44546">
        <w:t>pools</w:t>
      </w:r>
      <w:r w:rsidR="00F44546" w:rsidRPr="00F44546">
        <w:t>”</w:t>
      </w:r>
      <w:r w:rsidRPr="00F44546">
        <w:t>, so each TRP can schedule UE independently</w:t>
      </w:r>
      <w:r w:rsidR="00F44546" w:rsidRPr="00F44546">
        <w:t xml:space="preserve"> using a specific CORESET index pool</w:t>
      </w:r>
      <w:r w:rsidRPr="00F44546">
        <w:t>).</w:t>
      </w:r>
    </w:p>
    <w:p w14:paraId="0BF11F8B" w14:textId="15C64F19" w:rsidR="00F44546" w:rsidRPr="00F44546" w:rsidRDefault="00F44546" w:rsidP="009339CB">
      <w:r w:rsidRPr="00F44546">
        <w:rPr>
          <w:b/>
          <w:bCs/>
        </w:rPr>
        <w:t>Observation 1:</w:t>
      </w:r>
      <w:r w:rsidRPr="00F44546">
        <w:t xml:space="preserve"> Multi-TRP was defined in Rel-16 with two modes: Single-DCI and Multi-DCI.</w:t>
      </w:r>
    </w:p>
    <w:p w14:paraId="73D53CB5" w14:textId="7587F11C" w:rsidR="00F44546" w:rsidRPr="00F44546" w:rsidRDefault="00F44546" w:rsidP="009339CB">
      <w:r w:rsidRPr="00F44546">
        <w:t xml:space="preserve">For the Rel-18 mTRP with unified TCI states, the same division into two modes continues, with slightly different functionality. Therefore, it seems reasonable to </w:t>
      </w:r>
      <w:r w:rsidR="00A464C0" w:rsidRPr="00F44546">
        <w:t>assume</w:t>
      </w:r>
      <w:r w:rsidRPr="00F44546">
        <w:t xml:space="preserve"> that unless there are reasons to deviate from the Rel-16 paradigms, similar RAN2 structures are used in Rel-18</w:t>
      </w:r>
      <w:r w:rsidR="002A42DA">
        <w:t xml:space="preserve">. As with Rel-16, the mTRP configuration should also be serving cell specific. </w:t>
      </w:r>
    </w:p>
    <w:p w14:paraId="26338779" w14:textId="7B8EB6B9" w:rsidR="002A42DA" w:rsidRPr="00F44546" w:rsidRDefault="00F44546" w:rsidP="009339CB">
      <w:r w:rsidRPr="00F44546">
        <w:rPr>
          <w:b/>
          <w:bCs/>
        </w:rPr>
        <w:t>Proposal 1:</w:t>
      </w:r>
      <w:r w:rsidRPr="00F44546">
        <w:t xml:space="preserve"> RAN2 builds the sDCI mTRP and mDCI mTRP support of unified TCI states on top of the Rel-16 mTRP functionality.</w:t>
      </w:r>
      <w:r w:rsidR="002A42DA">
        <w:t xml:space="preserve"> The Rel-18 mTRP configuration is per serving cell (similar as in Rel-16).</w:t>
      </w:r>
    </w:p>
    <w:p w14:paraId="03FB0A7D" w14:textId="2A5BE972" w:rsidR="00F44546" w:rsidRPr="00F44546" w:rsidRDefault="00F44546" w:rsidP="009339CB">
      <w:r w:rsidRPr="00F44546">
        <w:t>The exact details of each mode are further discussed in the following sections.</w:t>
      </w:r>
    </w:p>
    <w:p w14:paraId="6327A5E6" w14:textId="161EC742" w:rsidR="009339CB" w:rsidRPr="00F44546" w:rsidRDefault="009339CB" w:rsidP="009339CB">
      <w:pPr>
        <w:pStyle w:val="Heading2"/>
      </w:pPr>
      <w:r w:rsidRPr="00F44546">
        <w:t>2.2</w:t>
      </w:r>
      <w:r w:rsidRPr="00F44546">
        <w:tab/>
      </w:r>
      <w:r w:rsidR="006C38B4" w:rsidRPr="00F44546">
        <w:t>Multi-DCI case</w:t>
      </w:r>
    </w:p>
    <w:p w14:paraId="51A55387" w14:textId="732FDBE1" w:rsidR="004872DC" w:rsidRDefault="00F44546" w:rsidP="004872DC">
      <w:pPr>
        <w:rPr>
          <w:bCs/>
        </w:rPr>
      </w:pPr>
      <w:r w:rsidRPr="00F44546">
        <w:t xml:space="preserve">Multi-DCI mTRP is characterized by the presence of two CORESET pools, i.e. explicit configuration of CORESET pool IDs per </w:t>
      </w:r>
      <w:r w:rsidRPr="00F44546">
        <w:rPr>
          <w:i/>
          <w:iCs/>
        </w:rPr>
        <w:t>ControlResourceSet</w:t>
      </w:r>
      <w:r w:rsidRPr="00F44546">
        <w:t xml:space="preserve"> configuration. </w:t>
      </w:r>
      <w:r>
        <w:t xml:space="preserve">For Rel-18 mTRP, this means that each unified TCI state becomes “split” in two parts: CORESET pool ID=0 and CORESET pool ID=1, along with any relevant parameters. </w:t>
      </w:r>
      <w:r w:rsidR="004872DC">
        <w:t xml:space="preserve">That is, whereas the Rel-17 unified TCI state is just one DCI indication, the mTRP DCI indication can indicate separate TCI states for each CORESET pool ID, which </w:t>
      </w:r>
      <w:r w:rsidR="004872DC">
        <w:rPr>
          <w:bCs/>
        </w:rPr>
        <w:t>implies that RAN2 will need to associate each TCI state with the corresponding CORESET pool ID.</w:t>
      </w:r>
    </w:p>
    <w:p w14:paraId="0E1343CC" w14:textId="01AEAB27" w:rsidR="004872DC" w:rsidRPr="004872DC" w:rsidRDefault="004872DC" w:rsidP="004872DC">
      <w:r w:rsidRPr="004872DC">
        <w:rPr>
          <w:b/>
        </w:rPr>
        <w:t>Observation 2:</w:t>
      </w:r>
      <w:r>
        <w:rPr>
          <w:bCs/>
        </w:rPr>
        <w:t xml:space="preserve"> Multi-DCI mTRP requires TCI state association </w:t>
      </w:r>
      <w:r w:rsidR="0022209B">
        <w:rPr>
          <w:bCs/>
        </w:rPr>
        <w:t xml:space="preserve">(via either RRC or MAC CE) </w:t>
      </w:r>
      <w:r>
        <w:rPr>
          <w:bCs/>
        </w:rPr>
        <w:t>with a CORESET pool ID.</w:t>
      </w:r>
    </w:p>
    <w:p w14:paraId="469E2CFA" w14:textId="7B39C06B" w:rsidR="004872DC" w:rsidRDefault="004872DC" w:rsidP="009339CB">
      <w:r>
        <w:t xml:space="preserve">Similarly, for UL purposes, each TRP could have its own PC loop and RAN1 has also agreed to support multiple TAs (as has already been discussed in RAN2#121bis-e). This means that network </w:t>
      </w:r>
      <w:r w:rsidR="00A464C0">
        <w:t>must</w:t>
      </w:r>
      <w:r>
        <w:t xml:space="preserve"> be able to configure 1) separate TA loop for each TRP and 2) separate power control parameters for each TRP.</w:t>
      </w:r>
    </w:p>
    <w:p w14:paraId="031460D2" w14:textId="68F259A9" w:rsidR="009339CB" w:rsidRDefault="000E0141" w:rsidP="009339CB">
      <w:r>
        <w:fldChar w:fldCharType="begin"/>
      </w:r>
      <w:r>
        <w:instrText xml:space="preserve"> REF _Ref134708496 \h </w:instrText>
      </w:r>
      <w:r>
        <w:fldChar w:fldCharType="separate"/>
      </w:r>
      <w:r w:rsidRPr="00F44546">
        <w:rPr>
          <w:bCs/>
        </w:rPr>
        <w:t xml:space="preserve">Figure </w:t>
      </w:r>
      <w:r>
        <w:rPr>
          <w:bCs/>
          <w:noProof/>
        </w:rPr>
        <w:t>2</w:t>
      </w:r>
      <w:r>
        <w:fldChar w:fldCharType="end"/>
      </w:r>
      <w:r w:rsidR="004872DC">
        <w:t xml:space="preserve"> below pulls </w:t>
      </w:r>
      <w:r w:rsidR="008E58B0">
        <w:t>all</w:t>
      </w:r>
      <w:r w:rsidR="004872DC">
        <w:t xml:space="preserve"> this together to illustrate the difference between Rel-17 (single TRP) and Rel-18 (mDCI mTRP) operation with unified TCI states.</w:t>
      </w:r>
    </w:p>
    <w:p w14:paraId="0E287102" w14:textId="0B60535B" w:rsidR="00F44546" w:rsidRPr="00F44546" w:rsidRDefault="005C25EC" w:rsidP="009339CB">
      <w:r>
        <w:rPr>
          <w:noProof/>
        </w:rPr>
        <w:drawing>
          <wp:inline distT="0" distB="0" distL="0" distR="0" wp14:anchorId="0791F7B8" wp14:editId="00700E59">
            <wp:extent cx="6136796" cy="2069852"/>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63203" cy="2078759"/>
                    </a:xfrm>
                    <a:prstGeom prst="rect">
                      <a:avLst/>
                    </a:prstGeom>
                    <a:noFill/>
                  </pic:spPr>
                </pic:pic>
              </a:graphicData>
            </a:graphic>
          </wp:inline>
        </w:drawing>
      </w:r>
    </w:p>
    <w:p w14:paraId="6EECA933" w14:textId="63BCDA99" w:rsidR="00F44546" w:rsidRPr="00F44546" w:rsidRDefault="00F44546" w:rsidP="00F44546">
      <w:pPr>
        <w:pStyle w:val="Caption"/>
        <w:jc w:val="center"/>
        <w:rPr>
          <w:lang w:val="en-GB"/>
        </w:rPr>
      </w:pPr>
      <w:bookmarkStart w:id="1" w:name="_Ref134708496"/>
      <w:r w:rsidRPr="00F44546">
        <w:rPr>
          <w:bCs/>
          <w:lang w:val="en-GB"/>
        </w:rPr>
        <w:t xml:space="preserve">Figure </w:t>
      </w:r>
      <w:r w:rsidRPr="00F44546">
        <w:rPr>
          <w:b w:val="0"/>
          <w:bCs/>
          <w:i/>
          <w:iCs/>
          <w:lang w:val="en-GB"/>
        </w:rPr>
        <w:fldChar w:fldCharType="begin"/>
      </w:r>
      <w:r w:rsidRPr="00F44546">
        <w:rPr>
          <w:bCs/>
          <w:lang w:val="en-GB"/>
        </w:rPr>
        <w:instrText xml:space="preserve"> SEQ Figure \* ARABIC </w:instrText>
      </w:r>
      <w:r w:rsidRPr="00F44546">
        <w:rPr>
          <w:b w:val="0"/>
          <w:bCs/>
          <w:i/>
          <w:iCs/>
          <w:lang w:val="en-GB"/>
        </w:rPr>
        <w:fldChar w:fldCharType="separate"/>
      </w:r>
      <w:r w:rsidR="00D07433">
        <w:rPr>
          <w:bCs/>
          <w:noProof/>
          <w:lang w:val="en-GB"/>
        </w:rPr>
        <w:t>2</w:t>
      </w:r>
      <w:r w:rsidRPr="00F44546">
        <w:rPr>
          <w:b w:val="0"/>
          <w:bCs/>
          <w:i/>
          <w:iCs/>
          <w:lang w:val="en-GB"/>
        </w:rPr>
        <w:fldChar w:fldCharType="end"/>
      </w:r>
      <w:bookmarkEnd w:id="1"/>
      <w:r w:rsidRPr="00F44546">
        <w:rPr>
          <w:bCs/>
          <w:lang w:val="en-GB"/>
        </w:rPr>
        <w:t xml:space="preserve">. Unified TCI state </w:t>
      </w:r>
      <w:r>
        <w:rPr>
          <w:bCs/>
          <w:lang w:val="en-GB"/>
        </w:rPr>
        <w:t xml:space="preserve">for mDCI mTRP </w:t>
      </w:r>
      <w:r w:rsidRPr="00F44546">
        <w:rPr>
          <w:bCs/>
          <w:lang w:val="en-GB"/>
        </w:rPr>
        <w:t>in Rel-1</w:t>
      </w:r>
      <w:r>
        <w:rPr>
          <w:bCs/>
          <w:lang w:val="en-GB"/>
        </w:rPr>
        <w:t>8</w:t>
      </w:r>
    </w:p>
    <w:p w14:paraId="62C70B6E" w14:textId="0F7A951B" w:rsidR="00C415AF" w:rsidRDefault="00C415AF" w:rsidP="005C25EC">
      <w:pPr>
        <w:rPr>
          <w:bCs/>
        </w:rPr>
      </w:pPr>
      <w:r>
        <w:rPr>
          <w:bCs/>
        </w:rPr>
        <w:t xml:space="preserve">This raises the question on whether the TCI states are 1) specific or 2) common to the CORESET pool IDs? It appears that </w:t>
      </w:r>
      <w:r w:rsidRPr="00C415AF">
        <w:rPr>
          <w:bCs/>
        </w:rPr>
        <w:t>RAN</w:t>
      </w:r>
      <w:r>
        <w:rPr>
          <w:bCs/>
        </w:rPr>
        <w:t>1 has already (partially) agreed that they should be common, as per the following:</w:t>
      </w:r>
    </w:p>
    <w:tbl>
      <w:tblPr>
        <w:tblStyle w:val="TableGrid"/>
        <w:tblW w:w="0" w:type="auto"/>
        <w:tblLook w:val="04A0" w:firstRow="1" w:lastRow="0" w:firstColumn="1" w:lastColumn="0" w:noHBand="0" w:noVBand="1"/>
      </w:tblPr>
      <w:tblGrid>
        <w:gridCol w:w="9631"/>
      </w:tblGrid>
      <w:tr w:rsidR="00C415AF" w14:paraId="1DE8615C" w14:textId="77777777" w:rsidTr="00C415AF">
        <w:tc>
          <w:tcPr>
            <w:tcW w:w="9631" w:type="dxa"/>
          </w:tcPr>
          <w:p w14:paraId="1FEE3BC0" w14:textId="77777777" w:rsidR="00C415AF" w:rsidRPr="00B2655C" w:rsidRDefault="00C415AF" w:rsidP="00C415AF">
            <w:pPr>
              <w:jc w:val="both"/>
              <w:rPr>
                <w:b/>
                <w:color w:val="000000"/>
                <w:highlight w:val="green"/>
              </w:rPr>
            </w:pPr>
            <w:r>
              <w:rPr>
                <w:b/>
                <w:bCs/>
                <w:iCs/>
                <w:color w:val="000000"/>
                <w:highlight w:val="green"/>
              </w:rPr>
              <w:t>Agreement</w:t>
            </w:r>
            <w:r>
              <w:rPr>
                <w:b/>
                <w:color w:val="000000"/>
                <w:highlight w:val="green"/>
              </w:rPr>
              <w:t xml:space="preserve"> </w:t>
            </w:r>
            <w:r w:rsidRPr="00FF7441">
              <w:rPr>
                <w:highlight w:val="yellow"/>
              </w:rPr>
              <w:t>(RAN1#1</w:t>
            </w:r>
            <w:r>
              <w:rPr>
                <w:highlight w:val="yellow"/>
              </w:rPr>
              <w:t>10bis-e</w:t>
            </w:r>
            <w:r w:rsidRPr="00FF7441">
              <w:rPr>
                <w:highlight w:val="yellow"/>
              </w:rPr>
              <w:t>)</w:t>
            </w:r>
          </w:p>
          <w:p w14:paraId="117703E1" w14:textId="77777777" w:rsidR="00C415AF" w:rsidRPr="00A96C52" w:rsidRDefault="00C415AF" w:rsidP="00C415AF">
            <w:pPr>
              <w:jc w:val="both"/>
              <w:rPr>
                <w:color w:val="000000"/>
                <w:highlight w:val="cyan"/>
              </w:rPr>
            </w:pPr>
            <w:r w:rsidRPr="00A96C52">
              <w:rPr>
                <w:color w:val="000000"/>
                <w:highlight w:val="cyan"/>
              </w:rPr>
              <w:t>On unified TCI framework extension for M-DCI based MTRP:</w:t>
            </w:r>
          </w:p>
          <w:p w14:paraId="1DDC7B06" w14:textId="77777777" w:rsidR="00C415AF" w:rsidRPr="00A96C52" w:rsidRDefault="00C415AF" w:rsidP="00C415AF">
            <w:pPr>
              <w:pStyle w:val="ListParagraph"/>
              <w:numPr>
                <w:ilvl w:val="0"/>
                <w:numId w:val="9"/>
              </w:numPr>
              <w:tabs>
                <w:tab w:val="left" w:pos="0"/>
              </w:tabs>
              <w:suppressAutoHyphens/>
              <w:spacing w:after="0"/>
              <w:jc w:val="both"/>
              <w:rPr>
                <w:color w:val="000000"/>
                <w:highlight w:val="cyan"/>
              </w:rPr>
            </w:pPr>
            <w:r w:rsidRPr="00A96C52">
              <w:rPr>
                <w:color w:val="000000"/>
                <w:highlight w:val="cyan"/>
              </w:rPr>
              <w:t xml:space="preserve">The existing TCI field in a DCI format 1_1/1_2 (with or without DL assignment) associated with one </w:t>
            </w:r>
            <w:r w:rsidRPr="00A96C52">
              <w:rPr>
                <w:i/>
                <w:iCs/>
                <w:color w:val="000000"/>
                <w:highlight w:val="cyan"/>
              </w:rPr>
              <w:t>coresetPoolIndex</w:t>
            </w:r>
            <w:r w:rsidRPr="00A96C52">
              <w:rPr>
                <w:color w:val="000000"/>
                <w:highlight w:val="cyan"/>
              </w:rPr>
              <w:t xml:space="preserve"> value can indicate the joint/DL/UL TCI state(s) specific to the same </w:t>
            </w:r>
            <w:r w:rsidRPr="00A96C52">
              <w:rPr>
                <w:i/>
                <w:iCs/>
                <w:color w:val="000000"/>
                <w:highlight w:val="cyan"/>
              </w:rPr>
              <w:t>coresetPoolIndex</w:t>
            </w:r>
            <w:r w:rsidRPr="00A96C52">
              <w:rPr>
                <w:color w:val="000000"/>
                <w:highlight w:val="cyan"/>
              </w:rPr>
              <w:t xml:space="preserve"> value</w:t>
            </w:r>
          </w:p>
          <w:p w14:paraId="2E685612" w14:textId="77777777" w:rsidR="00C415AF" w:rsidRDefault="00C415AF" w:rsidP="00C415AF">
            <w:pPr>
              <w:pStyle w:val="ListParagraph"/>
              <w:numPr>
                <w:ilvl w:val="1"/>
                <w:numId w:val="9"/>
              </w:numPr>
              <w:tabs>
                <w:tab w:val="left" w:pos="0"/>
              </w:tabs>
              <w:suppressAutoHyphens/>
              <w:spacing w:after="0"/>
              <w:jc w:val="both"/>
              <w:rPr>
                <w:color w:val="000000"/>
              </w:rPr>
            </w:pPr>
            <w:r w:rsidRPr="00443D1C">
              <w:rPr>
                <w:rFonts w:eastAsia="PMingLiU" w:hint="eastAsia"/>
                <w:color w:val="000000"/>
                <w:lang w:eastAsia="zh-TW"/>
              </w:rPr>
              <w:lastRenderedPageBreak/>
              <w:t>F</w:t>
            </w:r>
            <w:r w:rsidRPr="00443D1C">
              <w:rPr>
                <w:rFonts w:eastAsia="PMingLiU"/>
                <w:color w:val="000000"/>
                <w:lang w:eastAsia="zh-TW"/>
              </w:rPr>
              <w:t xml:space="preserve">FS: The UE shall apply the indicated joint/DL/UL TCI state(s) specific to a </w:t>
            </w:r>
            <w:r w:rsidRPr="00443D1C">
              <w:rPr>
                <w:rFonts w:eastAsia="PMingLiU"/>
                <w:i/>
                <w:iCs/>
                <w:color w:val="000000"/>
                <w:lang w:eastAsia="zh-TW"/>
              </w:rPr>
              <w:t>coresetPoolIndex</w:t>
            </w:r>
            <w:r w:rsidRPr="00443D1C">
              <w:rPr>
                <w:rFonts w:eastAsia="PMingLiU"/>
                <w:color w:val="000000"/>
                <w:lang w:eastAsia="zh-TW"/>
              </w:rPr>
              <w:t xml:space="preserve"> value to channel(s)/signal(s) that have explicit or implicit association with the same </w:t>
            </w:r>
            <w:r w:rsidRPr="00443D1C">
              <w:rPr>
                <w:rFonts w:eastAsia="PMingLiU"/>
                <w:i/>
                <w:iCs/>
                <w:color w:val="000000"/>
                <w:lang w:eastAsia="zh-TW"/>
              </w:rPr>
              <w:t>coresetPoolIndex</w:t>
            </w:r>
            <w:r w:rsidRPr="00443D1C">
              <w:rPr>
                <w:rFonts w:eastAsia="PMingLiU"/>
                <w:color w:val="000000"/>
                <w:lang w:eastAsia="zh-TW"/>
              </w:rPr>
              <w:t xml:space="preserve"> value</w:t>
            </w:r>
          </w:p>
          <w:p w14:paraId="73BAAF8D" w14:textId="77777777" w:rsidR="00C415AF" w:rsidRPr="00A96C52" w:rsidRDefault="00C415AF" w:rsidP="00C415AF">
            <w:pPr>
              <w:pStyle w:val="ListParagraph"/>
              <w:numPr>
                <w:ilvl w:val="0"/>
                <w:numId w:val="9"/>
              </w:numPr>
              <w:tabs>
                <w:tab w:val="left" w:pos="0"/>
              </w:tabs>
              <w:suppressAutoHyphens/>
              <w:spacing w:after="0"/>
              <w:jc w:val="both"/>
              <w:rPr>
                <w:color w:val="000000"/>
                <w:highlight w:val="cyan"/>
              </w:rPr>
            </w:pPr>
            <w:r w:rsidRPr="00A96C52">
              <w:rPr>
                <w:color w:val="000000"/>
                <w:highlight w:val="cyan"/>
              </w:rPr>
              <w:t xml:space="preserve">A </w:t>
            </w:r>
            <w:r w:rsidRPr="00A96C52">
              <w:rPr>
                <w:i/>
                <w:iCs/>
                <w:color w:val="000000"/>
                <w:highlight w:val="cyan"/>
              </w:rPr>
              <w:t>coresetPoolIndex</w:t>
            </w:r>
            <w:r w:rsidRPr="00A96C52">
              <w:rPr>
                <w:color w:val="000000"/>
                <w:highlight w:val="cyan"/>
              </w:rPr>
              <w:t xml:space="preserve"> value field is included in TCI state activation command (MAC-CE) to indicate that the mapping between the activated TCI state(s) and the TCI codepoint(s) is specific to which </w:t>
            </w:r>
            <w:r w:rsidRPr="00A96C52">
              <w:rPr>
                <w:i/>
                <w:iCs/>
                <w:color w:val="000000"/>
                <w:highlight w:val="cyan"/>
              </w:rPr>
              <w:t>coresetPoolIndex</w:t>
            </w:r>
            <w:r w:rsidRPr="00A96C52">
              <w:rPr>
                <w:color w:val="000000"/>
                <w:highlight w:val="cyan"/>
              </w:rPr>
              <w:t xml:space="preserve"> value</w:t>
            </w:r>
          </w:p>
          <w:p w14:paraId="5BEDAB35" w14:textId="77777777" w:rsidR="00C415AF" w:rsidRDefault="00C415AF" w:rsidP="00C415AF"/>
          <w:p w14:paraId="47CDFB2D" w14:textId="77777777" w:rsidR="00C415AF" w:rsidRPr="00B2655C" w:rsidRDefault="00C415AF" w:rsidP="00C415AF">
            <w:pPr>
              <w:rPr>
                <w:rFonts w:cs="Times"/>
                <w:color w:val="000000"/>
              </w:rPr>
            </w:pPr>
            <w:r w:rsidRPr="00443D1C">
              <w:rPr>
                <w:rFonts w:cs="Times"/>
                <w:b/>
                <w:bCs/>
                <w:iCs/>
                <w:color w:val="000000"/>
              </w:rPr>
              <w:t>Conclusion</w:t>
            </w:r>
            <w:r>
              <w:rPr>
                <w:rFonts w:cs="Times"/>
                <w:b/>
                <w:color w:val="000000"/>
              </w:rPr>
              <w:t xml:space="preserve"> </w:t>
            </w:r>
            <w:r w:rsidRPr="00FF7441">
              <w:rPr>
                <w:highlight w:val="yellow"/>
              </w:rPr>
              <w:t>(RAN1#1</w:t>
            </w:r>
            <w:r>
              <w:rPr>
                <w:highlight w:val="yellow"/>
              </w:rPr>
              <w:t>10bis-e</w:t>
            </w:r>
            <w:r w:rsidRPr="00FF7441">
              <w:rPr>
                <w:highlight w:val="yellow"/>
              </w:rPr>
              <w:t>)</w:t>
            </w:r>
          </w:p>
          <w:p w14:paraId="333546C2" w14:textId="4429CEE8" w:rsidR="00C415AF" w:rsidRDefault="00C415AF" w:rsidP="00C415AF">
            <w:pPr>
              <w:rPr>
                <w:bCs/>
              </w:rPr>
            </w:pPr>
            <w:r w:rsidRPr="00C415AF">
              <w:rPr>
                <w:rFonts w:cs="Times"/>
                <w:iCs/>
                <w:color w:val="000000"/>
                <w:highlight w:val="green"/>
              </w:rPr>
              <w:t>On</w:t>
            </w:r>
            <w:r w:rsidRPr="00C415AF">
              <w:rPr>
                <w:rFonts w:cs="Times"/>
                <w:color w:val="000000"/>
                <w:highlight w:val="green"/>
              </w:rPr>
              <w:t xml:space="preserve"> unified TCI framework extension in Rel-18, there is no consensus to support separate RRC-configured TCI state list(s) for each of TRPs</w:t>
            </w:r>
          </w:p>
        </w:tc>
      </w:tr>
    </w:tbl>
    <w:p w14:paraId="532AF947" w14:textId="77777777" w:rsidR="00C415AF" w:rsidRPr="00C415AF" w:rsidRDefault="00C415AF" w:rsidP="005C25EC">
      <w:pPr>
        <w:rPr>
          <w:bCs/>
        </w:rPr>
      </w:pPr>
    </w:p>
    <w:p w14:paraId="69E7867E" w14:textId="3466A527" w:rsidR="002A42DA" w:rsidRDefault="005C25EC" w:rsidP="005C25EC">
      <w:r w:rsidRPr="00F44546">
        <w:rPr>
          <w:b/>
        </w:rPr>
        <w:t>Proposal 2</w:t>
      </w:r>
      <w:r w:rsidRPr="00F44546">
        <w:rPr>
          <w:bCs/>
        </w:rPr>
        <w:t>:</w:t>
      </w:r>
      <w:r w:rsidRPr="00F44546">
        <w:t xml:space="preserve"> </w:t>
      </w:r>
      <w:r>
        <w:t xml:space="preserve">Extend the </w:t>
      </w:r>
      <w:r w:rsidR="005542E1">
        <w:t xml:space="preserve">MAC CEs used to activate </w:t>
      </w:r>
      <w:r>
        <w:t>unified TCI state configurations with CORESET pool index value for Rel-18 mDCI mTRP</w:t>
      </w:r>
      <w:r w:rsidR="002A42DA">
        <w:t>.</w:t>
      </w:r>
    </w:p>
    <w:p w14:paraId="352CECE3" w14:textId="1A4AA544" w:rsidR="004872DC" w:rsidRDefault="005C25EC" w:rsidP="009339CB">
      <w:pPr>
        <w:rPr>
          <w:bCs/>
        </w:rPr>
      </w:pPr>
      <w:r>
        <w:rPr>
          <w:bCs/>
        </w:rPr>
        <w:t xml:space="preserve">The current unified TCI MAC CE shown in </w:t>
      </w:r>
      <w:r w:rsidR="000E0141">
        <w:rPr>
          <w:bCs/>
        </w:rPr>
        <w:fldChar w:fldCharType="begin"/>
      </w:r>
      <w:r w:rsidR="000E0141">
        <w:rPr>
          <w:bCs/>
        </w:rPr>
        <w:instrText xml:space="preserve"> REF _Ref134708469 \h </w:instrText>
      </w:r>
      <w:r w:rsidR="000E0141">
        <w:rPr>
          <w:bCs/>
        </w:rPr>
      </w:r>
      <w:r w:rsidR="000E0141">
        <w:rPr>
          <w:bCs/>
        </w:rPr>
        <w:fldChar w:fldCharType="separate"/>
      </w:r>
      <w:r w:rsidR="000E0141" w:rsidRPr="00F44546">
        <w:rPr>
          <w:bCs/>
        </w:rPr>
        <w:t xml:space="preserve">Figure </w:t>
      </w:r>
      <w:r w:rsidR="000E0141">
        <w:rPr>
          <w:bCs/>
          <w:noProof/>
        </w:rPr>
        <w:t>3</w:t>
      </w:r>
      <w:r w:rsidR="000E0141">
        <w:rPr>
          <w:bCs/>
        </w:rPr>
        <w:fldChar w:fldCharType="end"/>
      </w:r>
      <w:r>
        <w:rPr>
          <w:bCs/>
        </w:rPr>
        <w:t xml:space="preserve"> (excerpted from clause 6.1.3.47 of TS38.321) has several R-bits, so it seems like a simple extension to use those to change the MAC CE structure for mDCI mTRP purpose as well.</w:t>
      </w:r>
    </w:p>
    <w:p w14:paraId="66ECD235" w14:textId="77777777" w:rsidR="005C25EC" w:rsidRPr="00B71987" w:rsidRDefault="005C25EC" w:rsidP="005C25EC">
      <w:pPr>
        <w:pStyle w:val="TH"/>
        <w:rPr>
          <w:noProof/>
        </w:rPr>
      </w:pPr>
      <w:r w:rsidRPr="00B71987">
        <w:object w:dxaOrig="5715" w:dyaOrig="4441" w14:anchorId="0AEAA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1pt;height:222.35pt" o:ole="">
            <v:imagedata r:id="rId15" o:title=""/>
          </v:shape>
          <o:OLEObject Type="Embed" ProgID="Visio.Drawing.15" ShapeID="_x0000_i1025" DrawAspect="Content" ObjectID="_1745387576" r:id="rId16"/>
        </w:object>
      </w:r>
    </w:p>
    <w:p w14:paraId="25A30B81" w14:textId="3CB2CFA2" w:rsidR="005C25EC" w:rsidRPr="00F44546" w:rsidRDefault="005C25EC" w:rsidP="005C25EC">
      <w:pPr>
        <w:pStyle w:val="Caption"/>
        <w:jc w:val="center"/>
        <w:rPr>
          <w:lang w:val="en-GB"/>
        </w:rPr>
      </w:pPr>
      <w:bookmarkStart w:id="2" w:name="_Ref134708469"/>
      <w:r w:rsidRPr="00F44546">
        <w:rPr>
          <w:bCs/>
          <w:lang w:val="en-GB"/>
        </w:rPr>
        <w:t xml:space="preserve">Figure </w:t>
      </w:r>
      <w:r w:rsidRPr="00F44546">
        <w:rPr>
          <w:b w:val="0"/>
          <w:bCs/>
          <w:i/>
          <w:iCs/>
          <w:lang w:val="en-GB"/>
        </w:rPr>
        <w:fldChar w:fldCharType="begin"/>
      </w:r>
      <w:r w:rsidRPr="00F44546">
        <w:rPr>
          <w:bCs/>
          <w:lang w:val="en-GB"/>
        </w:rPr>
        <w:instrText xml:space="preserve"> SEQ Figure \* ARABIC </w:instrText>
      </w:r>
      <w:r w:rsidRPr="00F44546">
        <w:rPr>
          <w:b w:val="0"/>
          <w:bCs/>
          <w:i/>
          <w:iCs/>
          <w:lang w:val="en-GB"/>
        </w:rPr>
        <w:fldChar w:fldCharType="separate"/>
      </w:r>
      <w:r w:rsidR="00A049AD">
        <w:rPr>
          <w:bCs/>
          <w:noProof/>
          <w:lang w:val="en-GB"/>
        </w:rPr>
        <w:t>3</w:t>
      </w:r>
      <w:r w:rsidRPr="00F44546">
        <w:rPr>
          <w:b w:val="0"/>
          <w:bCs/>
          <w:i/>
          <w:iCs/>
          <w:lang w:val="en-GB"/>
        </w:rPr>
        <w:fldChar w:fldCharType="end"/>
      </w:r>
      <w:bookmarkEnd w:id="2"/>
      <w:r w:rsidRPr="00F44546">
        <w:rPr>
          <w:bCs/>
          <w:lang w:val="en-GB"/>
        </w:rPr>
        <w:t xml:space="preserve">. Unified TCI </w:t>
      </w:r>
      <w:r>
        <w:rPr>
          <w:bCs/>
          <w:lang w:val="en-GB"/>
        </w:rPr>
        <w:t xml:space="preserve">activation MAC CE in </w:t>
      </w:r>
      <w:r w:rsidRPr="00F44546">
        <w:rPr>
          <w:bCs/>
          <w:lang w:val="en-GB"/>
        </w:rPr>
        <w:t>Rel-1</w:t>
      </w:r>
      <w:r>
        <w:rPr>
          <w:bCs/>
          <w:lang w:val="en-GB"/>
        </w:rPr>
        <w:t>7</w:t>
      </w:r>
    </w:p>
    <w:p w14:paraId="29ADC851" w14:textId="77777777" w:rsidR="005C25EC" w:rsidRPr="004872DC" w:rsidRDefault="005C25EC" w:rsidP="009339CB">
      <w:pPr>
        <w:rPr>
          <w:bCs/>
        </w:rPr>
      </w:pPr>
    </w:p>
    <w:p w14:paraId="3FD2F9DB" w14:textId="3B65AE4F" w:rsidR="009339CB" w:rsidRPr="00F44546" w:rsidRDefault="009339CB" w:rsidP="009339CB">
      <w:r w:rsidRPr="00F44546">
        <w:rPr>
          <w:b/>
        </w:rPr>
        <w:t xml:space="preserve">Observation </w:t>
      </w:r>
      <w:r w:rsidR="002333E0">
        <w:rPr>
          <w:b/>
        </w:rPr>
        <w:t>3</w:t>
      </w:r>
      <w:r w:rsidRPr="00F44546">
        <w:rPr>
          <w:bCs/>
        </w:rPr>
        <w:t>:</w:t>
      </w:r>
      <w:r w:rsidRPr="00F44546">
        <w:t xml:space="preserve"> </w:t>
      </w:r>
      <w:r w:rsidR="005C25EC">
        <w:t xml:space="preserve">The Rel-17 MAC CE for unified TCI state activation is </w:t>
      </w:r>
      <w:r w:rsidR="00631246">
        <w:t xml:space="preserve">clearly </w:t>
      </w:r>
      <w:r w:rsidR="005C25EC">
        <w:t>extendible via using R-bits.</w:t>
      </w:r>
    </w:p>
    <w:p w14:paraId="0C5CDCC5" w14:textId="77777777" w:rsidR="00A16983" w:rsidRDefault="009339CB" w:rsidP="009339CB">
      <w:r w:rsidRPr="00F44546">
        <w:rPr>
          <w:b/>
        </w:rPr>
        <w:t xml:space="preserve">Proposal </w:t>
      </w:r>
      <w:r w:rsidR="005C25EC">
        <w:rPr>
          <w:b/>
        </w:rPr>
        <w:t>3</w:t>
      </w:r>
      <w:r w:rsidR="00A16983">
        <w:rPr>
          <w:b/>
        </w:rPr>
        <w:t>a</w:t>
      </w:r>
      <w:r w:rsidRPr="00F44546">
        <w:rPr>
          <w:bCs/>
        </w:rPr>
        <w:t>:</w:t>
      </w:r>
      <w:r w:rsidRPr="00F44546">
        <w:t xml:space="preserve"> </w:t>
      </w:r>
      <w:r w:rsidR="005C25EC">
        <w:t xml:space="preserve">Extend the Rel-17 </w:t>
      </w:r>
      <w:r w:rsidR="005C25EC" w:rsidRPr="005C25EC">
        <w:rPr>
          <w:b/>
          <w:bCs/>
          <w:noProof/>
        </w:rPr>
        <w:t>Unified TCI States Activation/Deactivation MAC CE</w:t>
      </w:r>
      <w:r w:rsidR="005C25EC" w:rsidRPr="00F44546">
        <w:t xml:space="preserve"> </w:t>
      </w:r>
      <w:r w:rsidR="00A37DBA">
        <w:t xml:space="preserve">by introducing CORESET pool ID </w:t>
      </w:r>
      <w:r w:rsidR="005C25EC">
        <w:t xml:space="preserve">for unified TCI states with mDCI mTRP in Rel-18. </w:t>
      </w:r>
    </w:p>
    <w:p w14:paraId="1BC82ECA" w14:textId="22853951" w:rsidR="009339CB" w:rsidRPr="00F44546" w:rsidRDefault="00A16983" w:rsidP="009339CB">
      <w:r w:rsidRPr="00752CE4">
        <w:rPr>
          <w:b/>
          <w:bCs/>
        </w:rPr>
        <w:t xml:space="preserve">Proposal 3b: </w:t>
      </w:r>
      <w:r>
        <w:t>T</w:t>
      </w:r>
      <w:r w:rsidR="005C25EC">
        <w:t xml:space="preserve">he exact MAC CE structure </w:t>
      </w:r>
      <w:bookmarkStart w:id="3" w:name="_Hlk134774579"/>
      <w:r w:rsidR="008D2DC9">
        <w:t>for TCI state activation of mDCI mTRP</w:t>
      </w:r>
      <w:bookmarkEnd w:id="3"/>
      <w:r w:rsidR="008D2DC9">
        <w:t xml:space="preserve"> </w:t>
      </w:r>
      <w:r>
        <w:t>can be discussed in RAN2#122 based on RAN1 progress</w:t>
      </w:r>
      <w:r w:rsidR="005C25EC">
        <w:t>.</w:t>
      </w:r>
    </w:p>
    <w:p w14:paraId="3284BFB9" w14:textId="181E84B2" w:rsidR="006C38B4" w:rsidRPr="00F44546" w:rsidRDefault="006C38B4" w:rsidP="006C38B4">
      <w:pPr>
        <w:pStyle w:val="Heading2"/>
      </w:pPr>
      <w:r w:rsidRPr="00F44546">
        <w:t>2.</w:t>
      </w:r>
      <w:r w:rsidR="00F44546" w:rsidRPr="00F44546">
        <w:t>3</w:t>
      </w:r>
      <w:r w:rsidRPr="00F44546">
        <w:tab/>
        <w:t>Single DCI case</w:t>
      </w:r>
    </w:p>
    <w:p w14:paraId="29BBFD04" w14:textId="22CFAA40" w:rsidR="006C38B4" w:rsidRPr="00F44546" w:rsidRDefault="002333E0" w:rsidP="006C38B4">
      <w:r>
        <w:t xml:space="preserve">The single DCI mTRP in Rel-16 was characterized by sparseness of configuration: The only things that configured its usage was the lists that indicated whether TCI states of multiple cells could be activated at once. This made the feature not only difficult to use but also difficult to pinpoint in terms of UE capabilities, i.e. understanding how to activate and test the feature. For Rel-18, it seems </w:t>
      </w:r>
      <w:r w:rsidR="005C28E6">
        <w:t>necessary to discuss whether</w:t>
      </w:r>
      <w:r>
        <w:t xml:space="preserve"> to make it explicit whether sDCI is configured for the UE by an RRC configuration parameter.</w:t>
      </w:r>
    </w:p>
    <w:p w14:paraId="2BE65001" w14:textId="29DE2462" w:rsidR="006C38B4" w:rsidRPr="00F44546" w:rsidRDefault="006C38B4" w:rsidP="006C38B4">
      <w:r w:rsidRPr="00F44546">
        <w:rPr>
          <w:b/>
        </w:rPr>
        <w:t xml:space="preserve">Observation </w:t>
      </w:r>
      <w:r w:rsidR="002333E0">
        <w:rPr>
          <w:b/>
        </w:rPr>
        <w:t>4</w:t>
      </w:r>
      <w:r w:rsidRPr="00F44546">
        <w:rPr>
          <w:bCs/>
        </w:rPr>
        <w:t>:</w:t>
      </w:r>
      <w:r w:rsidRPr="00F44546">
        <w:t xml:space="preserve"> </w:t>
      </w:r>
      <w:r w:rsidR="002333E0">
        <w:t>Rel-16 sDCI mTRP is almost invisible in terms of RRC configuration.</w:t>
      </w:r>
    </w:p>
    <w:p w14:paraId="3D981021" w14:textId="13C32B99" w:rsidR="006C38B4" w:rsidRDefault="006C38B4" w:rsidP="006C38B4">
      <w:r w:rsidRPr="00F44546">
        <w:rPr>
          <w:b/>
        </w:rPr>
        <w:lastRenderedPageBreak/>
        <w:t xml:space="preserve">Proposal </w:t>
      </w:r>
      <w:r w:rsidR="002333E0">
        <w:rPr>
          <w:b/>
        </w:rPr>
        <w:t>4</w:t>
      </w:r>
      <w:r w:rsidRPr="00F44546">
        <w:rPr>
          <w:bCs/>
        </w:rPr>
        <w:t>:</w:t>
      </w:r>
      <w:r w:rsidRPr="00F44546">
        <w:t xml:space="preserve"> </w:t>
      </w:r>
      <w:r w:rsidR="005C28E6">
        <w:t>Discuss whether to c</w:t>
      </w:r>
      <w:r w:rsidR="002333E0">
        <w:t xml:space="preserve">reate explicit RRC configuration that indicates UE is using Rel-18 sDCI mTRP with unified TCI states. </w:t>
      </w:r>
    </w:p>
    <w:p w14:paraId="1C9C6738" w14:textId="416C57F6" w:rsidR="007E7674" w:rsidRDefault="002333E0" w:rsidP="002333E0">
      <w:r>
        <w:t xml:space="preserve">From TCI state viewpoint, the sDCI mTRP looks much more </w:t>
      </w:r>
      <w:r w:rsidR="008E58B0">
        <w:t>like</w:t>
      </w:r>
      <w:r>
        <w:t xml:space="preserve"> the Rel-17 unified TCI states than the mDCI mTRP: sDCI only has a single indicated TCI state codepoint, but the meaning of the codepoint is different: </w:t>
      </w:r>
      <w:r w:rsidR="007E7674">
        <w:t>A DCI code point can indicate 1-2 UL and/or DL TCI states, i.e. 1-4 TCI states in total. This means that one codepoint can be configured to indicate one of the following:</w:t>
      </w:r>
    </w:p>
    <w:p w14:paraId="1BCF1136" w14:textId="747747DD" w:rsidR="00724CC0" w:rsidRDefault="007E7674" w:rsidP="007E7674">
      <w:pPr>
        <w:pStyle w:val="ListParagraph"/>
        <w:numPr>
          <w:ilvl w:val="0"/>
          <w:numId w:val="10"/>
        </w:numPr>
      </w:pPr>
      <w:r>
        <w:t xml:space="preserve">For separate TCI states: </w:t>
      </w:r>
      <w:r w:rsidR="002333E0">
        <w:t xml:space="preserve">1) </w:t>
      </w:r>
      <w:r w:rsidR="002333E0" w:rsidRPr="002333E0">
        <w:t>1 DL TCI</w:t>
      </w:r>
      <w:r w:rsidR="002333E0">
        <w:t xml:space="preserve">, 2) </w:t>
      </w:r>
      <w:r w:rsidR="002333E0" w:rsidRPr="002333E0">
        <w:t>1 UL TCI</w:t>
      </w:r>
      <w:r w:rsidR="002333E0">
        <w:t xml:space="preserve">, 3) </w:t>
      </w:r>
      <w:r w:rsidR="002333E0" w:rsidRPr="002333E0">
        <w:t>2 DL TCI</w:t>
      </w:r>
      <w:r w:rsidR="002333E0">
        <w:t xml:space="preserve">, 4) </w:t>
      </w:r>
      <w:r w:rsidR="002333E0" w:rsidRPr="002333E0">
        <w:t>2 UL TCI</w:t>
      </w:r>
      <w:r w:rsidR="002333E0">
        <w:t xml:space="preserve">, 5) </w:t>
      </w:r>
      <w:r w:rsidR="002333E0" w:rsidRPr="002333E0">
        <w:t xml:space="preserve">1 DL </w:t>
      </w:r>
      <w:r w:rsidR="002333E0">
        <w:t xml:space="preserve">TCI </w:t>
      </w:r>
      <w:r w:rsidR="002333E0" w:rsidRPr="002333E0">
        <w:t>+ 1 UL</w:t>
      </w:r>
      <w:r w:rsidR="002333E0">
        <w:t xml:space="preserve"> TCI, 6) </w:t>
      </w:r>
      <w:r w:rsidR="002333E0" w:rsidRPr="002333E0">
        <w:t xml:space="preserve">2 DL </w:t>
      </w:r>
      <w:r w:rsidR="002333E0">
        <w:t xml:space="preserve">TCI </w:t>
      </w:r>
      <w:r w:rsidR="002333E0" w:rsidRPr="002333E0">
        <w:t xml:space="preserve">+ 1 UL </w:t>
      </w:r>
      <w:r w:rsidR="002333E0">
        <w:t xml:space="preserve">TCI, 7) </w:t>
      </w:r>
      <w:r w:rsidR="002333E0" w:rsidRPr="002333E0">
        <w:t xml:space="preserve">1 DL </w:t>
      </w:r>
      <w:r w:rsidR="002333E0">
        <w:t xml:space="preserve">TCI </w:t>
      </w:r>
      <w:r w:rsidR="002333E0" w:rsidRPr="002333E0">
        <w:t>+ 2 UL</w:t>
      </w:r>
      <w:r w:rsidR="002333E0">
        <w:t xml:space="preserve"> TCI or 8) </w:t>
      </w:r>
      <w:r w:rsidR="002333E0" w:rsidRPr="002333E0">
        <w:t xml:space="preserve">2 DL </w:t>
      </w:r>
      <w:r w:rsidR="002333E0">
        <w:t xml:space="preserve">TCI </w:t>
      </w:r>
      <w:r w:rsidR="002333E0" w:rsidRPr="002333E0">
        <w:t xml:space="preserve">+ 2 UL </w:t>
      </w:r>
      <w:r w:rsidR="002333E0">
        <w:t xml:space="preserve">TCI. </w:t>
      </w:r>
    </w:p>
    <w:p w14:paraId="5C91D809" w14:textId="3B2E0D46" w:rsidR="00724CC0" w:rsidRDefault="007E7674" w:rsidP="00752CE4">
      <w:pPr>
        <w:pStyle w:val="ListParagraph"/>
        <w:numPr>
          <w:ilvl w:val="0"/>
          <w:numId w:val="10"/>
        </w:numPr>
      </w:pPr>
      <w:r>
        <w:t xml:space="preserve">For joint TCI states: </w:t>
      </w:r>
      <w:r w:rsidR="00724CC0">
        <w:t xml:space="preserve">1) </w:t>
      </w:r>
      <w:r>
        <w:t xml:space="preserve">1 joint (UL+DL) TCI </w:t>
      </w:r>
      <w:r w:rsidR="00724CC0">
        <w:t xml:space="preserve">or 2) 2 joint </w:t>
      </w:r>
      <w:r>
        <w:t>(</w:t>
      </w:r>
      <w:r w:rsidR="00724CC0">
        <w:t>UL+DL</w:t>
      </w:r>
      <w:r>
        <w:t>)</w:t>
      </w:r>
      <w:r w:rsidR="00724CC0">
        <w:t xml:space="preserve"> TCI</w:t>
      </w:r>
      <w:r>
        <w:t>s</w:t>
      </w:r>
    </w:p>
    <w:p w14:paraId="172AC93E" w14:textId="6B0CE090" w:rsidR="005377D8" w:rsidRDefault="005377D8" w:rsidP="002333E0">
      <w:r>
        <w:t xml:space="preserve">The </w:t>
      </w:r>
      <w:r w:rsidR="000E0141">
        <w:fldChar w:fldCharType="begin"/>
      </w:r>
      <w:r w:rsidR="000E0141">
        <w:instrText xml:space="preserve"> REF _Ref134708512 \h </w:instrText>
      </w:r>
      <w:r w:rsidR="000E0141">
        <w:fldChar w:fldCharType="separate"/>
      </w:r>
      <w:r w:rsidR="000E0141" w:rsidRPr="00F44546">
        <w:rPr>
          <w:bCs/>
        </w:rPr>
        <w:t xml:space="preserve">Figure </w:t>
      </w:r>
      <w:r w:rsidR="000E0141">
        <w:rPr>
          <w:bCs/>
          <w:noProof/>
        </w:rPr>
        <w:t>4</w:t>
      </w:r>
      <w:r w:rsidR="000E0141">
        <w:fldChar w:fldCharType="end"/>
      </w:r>
      <w:r>
        <w:t xml:space="preserve"> below also shows this as a simple schematic (with the green highlight illustrating the mappings that are common for joint and separate TCI states).</w:t>
      </w:r>
    </w:p>
    <w:p w14:paraId="272351B3" w14:textId="188C0A79" w:rsidR="005377D8" w:rsidRDefault="625E637C" w:rsidP="002333E0">
      <w:r>
        <w:rPr>
          <w:noProof/>
        </w:rPr>
        <w:drawing>
          <wp:inline distT="0" distB="0" distL="0" distR="0" wp14:anchorId="5FBBBE2C" wp14:editId="4D5F92DE">
            <wp:extent cx="5915660" cy="116903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7">
                      <a:extLst>
                        <a:ext uri="{28A0092B-C50C-407E-A947-70E740481C1C}">
                          <a14:useLocalDpi xmlns:a14="http://schemas.microsoft.com/office/drawing/2010/main" val="0"/>
                        </a:ext>
                      </a:extLst>
                    </a:blip>
                    <a:stretch>
                      <a:fillRect/>
                    </a:stretch>
                  </pic:blipFill>
                  <pic:spPr>
                    <a:xfrm>
                      <a:off x="0" y="0"/>
                      <a:ext cx="5915660" cy="1169035"/>
                    </a:xfrm>
                    <a:prstGeom prst="rect">
                      <a:avLst/>
                    </a:prstGeom>
                  </pic:spPr>
                </pic:pic>
              </a:graphicData>
            </a:graphic>
          </wp:inline>
        </w:drawing>
      </w:r>
    </w:p>
    <w:p w14:paraId="3654BA9A" w14:textId="6C207FA4" w:rsidR="005377D8" w:rsidRPr="00F44546" w:rsidRDefault="005377D8" w:rsidP="005377D8">
      <w:pPr>
        <w:pStyle w:val="Caption"/>
        <w:jc w:val="center"/>
        <w:rPr>
          <w:lang w:val="en-GB"/>
        </w:rPr>
      </w:pPr>
      <w:bookmarkStart w:id="4" w:name="_Ref134708512"/>
      <w:r w:rsidRPr="00F44546">
        <w:rPr>
          <w:bCs/>
          <w:lang w:val="en-GB"/>
        </w:rPr>
        <w:t xml:space="preserve">Figure </w:t>
      </w:r>
      <w:r w:rsidRPr="00F44546">
        <w:rPr>
          <w:b w:val="0"/>
          <w:bCs/>
          <w:i/>
          <w:iCs/>
          <w:lang w:val="en-GB"/>
        </w:rPr>
        <w:fldChar w:fldCharType="begin"/>
      </w:r>
      <w:r w:rsidRPr="00F44546">
        <w:rPr>
          <w:bCs/>
          <w:lang w:val="en-GB"/>
        </w:rPr>
        <w:instrText xml:space="preserve"> SEQ Figure \* ARABIC </w:instrText>
      </w:r>
      <w:r w:rsidRPr="00F44546">
        <w:rPr>
          <w:b w:val="0"/>
          <w:bCs/>
          <w:i/>
          <w:iCs/>
          <w:lang w:val="en-GB"/>
        </w:rPr>
        <w:fldChar w:fldCharType="separate"/>
      </w:r>
      <w:r w:rsidR="00A049AD">
        <w:rPr>
          <w:bCs/>
          <w:noProof/>
          <w:lang w:val="en-GB"/>
        </w:rPr>
        <w:t>4</w:t>
      </w:r>
      <w:r w:rsidRPr="00F44546">
        <w:rPr>
          <w:b w:val="0"/>
          <w:bCs/>
          <w:i/>
          <w:iCs/>
          <w:lang w:val="en-GB"/>
        </w:rPr>
        <w:fldChar w:fldCharType="end"/>
      </w:r>
      <w:bookmarkEnd w:id="4"/>
      <w:r w:rsidRPr="00F44546">
        <w:rPr>
          <w:bCs/>
          <w:lang w:val="en-GB"/>
        </w:rPr>
        <w:t xml:space="preserve">. </w:t>
      </w:r>
      <w:r w:rsidR="000E0141">
        <w:rPr>
          <w:bCs/>
          <w:lang w:val="en-GB"/>
        </w:rPr>
        <w:t xml:space="preserve">Possible </w:t>
      </w:r>
      <w:r>
        <w:rPr>
          <w:bCs/>
          <w:lang w:val="en-GB"/>
        </w:rPr>
        <w:t xml:space="preserve">DCI </w:t>
      </w:r>
      <w:r w:rsidR="000E0141">
        <w:rPr>
          <w:bCs/>
          <w:lang w:val="en-GB"/>
        </w:rPr>
        <w:t xml:space="preserve">codepoint </w:t>
      </w:r>
      <w:r>
        <w:rPr>
          <w:bCs/>
          <w:lang w:val="en-GB"/>
        </w:rPr>
        <w:t>ma</w:t>
      </w:r>
      <w:r w:rsidR="000E0141">
        <w:rPr>
          <w:bCs/>
          <w:lang w:val="en-GB"/>
        </w:rPr>
        <w:t xml:space="preserve">ppings for sDCI mTRP in </w:t>
      </w:r>
      <w:r w:rsidRPr="00F44546">
        <w:rPr>
          <w:bCs/>
          <w:lang w:val="en-GB"/>
        </w:rPr>
        <w:t>Rel-1</w:t>
      </w:r>
      <w:r w:rsidR="000E0141">
        <w:rPr>
          <w:bCs/>
          <w:lang w:val="en-GB"/>
        </w:rPr>
        <w:t>8</w:t>
      </w:r>
    </w:p>
    <w:p w14:paraId="210BD9FE" w14:textId="53490084" w:rsidR="002333E0" w:rsidRDefault="00DC6690" w:rsidP="002333E0">
      <w:r>
        <w:t xml:space="preserve">As with Rel-17, the TCI states themselves </w:t>
      </w:r>
      <w:r w:rsidR="002333E0">
        <w:t>need to be configured via RRC</w:t>
      </w:r>
      <w:r>
        <w:t>, but the actual DCI mapping is done via the activation MAC CE</w:t>
      </w:r>
      <w:r w:rsidR="00910D07">
        <w:t xml:space="preserve">. Since the mapping </w:t>
      </w:r>
      <w:r w:rsidR="002A42DA">
        <w:t xml:space="preserve">structure is </w:t>
      </w:r>
      <w:r w:rsidR="002333E0">
        <w:t xml:space="preserve">different </w:t>
      </w:r>
      <w:r w:rsidR="00910D07">
        <w:t xml:space="preserve">from Rel-17, </w:t>
      </w:r>
      <w:r w:rsidR="002333E0">
        <w:t xml:space="preserve">a new </w:t>
      </w:r>
      <w:r w:rsidR="002A42DA">
        <w:t xml:space="preserve">MAC CE </w:t>
      </w:r>
      <w:r w:rsidR="002333E0">
        <w:t>is required</w:t>
      </w:r>
      <w:r w:rsidR="002A42DA">
        <w:t xml:space="preserve"> for the configuration</w:t>
      </w:r>
      <w:r w:rsidR="00910D07">
        <w:t>, and there could even be different MAC CEs for joint and separate TCI states</w:t>
      </w:r>
      <w:r w:rsidR="002333E0">
        <w:t>.</w:t>
      </w:r>
    </w:p>
    <w:p w14:paraId="07A21CE7" w14:textId="45AA4F41" w:rsidR="002333E0" w:rsidRPr="002333E0" w:rsidRDefault="002333E0" w:rsidP="002333E0">
      <w:pPr>
        <w:rPr>
          <w:lang w:val="en-US"/>
        </w:rPr>
      </w:pPr>
      <w:r w:rsidRPr="002333E0">
        <w:rPr>
          <w:b/>
          <w:bCs/>
        </w:rPr>
        <w:t>Observation 5:</w:t>
      </w:r>
      <w:r>
        <w:t xml:space="preserve"> Rel-18 sDCI mTRP requires different configuration of TCI state – to – DCI codepoint mapping compared to Rel-17 unified TCI states</w:t>
      </w:r>
      <w:r w:rsidR="00CD5E75">
        <w:t xml:space="preserve"> (i.e. Rel-18 allows up to 4 TCI to be associated to a codepoint)</w:t>
      </w:r>
      <w:r>
        <w:t>.</w:t>
      </w:r>
    </w:p>
    <w:p w14:paraId="30A4D11F" w14:textId="25DE7F82" w:rsidR="00A16983" w:rsidRDefault="002A42DA" w:rsidP="002A42DA">
      <w:r w:rsidRPr="00F44546">
        <w:rPr>
          <w:b/>
        </w:rPr>
        <w:t xml:space="preserve">Proposal </w:t>
      </w:r>
      <w:r>
        <w:rPr>
          <w:b/>
        </w:rPr>
        <w:t>5</w:t>
      </w:r>
      <w:r w:rsidR="008D2DC9">
        <w:rPr>
          <w:b/>
        </w:rPr>
        <w:t>a</w:t>
      </w:r>
      <w:r w:rsidRPr="00F44546">
        <w:rPr>
          <w:bCs/>
        </w:rPr>
        <w:t>:</w:t>
      </w:r>
      <w:r w:rsidRPr="00F44546">
        <w:t xml:space="preserve"> </w:t>
      </w:r>
      <w:r>
        <w:t>Define new MAC CE for the sDCI mTRP TCI state activation MAC CE.</w:t>
      </w:r>
      <w:r w:rsidR="00CD5E75">
        <w:t xml:space="preserve"> </w:t>
      </w:r>
    </w:p>
    <w:p w14:paraId="6B258B7A" w14:textId="09F91286" w:rsidR="00A16983" w:rsidRPr="00F44546" w:rsidRDefault="00A16983" w:rsidP="00A16983">
      <w:r w:rsidRPr="00752CE4">
        <w:rPr>
          <w:b/>
          <w:bCs/>
        </w:rPr>
        <w:t xml:space="preserve">Proposal 5b: </w:t>
      </w:r>
      <w:r>
        <w:t>The</w:t>
      </w:r>
      <w:r w:rsidR="002A42DA">
        <w:t xml:space="preserve"> exact MAC CE structure </w:t>
      </w:r>
      <w:r>
        <w:t>and</w:t>
      </w:r>
      <w:r w:rsidR="00910D07">
        <w:t xml:space="preserve"> whether </w:t>
      </w:r>
      <w:r w:rsidR="00EF02F5">
        <w:t>different MAC CEs are needed for joint/separate TCI states</w:t>
      </w:r>
      <w:r>
        <w:t xml:space="preserve"> </w:t>
      </w:r>
      <w:r w:rsidR="008D2DC9">
        <w:t xml:space="preserve">for TCI state activation of </w:t>
      </w:r>
      <w:r w:rsidR="008D2DC9">
        <w:t>s</w:t>
      </w:r>
      <w:r w:rsidR="008D2DC9">
        <w:t>DCI mTRP</w:t>
      </w:r>
      <w:r w:rsidR="008D2DC9">
        <w:t xml:space="preserve"> </w:t>
      </w:r>
      <w:r>
        <w:t>can be discussed in RAN2#122 based on RAN1 progress.</w:t>
      </w:r>
    </w:p>
    <w:p w14:paraId="08CE55EE" w14:textId="66A1EB43" w:rsidR="00A16983" w:rsidRDefault="00A16983" w:rsidP="002A42DA"/>
    <w:p w14:paraId="69B7B8E6" w14:textId="69E07FC9" w:rsidR="009339CB" w:rsidRPr="00F44546" w:rsidRDefault="005A13AB" w:rsidP="009339CB">
      <w:pPr>
        <w:pStyle w:val="Heading1"/>
      </w:pPr>
      <w:r w:rsidRPr="00F44546">
        <w:t>3</w:t>
      </w:r>
      <w:r w:rsidR="009339CB" w:rsidRPr="00F44546">
        <w:tab/>
        <w:t>Conclusion</w:t>
      </w:r>
    </w:p>
    <w:p w14:paraId="6E24B0F4" w14:textId="6ED6EAF8" w:rsidR="009339CB" w:rsidRPr="00F44546" w:rsidRDefault="009339CB" w:rsidP="009339CB">
      <w:r w:rsidRPr="00F44546">
        <w:t>This document has made the following observations:</w:t>
      </w:r>
    </w:p>
    <w:p w14:paraId="4780B538" w14:textId="77777777" w:rsidR="008B06FF" w:rsidRPr="00F44546" w:rsidRDefault="008B06FF" w:rsidP="008B06FF">
      <w:r w:rsidRPr="00F44546">
        <w:rPr>
          <w:b/>
          <w:bCs/>
        </w:rPr>
        <w:t>Observation 1:</w:t>
      </w:r>
      <w:r w:rsidRPr="00F44546">
        <w:t xml:space="preserve"> Multi-TRP was defined in Rel-16 with two modes: Single-DCI and Multi-DCI.</w:t>
      </w:r>
    </w:p>
    <w:p w14:paraId="4CF3A827" w14:textId="77777777" w:rsidR="008B06FF" w:rsidRPr="004872DC" w:rsidRDefault="008B06FF" w:rsidP="008B06FF">
      <w:r w:rsidRPr="004872DC">
        <w:rPr>
          <w:b/>
        </w:rPr>
        <w:t>Observation 2:</w:t>
      </w:r>
      <w:r>
        <w:rPr>
          <w:bCs/>
        </w:rPr>
        <w:t xml:space="preserve"> Multi-DCI mTRP requires TCI state association (via either RRC or MAC CE) with a CORESET pool ID.</w:t>
      </w:r>
    </w:p>
    <w:p w14:paraId="5D6F9256" w14:textId="77777777" w:rsidR="008B06FF" w:rsidRPr="00F44546" w:rsidRDefault="008B06FF" w:rsidP="008B06FF">
      <w:r w:rsidRPr="00F44546">
        <w:rPr>
          <w:b/>
        </w:rPr>
        <w:t xml:space="preserve">Observation </w:t>
      </w:r>
      <w:r>
        <w:rPr>
          <w:b/>
        </w:rPr>
        <w:t>3</w:t>
      </w:r>
      <w:r w:rsidRPr="00F44546">
        <w:rPr>
          <w:bCs/>
        </w:rPr>
        <w:t>:</w:t>
      </w:r>
      <w:r w:rsidRPr="00F44546">
        <w:t xml:space="preserve"> </w:t>
      </w:r>
      <w:r>
        <w:t>The Rel-17 MAC CE for unified TCI state activation is clearly extendible via using R-bits.</w:t>
      </w:r>
    </w:p>
    <w:p w14:paraId="2AFC59CC" w14:textId="77777777" w:rsidR="008B06FF" w:rsidRPr="00F44546" w:rsidRDefault="008B06FF" w:rsidP="008B06FF">
      <w:r w:rsidRPr="00F44546">
        <w:rPr>
          <w:b/>
        </w:rPr>
        <w:t xml:space="preserve">Observation </w:t>
      </w:r>
      <w:r>
        <w:rPr>
          <w:b/>
        </w:rPr>
        <w:t>4</w:t>
      </w:r>
      <w:r w:rsidRPr="00F44546">
        <w:rPr>
          <w:bCs/>
        </w:rPr>
        <w:t>:</w:t>
      </w:r>
      <w:r w:rsidRPr="00F44546">
        <w:t xml:space="preserve"> </w:t>
      </w:r>
      <w:r>
        <w:t>Rel-16 sDCI mTRP is almost invisible in terms of RRC configuration.</w:t>
      </w:r>
    </w:p>
    <w:p w14:paraId="1041FE41" w14:textId="77777777" w:rsidR="00BB5A1A" w:rsidRPr="002333E0" w:rsidRDefault="00BB5A1A" w:rsidP="00BB5A1A">
      <w:pPr>
        <w:rPr>
          <w:lang w:val="en-US"/>
        </w:rPr>
      </w:pPr>
      <w:r w:rsidRPr="002333E0">
        <w:rPr>
          <w:b/>
          <w:bCs/>
        </w:rPr>
        <w:t>Observation 5:</w:t>
      </w:r>
      <w:r>
        <w:t xml:space="preserve"> Rel-18 sDCI mTRP requires different configuration of TCI state – to – DCI codepoint mapping compared to Rel-17 unified TCI states (i.e. Rel-18 allows up to 4 TCI to be associated to a codepoint).</w:t>
      </w:r>
    </w:p>
    <w:p w14:paraId="3BE72BE2" w14:textId="77777777" w:rsidR="009339CB" w:rsidRPr="00F44546" w:rsidRDefault="009339CB" w:rsidP="009339CB">
      <w:pPr>
        <w:rPr>
          <w:bCs/>
        </w:rPr>
      </w:pPr>
      <w:r w:rsidRPr="00F44546">
        <w:rPr>
          <w:bCs/>
        </w:rPr>
        <w:t>And proposed the following:</w:t>
      </w:r>
    </w:p>
    <w:p w14:paraId="2F0A53B4" w14:textId="77777777" w:rsidR="008B06FF" w:rsidRPr="00F44546" w:rsidRDefault="008B06FF" w:rsidP="008B06FF">
      <w:r w:rsidRPr="00F44546">
        <w:rPr>
          <w:b/>
          <w:bCs/>
        </w:rPr>
        <w:t>Proposal 1:</w:t>
      </w:r>
      <w:r w:rsidRPr="00F44546">
        <w:t xml:space="preserve"> RAN2 builds the sDCI mTRP and mDCI mTRP support of unified TCI states on top of the Rel-16 mTRP functionality.</w:t>
      </w:r>
      <w:r>
        <w:t xml:space="preserve"> The Rel-18 mTRP configuration is per serving cell (similar as in Rel-16).</w:t>
      </w:r>
    </w:p>
    <w:p w14:paraId="3A39DD02" w14:textId="468B7269" w:rsidR="008B06FF" w:rsidRDefault="008B06FF" w:rsidP="008B06FF">
      <w:r w:rsidRPr="00F44546">
        <w:rPr>
          <w:b/>
        </w:rPr>
        <w:t>Proposal 2</w:t>
      </w:r>
      <w:r w:rsidRPr="00F44546">
        <w:rPr>
          <w:bCs/>
        </w:rPr>
        <w:t>:</w:t>
      </w:r>
      <w:r w:rsidRPr="00F44546">
        <w:t xml:space="preserve"> </w:t>
      </w:r>
      <w:r>
        <w:t>Extend the MAC CEs used to activate unified TCI state configurations with CORESET pool index value for Rel-18 mDCI mTRP.</w:t>
      </w:r>
    </w:p>
    <w:p w14:paraId="58E06D8B" w14:textId="77777777" w:rsidR="008B06FF" w:rsidRDefault="008B06FF" w:rsidP="008B06FF">
      <w:r w:rsidRPr="00F44546">
        <w:rPr>
          <w:b/>
        </w:rPr>
        <w:lastRenderedPageBreak/>
        <w:t xml:space="preserve">Proposal </w:t>
      </w:r>
      <w:r>
        <w:rPr>
          <w:b/>
        </w:rPr>
        <w:t>3a</w:t>
      </w:r>
      <w:r w:rsidRPr="00F44546">
        <w:rPr>
          <w:bCs/>
        </w:rPr>
        <w:t>:</w:t>
      </w:r>
      <w:r w:rsidRPr="00F44546">
        <w:t xml:space="preserve"> </w:t>
      </w:r>
      <w:r>
        <w:t xml:space="preserve">Extend the Rel-17 </w:t>
      </w:r>
      <w:r w:rsidRPr="005C25EC">
        <w:rPr>
          <w:b/>
          <w:bCs/>
          <w:noProof/>
        </w:rPr>
        <w:t>Unified TCI States Activation/Deactivation MAC CE</w:t>
      </w:r>
      <w:r w:rsidRPr="00F44546">
        <w:t xml:space="preserve"> </w:t>
      </w:r>
      <w:r>
        <w:t xml:space="preserve">by introducing CORESET pool ID for unified TCI states with mDCI mTRP in Rel-18. </w:t>
      </w:r>
    </w:p>
    <w:p w14:paraId="34D742D7" w14:textId="512BF666" w:rsidR="008B06FF" w:rsidRPr="00F44546" w:rsidRDefault="008B06FF" w:rsidP="008B06FF">
      <w:r w:rsidRPr="00795CE0">
        <w:rPr>
          <w:b/>
          <w:bCs/>
        </w:rPr>
        <w:t xml:space="preserve">Proposal 3b: </w:t>
      </w:r>
      <w:r>
        <w:t xml:space="preserve">The exact MAC CE structure </w:t>
      </w:r>
      <w:r w:rsidR="008D2DC9">
        <w:t>for TCI state activation of mDCI mTRP</w:t>
      </w:r>
      <w:r w:rsidR="008D2DC9">
        <w:t xml:space="preserve"> </w:t>
      </w:r>
      <w:r>
        <w:t>can be discussed in RAN2#122 based on RAN1 progress.</w:t>
      </w:r>
    </w:p>
    <w:p w14:paraId="412C07AD" w14:textId="77777777" w:rsidR="008B06FF" w:rsidRDefault="008B06FF" w:rsidP="008B06FF">
      <w:r w:rsidRPr="00F44546">
        <w:rPr>
          <w:b/>
        </w:rPr>
        <w:t xml:space="preserve">Proposal </w:t>
      </w:r>
      <w:r>
        <w:rPr>
          <w:b/>
        </w:rPr>
        <w:t>4</w:t>
      </w:r>
      <w:r w:rsidRPr="00F44546">
        <w:rPr>
          <w:bCs/>
        </w:rPr>
        <w:t>:</w:t>
      </w:r>
      <w:r w:rsidRPr="00F44546">
        <w:t xml:space="preserve"> </w:t>
      </w:r>
      <w:r>
        <w:t xml:space="preserve">Discuss whether to create explicit RRC configuration that indicates UE is using Rel-18 sDCI mTRP with unified TCI states. </w:t>
      </w:r>
    </w:p>
    <w:p w14:paraId="5BE4FAC0" w14:textId="46D0DE19" w:rsidR="00BB5A1A" w:rsidRDefault="00BB5A1A" w:rsidP="00BB5A1A">
      <w:r w:rsidRPr="00F44546">
        <w:rPr>
          <w:b/>
        </w:rPr>
        <w:t xml:space="preserve">Proposal </w:t>
      </w:r>
      <w:r>
        <w:rPr>
          <w:b/>
        </w:rPr>
        <w:t>5</w:t>
      </w:r>
      <w:r w:rsidR="008D2DC9">
        <w:rPr>
          <w:b/>
        </w:rPr>
        <w:t>a</w:t>
      </w:r>
      <w:r w:rsidRPr="00F44546">
        <w:rPr>
          <w:bCs/>
        </w:rPr>
        <w:t>:</w:t>
      </w:r>
      <w:r w:rsidRPr="00F44546">
        <w:t xml:space="preserve"> </w:t>
      </w:r>
      <w:r>
        <w:t xml:space="preserve">Define new MAC CE for the sDCI mTRP TCI state activation MAC CE. </w:t>
      </w:r>
    </w:p>
    <w:p w14:paraId="7A746F6A" w14:textId="44838E90" w:rsidR="00BB5A1A" w:rsidRPr="00F44546" w:rsidRDefault="00BB5A1A" w:rsidP="00BB5A1A">
      <w:r w:rsidRPr="00795CE0">
        <w:rPr>
          <w:b/>
          <w:bCs/>
        </w:rPr>
        <w:t xml:space="preserve">Proposal 5b: </w:t>
      </w:r>
      <w:r>
        <w:t xml:space="preserve">The exact MAC CE structure and whether different MAC CEs are needed for joint/separate TCI states </w:t>
      </w:r>
      <w:r w:rsidR="008D2DC9">
        <w:t xml:space="preserve">for TCI state activation of </w:t>
      </w:r>
      <w:r w:rsidR="008D2DC9">
        <w:t>s</w:t>
      </w:r>
      <w:r w:rsidR="008D2DC9">
        <w:t>DCI mTRP</w:t>
      </w:r>
      <w:r w:rsidR="008D2DC9">
        <w:t xml:space="preserve"> </w:t>
      </w:r>
      <w:r>
        <w:t>can be discussed in RAN2#122 based on RAN1 progress.</w:t>
      </w:r>
    </w:p>
    <w:p w14:paraId="00678AE8" w14:textId="1053BC5D" w:rsidR="002A42DA" w:rsidRDefault="002A42DA" w:rsidP="002A42DA"/>
    <w:sectPr w:rsidR="002A42D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F886A" w14:textId="77777777" w:rsidR="00AD438F" w:rsidRDefault="00AD438F">
      <w:r>
        <w:separator/>
      </w:r>
    </w:p>
  </w:endnote>
  <w:endnote w:type="continuationSeparator" w:id="0">
    <w:p w14:paraId="7F530961" w14:textId="77777777" w:rsidR="00AD438F" w:rsidRDefault="00AD438F">
      <w:r>
        <w:continuationSeparator/>
      </w:r>
    </w:p>
  </w:endnote>
  <w:endnote w:type="continuationNotice" w:id="1">
    <w:p w14:paraId="07A4B2DE" w14:textId="77777777" w:rsidR="00AD438F" w:rsidRDefault="00AD43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777A3" w14:textId="77777777" w:rsidR="00AD438F" w:rsidRDefault="00AD438F">
      <w:r>
        <w:separator/>
      </w:r>
    </w:p>
  </w:footnote>
  <w:footnote w:type="continuationSeparator" w:id="0">
    <w:p w14:paraId="5BC23006" w14:textId="77777777" w:rsidR="00AD438F" w:rsidRDefault="00AD438F">
      <w:r>
        <w:continuationSeparator/>
      </w:r>
    </w:p>
  </w:footnote>
  <w:footnote w:type="continuationNotice" w:id="1">
    <w:p w14:paraId="355F5FDD" w14:textId="77777777" w:rsidR="00AD438F" w:rsidRDefault="00AD43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5A04EE"/>
    <w:multiLevelType w:val="hybridMultilevel"/>
    <w:tmpl w:val="9064F632"/>
    <w:lvl w:ilvl="0" w:tplc="C6DEDE8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1D178F7"/>
    <w:multiLevelType w:val="hybridMultilevel"/>
    <w:tmpl w:val="E60A8D22"/>
    <w:lvl w:ilvl="0" w:tplc="CB96D77E">
      <w:start w:val="1"/>
      <w:numFmt w:val="bullet"/>
      <w:lvlText w:val="•"/>
      <w:lvlJc w:val="left"/>
      <w:pPr>
        <w:tabs>
          <w:tab w:val="num" w:pos="720"/>
        </w:tabs>
        <w:ind w:left="720" w:hanging="360"/>
      </w:pPr>
      <w:rPr>
        <w:rFonts w:ascii="Arial" w:hAnsi="Arial" w:hint="default"/>
      </w:rPr>
    </w:lvl>
    <w:lvl w:ilvl="1" w:tplc="9C004A88">
      <w:start w:val="1"/>
      <w:numFmt w:val="bullet"/>
      <w:lvlText w:val="•"/>
      <w:lvlJc w:val="left"/>
      <w:pPr>
        <w:tabs>
          <w:tab w:val="num" w:pos="1440"/>
        </w:tabs>
        <w:ind w:left="1440" w:hanging="360"/>
      </w:pPr>
      <w:rPr>
        <w:rFonts w:ascii="Arial" w:hAnsi="Arial" w:hint="default"/>
      </w:rPr>
    </w:lvl>
    <w:lvl w:ilvl="2" w:tplc="A17801E4">
      <w:numFmt w:val="bullet"/>
      <w:lvlText w:val="•"/>
      <w:lvlJc w:val="left"/>
      <w:pPr>
        <w:tabs>
          <w:tab w:val="num" w:pos="2160"/>
        </w:tabs>
        <w:ind w:left="2160" w:hanging="360"/>
      </w:pPr>
      <w:rPr>
        <w:rFonts w:ascii="Arial" w:hAnsi="Arial" w:hint="default"/>
      </w:rPr>
    </w:lvl>
    <w:lvl w:ilvl="3" w:tplc="EFCE7724">
      <w:numFmt w:val="bullet"/>
      <w:lvlText w:val="•"/>
      <w:lvlJc w:val="left"/>
      <w:pPr>
        <w:tabs>
          <w:tab w:val="num" w:pos="2880"/>
        </w:tabs>
        <w:ind w:left="2880" w:hanging="360"/>
      </w:pPr>
      <w:rPr>
        <w:rFonts w:ascii="Arial" w:hAnsi="Arial" w:hint="default"/>
      </w:rPr>
    </w:lvl>
    <w:lvl w:ilvl="4" w:tplc="10AA8768" w:tentative="1">
      <w:start w:val="1"/>
      <w:numFmt w:val="bullet"/>
      <w:lvlText w:val="•"/>
      <w:lvlJc w:val="left"/>
      <w:pPr>
        <w:tabs>
          <w:tab w:val="num" w:pos="3600"/>
        </w:tabs>
        <w:ind w:left="3600" w:hanging="360"/>
      </w:pPr>
      <w:rPr>
        <w:rFonts w:ascii="Arial" w:hAnsi="Arial" w:hint="default"/>
      </w:rPr>
    </w:lvl>
    <w:lvl w:ilvl="5" w:tplc="2E803D88" w:tentative="1">
      <w:start w:val="1"/>
      <w:numFmt w:val="bullet"/>
      <w:lvlText w:val="•"/>
      <w:lvlJc w:val="left"/>
      <w:pPr>
        <w:tabs>
          <w:tab w:val="num" w:pos="4320"/>
        </w:tabs>
        <w:ind w:left="4320" w:hanging="360"/>
      </w:pPr>
      <w:rPr>
        <w:rFonts w:ascii="Arial" w:hAnsi="Arial" w:hint="default"/>
      </w:rPr>
    </w:lvl>
    <w:lvl w:ilvl="6" w:tplc="1042250E" w:tentative="1">
      <w:start w:val="1"/>
      <w:numFmt w:val="bullet"/>
      <w:lvlText w:val="•"/>
      <w:lvlJc w:val="left"/>
      <w:pPr>
        <w:tabs>
          <w:tab w:val="num" w:pos="5040"/>
        </w:tabs>
        <w:ind w:left="5040" w:hanging="360"/>
      </w:pPr>
      <w:rPr>
        <w:rFonts w:ascii="Arial" w:hAnsi="Arial" w:hint="default"/>
      </w:rPr>
    </w:lvl>
    <w:lvl w:ilvl="7" w:tplc="D93093BE" w:tentative="1">
      <w:start w:val="1"/>
      <w:numFmt w:val="bullet"/>
      <w:lvlText w:val="•"/>
      <w:lvlJc w:val="left"/>
      <w:pPr>
        <w:tabs>
          <w:tab w:val="num" w:pos="5760"/>
        </w:tabs>
        <w:ind w:left="5760" w:hanging="360"/>
      </w:pPr>
      <w:rPr>
        <w:rFonts w:ascii="Arial" w:hAnsi="Arial" w:hint="default"/>
      </w:rPr>
    </w:lvl>
    <w:lvl w:ilvl="8" w:tplc="736A459A" w:tentative="1">
      <w:start w:val="1"/>
      <w:numFmt w:val="bullet"/>
      <w:lvlText w:val="•"/>
      <w:lvlJc w:val="left"/>
      <w:pPr>
        <w:tabs>
          <w:tab w:val="num" w:pos="6480"/>
        </w:tabs>
        <w:ind w:left="6480" w:hanging="360"/>
      </w:pPr>
      <w:rPr>
        <w:rFonts w:ascii="Arial" w:hAnsi="Arial"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4"/>
  </w:num>
  <w:num w:numId="6" w16cid:durableId="1154301696">
    <w:abstractNumId w:val="6"/>
  </w:num>
  <w:num w:numId="7" w16cid:durableId="1489399165">
    <w:abstractNumId w:val="7"/>
  </w:num>
  <w:num w:numId="8" w16cid:durableId="1432892926">
    <w:abstractNumId w:val="8"/>
  </w:num>
  <w:num w:numId="9" w16cid:durableId="1936670589">
    <w:abstractNumId w:val="2"/>
  </w:num>
  <w:num w:numId="10" w16cid:durableId="18870585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A13"/>
    <w:rsid w:val="00006C10"/>
    <w:rsid w:val="00015A65"/>
    <w:rsid w:val="00016557"/>
    <w:rsid w:val="00021608"/>
    <w:rsid w:val="00021881"/>
    <w:rsid w:val="00023C40"/>
    <w:rsid w:val="0002665E"/>
    <w:rsid w:val="0003026A"/>
    <w:rsid w:val="00033397"/>
    <w:rsid w:val="00040095"/>
    <w:rsid w:val="00045A0E"/>
    <w:rsid w:val="00050722"/>
    <w:rsid w:val="00065268"/>
    <w:rsid w:val="00073C9C"/>
    <w:rsid w:val="00076412"/>
    <w:rsid w:val="000775AD"/>
    <w:rsid w:val="00080512"/>
    <w:rsid w:val="00090468"/>
    <w:rsid w:val="000928B6"/>
    <w:rsid w:val="00094568"/>
    <w:rsid w:val="000B592F"/>
    <w:rsid w:val="000B7BCF"/>
    <w:rsid w:val="000C3B82"/>
    <w:rsid w:val="000C522B"/>
    <w:rsid w:val="000D58AB"/>
    <w:rsid w:val="000D5ED5"/>
    <w:rsid w:val="000E0141"/>
    <w:rsid w:val="000E38A7"/>
    <w:rsid w:val="001053D9"/>
    <w:rsid w:val="00112F1A"/>
    <w:rsid w:val="001158AC"/>
    <w:rsid w:val="00122CAE"/>
    <w:rsid w:val="00145075"/>
    <w:rsid w:val="001623DE"/>
    <w:rsid w:val="00166842"/>
    <w:rsid w:val="001741A0"/>
    <w:rsid w:val="00175FA0"/>
    <w:rsid w:val="0018404B"/>
    <w:rsid w:val="00194CD0"/>
    <w:rsid w:val="001976E8"/>
    <w:rsid w:val="001B49C9"/>
    <w:rsid w:val="001B6285"/>
    <w:rsid w:val="001C23F4"/>
    <w:rsid w:val="001C4F79"/>
    <w:rsid w:val="001F168B"/>
    <w:rsid w:val="001F1DE4"/>
    <w:rsid w:val="001F201D"/>
    <w:rsid w:val="001F7831"/>
    <w:rsid w:val="00204045"/>
    <w:rsid w:val="0020461B"/>
    <w:rsid w:val="0020663B"/>
    <w:rsid w:val="0020712B"/>
    <w:rsid w:val="0022209B"/>
    <w:rsid w:val="0022606D"/>
    <w:rsid w:val="00231728"/>
    <w:rsid w:val="002333E0"/>
    <w:rsid w:val="00240321"/>
    <w:rsid w:val="00240EE2"/>
    <w:rsid w:val="00244A05"/>
    <w:rsid w:val="00250404"/>
    <w:rsid w:val="00254E3C"/>
    <w:rsid w:val="0025547D"/>
    <w:rsid w:val="00256B74"/>
    <w:rsid w:val="002610D8"/>
    <w:rsid w:val="00266D43"/>
    <w:rsid w:val="002747EC"/>
    <w:rsid w:val="002855BF"/>
    <w:rsid w:val="002A00BB"/>
    <w:rsid w:val="002A2102"/>
    <w:rsid w:val="002A2109"/>
    <w:rsid w:val="002A42DA"/>
    <w:rsid w:val="002B2988"/>
    <w:rsid w:val="002B620A"/>
    <w:rsid w:val="002C51F0"/>
    <w:rsid w:val="002D0847"/>
    <w:rsid w:val="002F0D22"/>
    <w:rsid w:val="00311B17"/>
    <w:rsid w:val="003172DC"/>
    <w:rsid w:val="00325AE3"/>
    <w:rsid w:val="00326069"/>
    <w:rsid w:val="003352E2"/>
    <w:rsid w:val="0035462D"/>
    <w:rsid w:val="0036459E"/>
    <w:rsid w:val="00364B41"/>
    <w:rsid w:val="00383096"/>
    <w:rsid w:val="00386B1A"/>
    <w:rsid w:val="0039346C"/>
    <w:rsid w:val="003A41EF"/>
    <w:rsid w:val="003B40AD"/>
    <w:rsid w:val="003B5B2A"/>
    <w:rsid w:val="003C4E37"/>
    <w:rsid w:val="003D0FD0"/>
    <w:rsid w:val="003E16BE"/>
    <w:rsid w:val="003F4E28"/>
    <w:rsid w:val="004006E8"/>
    <w:rsid w:val="00401855"/>
    <w:rsid w:val="0043583F"/>
    <w:rsid w:val="00435FA5"/>
    <w:rsid w:val="00446C3A"/>
    <w:rsid w:val="004613C5"/>
    <w:rsid w:val="00461908"/>
    <w:rsid w:val="00465587"/>
    <w:rsid w:val="00477455"/>
    <w:rsid w:val="0047784D"/>
    <w:rsid w:val="00481C5A"/>
    <w:rsid w:val="004872DC"/>
    <w:rsid w:val="00495AA6"/>
    <w:rsid w:val="004A1F7B"/>
    <w:rsid w:val="004B365A"/>
    <w:rsid w:val="004C44D2"/>
    <w:rsid w:val="004D3578"/>
    <w:rsid w:val="004D380D"/>
    <w:rsid w:val="004D58FA"/>
    <w:rsid w:val="004E213A"/>
    <w:rsid w:val="004F4540"/>
    <w:rsid w:val="004F73A7"/>
    <w:rsid w:val="00503171"/>
    <w:rsid w:val="00506C28"/>
    <w:rsid w:val="0051339A"/>
    <w:rsid w:val="00534DA0"/>
    <w:rsid w:val="005377D8"/>
    <w:rsid w:val="00537809"/>
    <w:rsid w:val="00543E6C"/>
    <w:rsid w:val="005542E1"/>
    <w:rsid w:val="00565087"/>
    <w:rsid w:val="0056573F"/>
    <w:rsid w:val="00571279"/>
    <w:rsid w:val="00574E6C"/>
    <w:rsid w:val="00590F57"/>
    <w:rsid w:val="005A13AB"/>
    <w:rsid w:val="005A49C6"/>
    <w:rsid w:val="005C25EC"/>
    <w:rsid w:val="005C28E6"/>
    <w:rsid w:val="005C2F24"/>
    <w:rsid w:val="005C766E"/>
    <w:rsid w:val="005C7CD5"/>
    <w:rsid w:val="005D089E"/>
    <w:rsid w:val="005E2996"/>
    <w:rsid w:val="00611566"/>
    <w:rsid w:val="00613E9B"/>
    <w:rsid w:val="0062074B"/>
    <w:rsid w:val="00622D7B"/>
    <w:rsid w:val="00631246"/>
    <w:rsid w:val="0064642B"/>
    <w:rsid w:val="00646D99"/>
    <w:rsid w:val="00656910"/>
    <w:rsid w:val="006574C0"/>
    <w:rsid w:val="00662883"/>
    <w:rsid w:val="006635CA"/>
    <w:rsid w:val="00684C91"/>
    <w:rsid w:val="00696821"/>
    <w:rsid w:val="006C38B4"/>
    <w:rsid w:val="006C66D8"/>
    <w:rsid w:val="006D1E24"/>
    <w:rsid w:val="006D35DE"/>
    <w:rsid w:val="006E06C3"/>
    <w:rsid w:val="006E1057"/>
    <w:rsid w:val="006E1417"/>
    <w:rsid w:val="006F16EC"/>
    <w:rsid w:val="006F6A2C"/>
    <w:rsid w:val="007069DC"/>
    <w:rsid w:val="0070769A"/>
    <w:rsid w:val="00710201"/>
    <w:rsid w:val="0072073A"/>
    <w:rsid w:val="00724CC0"/>
    <w:rsid w:val="007342B5"/>
    <w:rsid w:val="00734A5B"/>
    <w:rsid w:val="007352FF"/>
    <w:rsid w:val="00741037"/>
    <w:rsid w:val="00744E76"/>
    <w:rsid w:val="00752CE4"/>
    <w:rsid w:val="00757D40"/>
    <w:rsid w:val="007662B5"/>
    <w:rsid w:val="0076712D"/>
    <w:rsid w:val="0077082E"/>
    <w:rsid w:val="00781F0F"/>
    <w:rsid w:val="0078727C"/>
    <w:rsid w:val="0079049D"/>
    <w:rsid w:val="00793DC5"/>
    <w:rsid w:val="00795750"/>
    <w:rsid w:val="00796823"/>
    <w:rsid w:val="007A2E55"/>
    <w:rsid w:val="007B18D8"/>
    <w:rsid w:val="007C095F"/>
    <w:rsid w:val="007C0D8C"/>
    <w:rsid w:val="007C2DD0"/>
    <w:rsid w:val="007E7674"/>
    <w:rsid w:val="007F2E08"/>
    <w:rsid w:val="008024FA"/>
    <w:rsid w:val="008028A4"/>
    <w:rsid w:val="00806665"/>
    <w:rsid w:val="00813245"/>
    <w:rsid w:val="00814446"/>
    <w:rsid w:val="008173D5"/>
    <w:rsid w:val="008241F3"/>
    <w:rsid w:val="008260B7"/>
    <w:rsid w:val="00826D15"/>
    <w:rsid w:val="00840DE0"/>
    <w:rsid w:val="008454CC"/>
    <w:rsid w:val="00847CD0"/>
    <w:rsid w:val="008607A8"/>
    <w:rsid w:val="0086354A"/>
    <w:rsid w:val="008768CA"/>
    <w:rsid w:val="00877EF9"/>
    <w:rsid w:val="00880559"/>
    <w:rsid w:val="008A53E4"/>
    <w:rsid w:val="008B06FF"/>
    <w:rsid w:val="008B4C7C"/>
    <w:rsid w:val="008B5306"/>
    <w:rsid w:val="008B54E8"/>
    <w:rsid w:val="008C0901"/>
    <w:rsid w:val="008C18C8"/>
    <w:rsid w:val="008C200E"/>
    <w:rsid w:val="008C2E2A"/>
    <w:rsid w:val="008C3057"/>
    <w:rsid w:val="008C62A4"/>
    <w:rsid w:val="008D2DC9"/>
    <w:rsid w:val="008D2E4D"/>
    <w:rsid w:val="008E58B0"/>
    <w:rsid w:val="008F396F"/>
    <w:rsid w:val="008F3DCD"/>
    <w:rsid w:val="0090271F"/>
    <w:rsid w:val="009027DE"/>
    <w:rsid w:val="00902DB9"/>
    <w:rsid w:val="0090466A"/>
    <w:rsid w:val="00905E5A"/>
    <w:rsid w:val="00906D8F"/>
    <w:rsid w:val="00910D07"/>
    <w:rsid w:val="00921F8A"/>
    <w:rsid w:val="00923655"/>
    <w:rsid w:val="009339CB"/>
    <w:rsid w:val="00936071"/>
    <w:rsid w:val="009376CD"/>
    <w:rsid w:val="00940212"/>
    <w:rsid w:val="00942EC2"/>
    <w:rsid w:val="00961B32"/>
    <w:rsid w:val="00962509"/>
    <w:rsid w:val="00963DEC"/>
    <w:rsid w:val="00970DB3"/>
    <w:rsid w:val="00970DEB"/>
    <w:rsid w:val="0097373C"/>
    <w:rsid w:val="00974BB0"/>
    <w:rsid w:val="00975BCD"/>
    <w:rsid w:val="009818A2"/>
    <w:rsid w:val="009928A9"/>
    <w:rsid w:val="009A0AF3"/>
    <w:rsid w:val="009B07CD"/>
    <w:rsid w:val="009C19E9"/>
    <w:rsid w:val="009D74A6"/>
    <w:rsid w:val="009E0E87"/>
    <w:rsid w:val="009F7443"/>
    <w:rsid w:val="00A049AD"/>
    <w:rsid w:val="00A0550C"/>
    <w:rsid w:val="00A10F02"/>
    <w:rsid w:val="00A16983"/>
    <w:rsid w:val="00A16AAD"/>
    <w:rsid w:val="00A17176"/>
    <w:rsid w:val="00A204CA"/>
    <w:rsid w:val="00A209D6"/>
    <w:rsid w:val="00A22738"/>
    <w:rsid w:val="00A2425A"/>
    <w:rsid w:val="00A243A4"/>
    <w:rsid w:val="00A36F5F"/>
    <w:rsid w:val="00A37DBA"/>
    <w:rsid w:val="00A430EC"/>
    <w:rsid w:val="00A464C0"/>
    <w:rsid w:val="00A53724"/>
    <w:rsid w:val="00A54B2B"/>
    <w:rsid w:val="00A703B6"/>
    <w:rsid w:val="00A732D6"/>
    <w:rsid w:val="00A82346"/>
    <w:rsid w:val="00A9671C"/>
    <w:rsid w:val="00AA1553"/>
    <w:rsid w:val="00AA2947"/>
    <w:rsid w:val="00AA48F1"/>
    <w:rsid w:val="00AD017B"/>
    <w:rsid w:val="00AD10C8"/>
    <w:rsid w:val="00AD438F"/>
    <w:rsid w:val="00B05380"/>
    <w:rsid w:val="00B05962"/>
    <w:rsid w:val="00B15449"/>
    <w:rsid w:val="00B15DFA"/>
    <w:rsid w:val="00B16C2F"/>
    <w:rsid w:val="00B27303"/>
    <w:rsid w:val="00B30C17"/>
    <w:rsid w:val="00B47FD1"/>
    <w:rsid w:val="00B516BB"/>
    <w:rsid w:val="00B7538C"/>
    <w:rsid w:val="00B84DB2"/>
    <w:rsid w:val="00B92D45"/>
    <w:rsid w:val="00BB0020"/>
    <w:rsid w:val="00BB5A1A"/>
    <w:rsid w:val="00BC3555"/>
    <w:rsid w:val="00BC6BD8"/>
    <w:rsid w:val="00BE0BE0"/>
    <w:rsid w:val="00C12B51"/>
    <w:rsid w:val="00C24650"/>
    <w:rsid w:val="00C25465"/>
    <w:rsid w:val="00C33079"/>
    <w:rsid w:val="00C415AF"/>
    <w:rsid w:val="00C55A12"/>
    <w:rsid w:val="00C6553E"/>
    <w:rsid w:val="00C757D5"/>
    <w:rsid w:val="00C7638A"/>
    <w:rsid w:val="00C834A2"/>
    <w:rsid w:val="00C83A13"/>
    <w:rsid w:val="00C86F10"/>
    <w:rsid w:val="00C9068C"/>
    <w:rsid w:val="00C92967"/>
    <w:rsid w:val="00CA3D0C"/>
    <w:rsid w:val="00CA654B"/>
    <w:rsid w:val="00CA697D"/>
    <w:rsid w:val="00CA71A1"/>
    <w:rsid w:val="00CB72B8"/>
    <w:rsid w:val="00CC3E1E"/>
    <w:rsid w:val="00CD0BA8"/>
    <w:rsid w:val="00CD3CCB"/>
    <w:rsid w:val="00CD4C7B"/>
    <w:rsid w:val="00CD58FE"/>
    <w:rsid w:val="00CD5E75"/>
    <w:rsid w:val="00CE3296"/>
    <w:rsid w:val="00D07433"/>
    <w:rsid w:val="00D12837"/>
    <w:rsid w:val="00D33BE3"/>
    <w:rsid w:val="00D353F6"/>
    <w:rsid w:val="00D3792D"/>
    <w:rsid w:val="00D40BC0"/>
    <w:rsid w:val="00D42E60"/>
    <w:rsid w:val="00D54820"/>
    <w:rsid w:val="00D55E47"/>
    <w:rsid w:val="00D60ED4"/>
    <w:rsid w:val="00D62E19"/>
    <w:rsid w:val="00D67CD1"/>
    <w:rsid w:val="00D738D6"/>
    <w:rsid w:val="00D73931"/>
    <w:rsid w:val="00D80795"/>
    <w:rsid w:val="00D854BE"/>
    <w:rsid w:val="00D87E00"/>
    <w:rsid w:val="00D9134D"/>
    <w:rsid w:val="00D96D11"/>
    <w:rsid w:val="00DA7A03"/>
    <w:rsid w:val="00DB0DB8"/>
    <w:rsid w:val="00DB1818"/>
    <w:rsid w:val="00DC309B"/>
    <w:rsid w:val="00DC4DA2"/>
    <w:rsid w:val="00DC5261"/>
    <w:rsid w:val="00DC6690"/>
    <w:rsid w:val="00DE1725"/>
    <w:rsid w:val="00DE25D2"/>
    <w:rsid w:val="00DF4917"/>
    <w:rsid w:val="00DF7360"/>
    <w:rsid w:val="00DF7C20"/>
    <w:rsid w:val="00E038FB"/>
    <w:rsid w:val="00E054D9"/>
    <w:rsid w:val="00E44AFA"/>
    <w:rsid w:val="00E46C08"/>
    <w:rsid w:val="00E471CF"/>
    <w:rsid w:val="00E5001A"/>
    <w:rsid w:val="00E62835"/>
    <w:rsid w:val="00E6480E"/>
    <w:rsid w:val="00E764E4"/>
    <w:rsid w:val="00E77645"/>
    <w:rsid w:val="00E83697"/>
    <w:rsid w:val="00E859B6"/>
    <w:rsid w:val="00E914C7"/>
    <w:rsid w:val="00EA66C9"/>
    <w:rsid w:val="00EB5D32"/>
    <w:rsid w:val="00EC33E7"/>
    <w:rsid w:val="00EC4A25"/>
    <w:rsid w:val="00EC7568"/>
    <w:rsid w:val="00ED3FC0"/>
    <w:rsid w:val="00EF02F5"/>
    <w:rsid w:val="00EF538A"/>
    <w:rsid w:val="00EF612C"/>
    <w:rsid w:val="00F025A2"/>
    <w:rsid w:val="00F036E9"/>
    <w:rsid w:val="00F03B18"/>
    <w:rsid w:val="00F07388"/>
    <w:rsid w:val="00F10C75"/>
    <w:rsid w:val="00F2026E"/>
    <w:rsid w:val="00F2210A"/>
    <w:rsid w:val="00F27D8C"/>
    <w:rsid w:val="00F31372"/>
    <w:rsid w:val="00F37743"/>
    <w:rsid w:val="00F44546"/>
    <w:rsid w:val="00F54A3D"/>
    <w:rsid w:val="00F54CB0"/>
    <w:rsid w:val="00F579CD"/>
    <w:rsid w:val="00F653B8"/>
    <w:rsid w:val="00F7106F"/>
    <w:rsid w:val="00F71B89"/>
    <w:rsid w:val="00F7353C"/>
    <w:rsid w:val="00F75A78"/>
    <w:rsid w:val="00F76F8F"/>
    <w:rsid w:val="00F87257"/>
    <w:rsid w:val="00F941DF"/>
    <w:rsid w:val="00FA1266"/>
    <w:rsid w:val="00FB16AA"/>
    <w:rsid w:val="00FB36FA"/>
    <w:rsid w:val="00FB3767"/>
    <w:rsid w:val="00FC1192"/>
    <w:rsid w:val="00FC7C84"/>
    <w:rsid w:val="00FD18DB"/>
    <w:rsid w:val="00FE106D"/>
    <w:rsid w:val="00FE251B"/>
    <w:rsid w:val="00FE35F7"/>
    <w:rsid w:val="05E9133D"/>
    <w:rsid w:val="06F842E9"/>
    <w:rsid w:val="0D9235A0"/>
    <w:rsid w:val="123F4791"/>
    <w:rsid w:val="131DDEF3"/>
    <w:rsid w:val="154C3D1E"/>
    <w:rsid w:val="17866DBD"/>
    <w:rsid w:val="2EB75F7C"/>
    <w:rsid w:val="318E9A78"/>
    <w:rsid w:val="34536E1F"/>
    <w:rsid w:val="43972724"/>
    <w:rsid w:val="5B7359B3"/>
    <w:rsid w:val="625E637C"/>
    <w:rsid w:val="62815342"/>
    <w:rsid w:val="667E0C0B"/>
    <w:rsid w:val="73FB8D14"/>
    <w:rsid w:val="75F1CA96"/>
    <w:rsid w:val="7710B03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8EA4AD6-AFA4-428A-A968-8C9A3F83D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F7106F"/>
    <w:pPr>
      <w:ind w:left="720"/>
      <w:contextualSpacing/>
    </w:pPr>
  </w:style>
  <w:style w:type="paragraph" w:styleId="Caption">
    <w:name w:val="caption"/>
    <w:basedOn w:val="Normal"/>
    <w:next w:val="Normal"/>
    <w:qFormat/>
    <w:rsid w:val="00B15DFA"/>
    <w:pPr>
      <w:spacing w:before="120" w:after="120" w:line="259" w:lineRule="auto"/>
    </w:pPr>
    <w:rPr>
      <w:rFonts w:ascii="Arial" w:eastAsiaTheme="minorHAnsi" w:hAnsi="Arial" w:cstheme="minorBidi"/>
      <w:b/>
      <w:szCs w:val="22"/>
      <w:lang w:val="en-US" w:eastAsia="en-GB"/>
    </w:rPr>
  </w:style>
  <w:style w:type="character" w:customStyle="1" w:styleId="THChar">
    <w:name w:val="TH Char"/>
    <w:link w:val="TH"/>
    <w:qFormat/>
    <w:rsid w:val="005C25EC"/>
    <w:rPr>
      <w:rFonts w:ascii="Arial" w:hAnsi="Arial"/>
      <w:b/>
      <w:lang w:eastAsia="en-US"/>
    </w:rPr>
  </w:style>
  <w:style w:type="character" w:styleId="CommentReference">
    <w:name w:val="annotation reference"/>
    <w:basedOn w:val="DefaultParagraphFont"/>
    <w:rsid w:val="00D42E60"/>
    <w:rPr>
      <w:sz w:val="16"/>
      <w:szCs w:val="16"/>
    </w:rPr>
  </w:style>
  <w:style w:type="paragraph" w:styleId="CommentText">
    <w:name w:val="annotation text"/>
    <w:basedOn w:val="Normal"/>
    <w:link w:val="CommentTextChar"/>
    <w:rsid w:val="00D42E60"/>
  </w:style>
  <w:style w:type="character" w:customStyle="1" w:styleId="CommentTextChar">
    <w:name w:val="Comment Text Char"/>
    <w:basedOn w:val="DefaultParagraphFont"/>
    <w:link w:val="CommentText"/>
    <w:rsid w:val="00D42E60"/>
    <w:rPr>
      <w:lang w:eastAsia="en-US"/>
    </w:rPr>
  </w:style>
  <w:style w:type="paragraph" w:styleId="CommentSubject">
    <w:name w:val="annotation subject"/>
    <w:basedOn w:val="CommentText"/>
    <w:next w:val="CommentText"/>
    <w:link w:val="CommentSubjectChar"/>
    <w:rsid w:val="00D42E60"/>
    <w:rPr>
      <w:b/>
      <w:bCs/>
    </w:rPr>
  </w:style>
  <w:style w:type="character" w:customStyle="1" w:styleId="CommentSubjectChar">
    <w:name w:val="Comment Subject Char"/>
    <w:basedOn w:val="CommentTextChar"/>
    <w:link w:val="CommentSubject"/>
    <w:rsid w:val="00D42E60"/>
    <w:rPr>
      <w:b/>
      <w:bCs/>
      <w:lang w:eastAsia="en-US"/>
    </w:rPr>
  </w:style>
  <w:style w:type="character" w:styleId="Mention">
    <w:name w:val="Mention"/>
    <w:basedOn w:val="DefaultParagraphFont"/>
    <w:uiPriority w:val="99"/>
    <w:unhideWhenUsed/>
    <w:rsid w:val="00741037"/>
    <w:rPr>
      <w:color w:val="2B579A"/>
      <w:shd w:val="clear" w:color="auto" w:fill="E1DFDD"/>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834A2"/>
    <w:rPr>
      <w:lang w:eastAsia="en-US"/>
    </w:rPr>
  </w:style>
  <w:style w:type="paragraph" w:styleId="Revision">
    <w:name w:val="Revision"/>
    <w:hidden/>
    <w:uiPriority w:val="99"/>
    <w:semiHidden/>
    <w:rsid w:val="00F27D8C"/>
    <w:rPr>
      <w:lang w:eastAsia="en-US"/>
    </w:rPr>
  </w:style>
  <w:style w:type="table" w:styleId="TableGrid">
    <w:name w:val="Table Grid"/>
    <w:basedOn w:val="TableNormal"/>
    <w:rsid w:val="00F27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197439">
      <w:bodyDiv w:val="1"/>
      <w:marLeft w:val="0"/>
      <w:marRight w:val="0"/>
      <w:marTop w:val="0"/>
      <w:marBottom w:val="0"/>
      <w:divBdr>
        <w:top w:val="none" w:sz="0" w:space="0" w:color="auto"/>
        <w:left w:val="none" w:sz="0" w:space="0" w:color="auto"/>
        <w:bottom w:val="none" w:sz="0" w:space="0" w:color="auto"/>
        <w:right w:val="none" w:sz="0" w:space="0" w:color="auto"/>
      </w:divBdr>
      <w:divsChild>
        <w:div w:id="584532027">
          <w:marLeft w:val="1541"/>
          <w:marRight w:val="0"/>
          <w:marTop w:val="0"/>
          <w:marBottom w:val="120"/>
          <w:divBdr>
            <w:top w:val="none" w:sz="0" w:space="0" w:color="auto"/>
            <w:left w:val="none" w:sz="0" w:space="0" w:color="auto"/>
            <w:bottom w:val="none" w:sz="0" w:space="0" w:color="auto"/>
            <w:right w:val="none" w:sz="0" w:space="0" w:color="auto"/>
          </w:divBdr>
        </w:div>
        <w:div w:id="662515430">
          <w:marLeft w:val="1541"/>
          <w:marRight w:val="0"/>
          <w:marTop w:val="0"/>
          <w:marBottom w:val="120"/>
          <w:divBdr>
            <w:top w:val="none" w:sz="0" w:space="0" w:color="auto"/>
            <w:left w:val="none" w:sz="0" w:space="0" w:color="auto"/>
            <w:bottom w:val="none" w:sz="0" w:space="0" w:color="auto"/>
            <w:right w:val="none" w:sz="0" w:space="0" w:color="auto"/>
          </w:divBdr>
        </w:div>
        <w:div w:id="704987696">
          <w:marLeft w:val="806"/>
          <w:marRight w:val="0"/>
          <w:marTop w:val="0"/>
          <w:marBottom w:val="120"/>
          <w:divBdr>
            <w:top w:val="none" w:sz="0" w:space="0" w:color="auto"/>
            <w:left w:val="none" w:sz="0" w:space="0" w:color="auto"/>
            <w:bottom w:val="none" w:sz="0" w:space="0" w:color="auto"/>
            <w:right w:val="none" w:sz="0" w:space="0" w:color="auto"/>
          </w:divBdr>
        </w:div>
        <w:div w:id="767847206">
          <w:marLeft w:val="1541"/>
          <w:marRight w:val="0"/>
          <w:marTop w:val="0"/>
          <w:marBottom w:val="120"/>
          <w:divBdr>
            <w:top w:val="none" w:sz="0" w:space="0" w:color="auto"/>
            <w:left w:val="none" w:sz="0" w:space="0" w:color="auto"/>
            <w:bottom w:val="none" w:sz="0" w:space="0" w:color="auto"/>
            <w:right w:val="none" w:sz="0" w:space="0" w:color="auto"/>
          </w:divBdr>
        </w:div>
        <w:div w:id="777867191">
          <w:marLeft w:val="1181"/>
          <w:marRight w:val="0"/>
          <w:marTop w:val="0"/>
          <w:marBottom w:val="120"/>
          <w:divBdr>
            <w:top w:val="none" w:sz="0" w:space="0" w:color="auto"/>
            <w:left w:val="none" w:sz="0" w:space="0" w:color="auto"/>
            <w:bottom w:val="none" w:sz="0" w:space="0" w:color="auto"/>
            <w:right w:val="none" w:sz="0" w:space="0" w:color="auto"/>
          </w:divBdr>
        </w:div>
        <w:div w:id="783765144">
          <w:marLeft w:val="1541"/>
          <w:marRight w:val="0"/>
          <w:marTop w:val="0"/>
          <w:marBottom w:val="120"/>
          <w:divBdr>
            <w:top w:val="none" w:sz="0" w:space="0" w:color="auto"/>
            <w:left w:val="none" w:sz="0" w:space="0" w:color="auto"/>
            <w:bottom w:val="none" w:sz="0" w:space="0" w:color="auto"/>
            <w:right w:val="none" w:sz="0" w:space="0" w:color="auto"/>
          </w:divBdr>
        </w:div>
        <w:div w:id="792791061">
          <w:marLeft w:val="1541"/>
          <w:marRight w:val="0"/>
          <w:marTop w:val="0"/>
          <w:marBottom w:val="120"/>
          <w:divBdr>
            <w:top w:val="none" w:sz="0" w:space="0" w:color="auto"/>
            <w:left w:val="none" w:sz="0" w:space="0" w:color="auto"/>
            <w:bottom w:val="none" w:sz="0" w:space="0" w:color="auto"/>
            <w:right w:val="none" w:sz="0" w:space="0" w:color="auto"/>
          </w:divBdr>
        </w:div>
        <w:div w:id="1249925907">
          <w:marLeft w:val="1541"/>
          <w:marRight w:val="0"/>
          <w:marTop w:val="0"/>
          <w:marBottom w:val="120"/>
          <w:divBdr>
            <w:top w:val="none" w:sz="0" w:space="0" w:color="auto"/>
            <w:left w:val="none" w:sz="0" w:space="0" w:color="auto"/>
            <w:bottom w:val="none" w:sz="0" w:space="0" w:color="auto"/>
            <w:right w:val="none" w:sz="0" w:space="0" w:color="auto"/>
          </w:divBdr>
        </w:div>
        <w:div w:id="1333146731">
          <w:marLeft w:val="1541"/>
          <w:marRight w:val="0"/>
          <w:marTop w:val="0"/>
          <w:marBottom w:val="120"/>
          <w:divBdr>
            <w:top w:val="none" w:sz="0" w:space="0" w:color="auto"/>
            <w:left w:val="none" w:sz="0" w:space="0" w:color="auto"/>
            <w:bottom w:val="none" w:sz="0" w:space="0" w:color="auto"/>
            <w:right w:val="none" w:sz="0" w:space="0" w:color="auto"/>
          </w:divBdr>
        </w:div>
        <w:div w:id="1681737777">
          <w:marLeft w:val="1541"/>
          <w:marRight w:val="0"/>
          <w:marTop w:val="0"/>
          <w:marBottom w:val="120"/>
          <w:divBdr>
            <w:top w:val="none" w:sz="0" w:space="0" w:color="auto"/>
            <w:left w:val="none" w:sz="0" w:space="0" w:color="auto"/>
            <w:bottom w:val="none" w:sz="0" w:space="0" w:color="auto"/>
            <w:right w:val="none" w:sz="0" w:space="0" w:color="auto"/>
          </w:divBdr>
        </w:div>
      </w:divsChild>
    </w:div>
    <w:div w:id="283657781">
      <w:bodyDiv w:val="1"/>
      <w:marLeft w:val="0"/>
      <w:marRight w:val="0"/>
      <w:marTop w:val="0"/>
      <w:marBottom w:val="0"/>
      <w:divBdr>
        <w:top w:val="none" w:sz="0" w:space="0" w:color="auto"/>
        <w:left w:val="none" w:sz="0" w:space="0" w:color="auto"/>
        <w:bottom w:val="none" w:sz="0" w:space="0" w:color="auto"/>
        <w:right w:val="none" w:sz="0" w:space="0" w:color="auto"/>
      </w:divBdr>
      <w:divsChild>
        <w:div w:id="525795881">
          <w:marLeft w:val="1181"/>
          <w:marRight w:val="0"/>
          <w:marTop w:val="0"/>
          <w:marBottom w:val="120"/>
          <w:divBdr>
            <w:top w:val="none" w:sz="0" w:space="0" w:color="auto"/>
            <w:left w:val="none" w:sz="0" w:space="0" w:color="auto"/>
            <w:bottom w:val="none" w:sz="0" w:space="0" w:color="auto"/>
            <w:right w:val="none" w:sz="0" w:space="0" w:color="auto"/>
          </w:divBdr>
        </w:div>
        <w:div w:id="659968861">
          <w:marLeft w:val="1541"/>
          <w:marRight w:val="0"/>
          <w:marTop w:val="0"/>
          <w:marBottom w:val="120"/>
          <w:divBdr>
            <w:top w:val="none" w:sz="0" w:space="0" w:color="auto"/>
            <w:left w:val="none" w:sz="0" w:space="0" w:color="auto"/>
            <w:bottom w:val="none" w:sz="0" w:space="0" w:color="auto"/>
            <w:right w:val="none" w:sz="0" w:space="0" w:color="auto"/>
          </w:divBdr>
        </w:div>
        <w:div w:id="729302782">
          <w:marLeft w:val="1541"/>
          <w:marRight w:val="0"/>
          <w:marTop w:val="0"/>
          <w:marBottom w:val="120"/>
          <w:divBdr>
            <w:top w:val="none" w:sz="0" w:space="0" w:color="auto"/>
            <w:left w:val="none" w:sz="0" w:space="0" w:color="auto"/>
            <w:bottom w:val="none" w:sz="0" w:space="0" w:color="auto"/>
            <w:right w:val="none" w:sz="0" w:space="0" w:color="auto"/>
          </w:divBdr>
        </w:div>
        <w:div w:id="991060385">
          <w:marLeft w:val="1541"/>
          <w:marRight w:val="0"/>
          <w:marTop w:val="0"/>
          <w:marBottom w:val="120"/>
          <w:divBdr>
            <w:top w:val="none" w:sz="0" w:space="0" w:color="auto"/>
            <w:left w:val="none" w:sz="0" w:space="0" w:color="auto"/>
            <w:bottom w:val="none" w:sz="0" w:space="0" w:color="auto"/>
            <w:right w:val="none" w:sz="0" w:space="0" w:color="auto"/>
          </w:divBdr>
        </w:div>
        <w:div w:id="1184322982">
          <w:marLeft w:val="1541"/>
          <w:marRight w:val="0"/>
          <w:marTop w:val="0"/>
          <w:marBottom w:val="120"/>
          <w:divBdr>
            <w:top w:val="none" w:sz="0" w:space="0" w:color="auto"/>
            <w:left w:val="none" w:sz="0" w:space="0" w:color="auto"/>
            <w:bottom w:val="none" w:sz="0" w:space="0" w:color="auto"/>
            <w:right w:val="none" w:sz="0" w:space="0" w:color="auto"/>
          </w:divBdr>
        </w:div>
        <w:div w:id="1253513787">
          <w:marLeft w:val="1541"/>
          <w:marRight w:val="0"/>
          <w:marTop w:val="0"/>
          <w:marBottom w:val="120"/>
          <w:divBdr>
            <w:top w:val="none" w:sz="0" w:space="0" w:color="auto"/>
            <w:left w:val="none" w:sz="0" w:space="0" w:color="auto"/>
            <w:bottom w:val="none" w:sz="0" w:space="0" w:color="auto"/>
            <w:right w:val="none" w:sz="0" w:space="0" w:color="auto"/>
          </w:divBdr>
        </w:div>
        <w:div w:id="1311254198">
          <w:marLeft w:val="1541"/>
          <w:marRight w:val="0"/>
          <w:marTop w:val="0"/>
          <w:marBottom w:val="120"/>
          <w:divBdr>
            <w:top w:val="none" w:sz="0" w:space="0" w:color="auto"/>
            <w:left w:val="none" w:sz="0" w:space="0" w:color="auto"/>
            <w:bottom w:val="none" w:sz="0" w:space="0" w:color="auto"/>
            <w:right w:val="none" w:sz="0" w:space="0" w:color="auto"/>
          </w:divBdr>
        </w:div>
        <w:div w:id="1527215924">
          <w:marLeft w:val="1541"/>
          <w:marRight w:val="0"/>
          <w:marTop w:val="0"/>
          <w:marBottom w:val="120"/>
          <w:divBdr>
            <w:top w:val="none" w:sz="0" w:space="0" w:color="auto"/>
            <w:left w:val="none" w:sz="0" w:space="0" w:color="auto"/>
            <w:bottom w:val="none" w:sz="0" w:space="0" w:color="auto"/>
            <w:right w:val="none" w:sz="0" w:space="0" w:color="auto"/>
          </w:divBdr>
        </w:div>
        <w:div w:id="1717193597">
          <w:marLeft w:val="1541"/>
          <w:marRight w:val="0"/>
          <w:marTop w:val="0"/>
          <w:marBottom w:val="120"/>
          <w:divBdr>
            <w:top w:val="none" w:sz="0" w:space="0" w:color="auto"/>
            <w:left w:val="none" w:sz="0" w:space="0" w:color="auto"/>
            <w:bottom w:val="none" w:sz="0" w:space="0" w:color="auto"/>
            <w:right w:val="none" w:sz="0" w:space="0" w:color="auto"/>
          </w:divBdr>
        </w:div>
        <w:div w:id="1835607675">
          <w:marLeft w:val="806"/>
          <w:marRight w:val="0"/>
          <w:marTop w:val="0"/>
          <w:marBottom w:val="120"/>
          <w:divBdr>
            <w:top w:val="none" w:sz="0" w:space="0" w:color="auto"/>
            <w:left w:val="none" w:sz="0" w:space="0" w:color="auto"/>
            <w:bottom w:val="none" w:sz="0" w:space="0" w:color="auto"/>
            <w:right w:val="none" w:sz="0" w:space="0" w:color="auto"/>
          </w:divBdr>
        </w:div>
      </w:divsChild>
    </w:div>
    <w:div w:id="77471189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48356735">
      <w:bodyDiv w:val="1"/>
      <w:marLeft w:val="0"/>
      <w:marRight w:val="0"/>
      <w:marTop w:val="0"/>
      <w:marBottom w:val="0"/>
      <w:divBdr>
        <w:top w:val="none" w:sz="0" w:space="0" w:color="auto"/>
        <w:left w:val="none" w:sz="0" w:space="0" w:color="auto"/>
        <w:bottom w:val="none" w:sz="0" w:space="0" w:color="auto"/>
        <w:right w:val="none" w:sz="0" w:space="0" w:color="auto"/>
      </w:divBdr>
      <w:divsChild>
        <w:div w:id="29260164">
          <w:marLeft w:val="1541"/>
          <w:marRight w:val="0"/>
          <w:marTop w:val="0"/>
          <w:marBottom w:val="120"/>
          <w:divBdr>
            <w:top w:val="none" w:sz="0" w:space="0" w:color="auto"/>
            <w:left w:val="none" w:sz="0" w:space="0" w:color="auto"/>
            <w:bottom w:val="none" w:sz="0" w:space="0" w:color="auto"/>
            <w:right w:val="none" w:sz="0" w:space="0" w:color="auto"/>
          </w:divBdr>
        </w:div>
        <w:div w:id="761800051">
          <w:marLeft w:val="1181"/>
          <w:marRight w:val="0"/>
          <w:marTop w:val="0"/>
          <w:marBottom w:val="120"/>
          <w:divBdr>
            <w:top w:val="none" w:sz="0" w:space="0" w:color="auto"/>
            <w:left w:val="none" w:sz="0" w:space="0" w:color="auto"/>
            <w:bottom w:val="none" w:sz="0" w:space="0" w:color="auto"/>
            <w:right w:val="none" w:sz="0" w:space="0" w:color="auto"/>
          </w:divBdr>
        </w:div>
        <w:div w:id="840121560">
          <w:marLeft w:val="1541"/>
          <w:marRight w:val="0"/>
          <w:marTop w:val="0"/>
          <w:marBottom w:val="120"/>
          <w:divBdr>
            <w:top w:val="none" w:sz="0" w:space="0" w:color="auto"/>
            <w:left w:val="none" w:sz="0" w:space="0" w:color="auto"/>
            <w:bottom w:val="none" w:sz="0" w:space="0" w:color="auto"/>
            <w:right w:val="none" w:sz="0" w:space="0" w:color="auto"/>
          </w:divBdr>
        </w:div>
        <w:div w:id="985011599">
          <w:marLeft w:val="806"/>
          <w:marRight w:val="0"/>
          <w:marTop w:val="0"/>
          <w:marBottom w:val="120"/>
          <w:divBdr>
            <w:top w:val="none" w:sz="0" w:space="0" w:color="auto"/>
            <w:left w:val="none" w:sz="0" w:space="0" w:color="auto"/>
            <w:bottom w:val="none" w:sz="0" w:space="0" w:color="auto"/>
            <w:right w:val="none" w:sz="0" w:space="0" w:color="auto"/>
          </w:divBdr>
        </w:div>
        <w:div w:id="1194079384">
          <w:marLeft w:val="1541"/>
          <w:marRight w:val="0"/>
          <w:marTop w:val="0"/>
          <w:marBottom w:val="120"/>
          <w:divBdr>
            <w:top w:val="none" w:sz="0" w:space="0" w:color="auto"/>
            <w:left w:val="none" w:sz="0" w:space="0" w:color="auto"/>
            <w:bottom w:val="none" w:sz="0" w:space="0" w:color="auto"/>
            <w:right w:val="none" w:sz="0" w:space="0" w:color="auto"/>
          </w:divBdr>
        </w:div>
        <w:div w:id="1263293928">
          <w:marLeft w:val="1541"/>
          <w:marRight w:val="0"/>
          <w:marTop w:val="0"/>
          <w:marBottom w:val="120"/>
          <w:divBdr>
            <w:top w:val="none" w:sz="0" w:space="0" w:color="auto"/>
            <w:left w:val="none" w:sz="0" w:space="0" w:color="auto"/>
            <w:bottom w:val="none" w:sz="0" w:space="0" w:color="auto"/>
            <w:right w:val="none" w:sz="0" w:space="0" w:color="auto"/>
          </w:divBdr>
        </w:div>
        <w:div w:id="1316102499">
          <w:marLeft w:val="1541"/>
          <w:marRight w:val="0"/>
          <w:marTop w:val="0"/>
          <w:marBottom w:val="120"/>
          <w:divBdr>
            <w:top w:val="none" w:sz="0" w:space="0" w:color="auto"/>
            <w:left w:val="none" w:sz="0" w:space="0" w:color="auto"/>
            <w:bottom w:val="none" w:sz="0" w:space="0" w:color="auto"/>
            <w:right w:val="none" w:sz="0" w:space="0" w:color="auto"/>
          </w:divBdr>
        </w:div>
        <w:div w:id="1347367199">
          <w:marLeft w:val="1541"/>
          <w:marRight w:val="0"/>
          <w:marTop w:val="0"/>
          <w:marBottom w:val="120"/>
          <w:divBdr>
            <w:top w:val="none" w:sz="0" w:space="0" w:color="auto"/>
            <w:left w:val="none" w:sz="0" w:space="0" w:color="auto"/>
            <w:bottom w:val="none" w:sz="0" w:space="0" w:color="auto"/>
            <w:right w:val="none" w:sz="0" w:space="0" w:color="auto"/>
          </w:divBdr>
        </w:div>
        <w:div w:id="1372726628">
          <w:marLeft w:val="1541"/>
          <w:marRight w:val="0"/>
          <w:marTop w:val="0"/>
          <w:marBottom w:val="120"/>
          <w:divBdr>
            <w:top w:val="none" w:sz="0" w:space="0" w:color="auto"/>
            <w:left w:val="none" w:sz="0" w:space="0" w:color="auto"/>
            <w:bottom w:val="none" w:sz="0" w:space="0" w:color="auto"/>
            <w:right w:val="none" w:sz="0" w:space="0" w:color="auto"/>
          </w:divBdr>
        </w:div>
        <w:div w:id="1578978816">
          <w:marLeft w:val="1541"/>
          <w:marRight w:val="0"/>
          <w:marTop w:val="0"/>
          <w:marBottom w:val="120"/>
          <w:divBdr>
            <w:top w:val="none" w:sz="0" w:space="0" w:color="auto"/>
            <w:left w:val="none" w:sz="0" w:space="0" w:color="auto"/>
            <w:bottom w:val="none" w:sz="0" w:space="0" w:color="auto"/>
            <w:right w:val="none" w:sz="0" w:space="0" w:color="auto"/>
          </w:divBdr>
        </w:div>
      </w:divsChild>
    </w:div>
    <w:div w:id="2020035744">
      <w:bodyDiv w:val="1"/>
      <w:marLeft w:val="0"/>
      <w:marRight w:val="0"/>
      <w:marTop w:val="0"/>
      <w:marBottom w:val="0"/>
      <w:divBdr>
        <w:top w:val="none" w:sz="0" w:space="0" w:color="auto"/>
        <w:left w:val="none" w:sz="0" w:space="0" w:color="auto"/>
        <w:bottom w:val="none" w:sz="0" w:space="0" w:color="auto"/>
        <w:right w:val="none" w:sz="0" w:space="0" w:color="auto"/>
      </w:divBdr>
      <w:divsChild>
        <w:div w:id="122815973">
          <w:marLeft w:val="1541"/>
          <w:marRight w:val="0"/>
          <w:marTop w:val="0"/>
          <w:marBottom w:val="120"/>
          <w:divBdr>
            <w:top w:val="none" w:sz="0" w:space="0" w:color="auto"/>
            <w:left w:val="none" w:sz="0" w:space="0" w:color="auto"/>
            <w:bottom w:val="none" w:sz="0" w:space="0" w:color="auto"/>
            <w:right w:val="none" w:sz="0" w:space="0" w:color="auto"/>
          </w:divBdr>
        </w:div>
        <w:div w:id="144010558">
          <w:marLeft w:val="806"/>
          <w:marRight w:val="0"/>
          <w:marTop w:val="0"/>
          <w:marBottom w:val="120"/>
          <w:divBdr>
            <w:top w:val="none" w:sz="0" w:space="0" w:color="auto"/>
            <w:left w:val="none" w:sz="0" w:space="0" w:color="auto"/>
            <w:bottom w:val="none" w:sz="0" w:space="0" w:color="auto"/>
            <w:right w:val="none" w:sz="0" w:space="0" w:color="auto"/>
          </w:divBdr>
        </w:div>
        <w:div w:id="1032150399">
          <w:marLeft w:val="1541"/>
          <w:marRight w:val="0"/>
          <w:marTop w:val="0"/>
          <w:marBottom w:val="120"/>
          <w:divBdr>
            <w:top w:val="none" w:sz="0" w:space="0" w:color="auto"/>
            <w:left w:val="none" w:sz="0" w:space="0" w:color="auto"/>
            <w:bottom w:val="none" w:sz="0" w:space="0" w:color="auto"/>
            <w:right w:val="none" w:sz="0" w:space="0" w:color="auto"/>
          </w:divBdr>
        </w:div>
        <w:div w:id="1113013303">
          <w:marLeft w:val="1541"/>
          <w:marRight w:val="0"/>
          <w:marTop w:val="0"/>
          <w:marBottom w:val="120"/>
          <w:divBdr>
            <w:top w:val="none" w:sz="0" w:space="0" w:color="auto"/>
            <w:left w:val="none" w:sz="0" w:space="0" w:color="auto"/>
            <w:bottom w:val="none" w:sz="0" w:space="0" w:color="auto"/>
            <w:right w:val="none" w:sz="0" w:space="0" w:color="auto"/>
          </w:divBdr>
        </w:div>
        <w:div w:id="1309745626">
          <w:marLeft w:val="1541"/>
          <w:marRight w:val="0"/>
          <w:marTop w:val="0"/>
          <w:marBottom w:val="120"/>
          <w:divBdr>
            <w:top w:val="none" w:sz="0" w:space="0" w:color="auto"/>
            <w:left w:val="none" w:sz="0" w:space="0" w:color="auto"/>
            <w:bottom w:val="none" w:sz="0" w:space="0" w:color="auto"/>
            <w:right w:val="none" w:sz="0" w:space="0" w:color="auto"/>
          </w:divBdr>
        </w:div>
        <w:div w:id="1661695796">
          <w:marLeft w:val="1181"/>
          <w:marRight w:val="0"/>
          <w:marTop w:val="0"/>
          <w:marBottom w:val="120"/>
          <w:divBdr>
            <w:top w:val="none" w:sz="0" w:space="0" w:color="auto"/>
            <w:left w:val="none" w:sz="0" w:space="0" w:color="auto"/>
            <w:bottom w:val="none" w:sz="0" w:space="0" w:color="auto"/>
            <w:right w:val="none" w:sz="0" w:space="0" w:color="auto"/>
          </w:divBdr>
        </w:div>
        <w:div w:id="1835147199">
          <w:marLeft w:val="1541"/>
          <w:marRight w:val="0"/>
          <w:marTop w:val="0"/>
          <w:marBottom w:val="120"/>
          <w:divBdr>
            <w:top w:val="none" w:sz="0" w:space="0" w:color="auto"/>
            <w:left w:val="none" w:sz="0" w:space="0" w:color="auto"/>
            <w:bottom w:val="none" w:sz="0" w:space="0" w:color="auto"/>
            <w:right w:val="none" w:sz="0" w:space="0" w:color="auto"/>
          </w:divBdr>
        </w:div>
        <w:div w:id="1952778278">
          <w:marLeft w:val="1541"/>
          <w:marRight w:val="0"/>
          <w:marTop w:val="0"/>
          <w:marBottom w:val="120"/>
          <w:divBdr>
            <w:top w:val="none" w:sz="0" w:space="0" w:color="auto"/>
            <w:left w:val="none" w:sz="0" w:space="0" w:color="auto"/>
            <w:bottom w:val="none" w:sz="0" w:space="0" w:color="auto"/>
            <w:right w:val="none" w:sz="0" w:space="0" w:color="auto"/>
          </w:divBdr>
        </w:div>
        <w:div w:id="1959993862">
          <w:marLeft w:val="1541"/>
          <w:marRight w:val="0"/>
          <w:marTop w:val="0"/>
          <w:marBottom w:val="120"/>
          <w:divBdr>
            <w:top w:val="none" w:sz="0" w:space="0" w:color="auto"/>
            <w:left w:val="none" w:sz="0" w:space="0" w:color="auto"/>
            <w:bottom w:val="none" w:sz="0" w:space="0" w:color="auto"/>
            <w:right w:val="none" w:sz="0" w:space="0" w:color="auto"/>
          </w:divBdr>
        </w:div>
        <w:div w:id="2125268310">
          <w:marLeft w:val="1541"/>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5AIRPNAIUNRU-859666464-14305</_dlc_DocId>
    <_dlc_DocIdUrl xmlns="71c5aaf6-e6ce-465b-b873-5148d2a4c105">
      <Url>https://nokia.sharepoint.com/sites/c5g/e2earch/_layouts/15/DocIdRedir.aspx?ID=5AIRPNAIUNRU-859666464-14305</Url>
      <Description>5AIRPNAIUNRU-859666464-14305</Description>
    </_dlc_DocIdUrl>
  </documentManagement>
</p:properties>
</file>

<file path=customXml/itemProps1.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F5D4EC54-16FA-499E-AC63-6E32EA0948D5}">
  <ds:schemaRefs>
    <ds:schemaRef ds:uri="http://schemas.openxmlformats.org/officeDocument/2006/bibliography"/>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1441</Words>
  <Characters>8215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9637</CharactersWithSpaces>
  <SharedDoc>false</SharedDoc>
  <HyperlinkBase/>
  <HLinks>
    <vt:vector size="30" baseType="variant">
      <vt:variant>
        <vt:i4>5636149</vt:i4>
      </vt:variant>
      <vt:variant>
        <vt:i4>12</vt:i4>
      </vt:variant>
      <vt:variant>
        <vt:i4>0</vt:i4>
      </vt:variant>
      <vt:variant>
        <vt:i4>5</vt:i4>
      </vt:variant>
      <vt:variant>
        <vt:lpwstr>mailto:tero.henttonen@nokia.com</vt:lpwstr>
      </vt:variant>
      <vt:variant>
        <vt:lpwstr/>
      </vt:variant>
      <vt:variant>
        <vt:i4>4653098</vt:i4>
      </vt:variant>
      <vt:variant>
        <vt:i4>9</vt:i4>
      </vt:variant>
      <vt:variant>
        <vt:i4>0</vt:i4>
      </vt:variant>
      <vt:variant>
        <vt:i4>5</vt:i4>
      </vt:variant>
      <vt:variant>
        <vt:lpwstr>mailto:morten.toft@nokia.com</vt:lpwstr>
      </vt:variant>
      <vt:variant>
        <vt:lpwstr/>
      </vt:variant>
      <vt:variant>
        <vt:i4>8060939</vt:i4>
      </vt:variant>
      <vt:variant>
        <vt:i4>6</vt:i4>
      </vt:variant>
      <vt:variant>
        <vt:i4>0</vt:i4>
      </vt:variant>
      <vt:variant>
        <vt:i4>5</vt:i4>
      </vt:variant>
      <vt:variant>
        <vt:lpwstr>mailto:matha.deghel@nokia.com</vt:lpwstr>
      </vt:variant>
      <vt:variant>
        <vt:lpwstr/>
      </vt:variant>
      <vt:variant>
        <vt:i4>5636149</vt:i4>
      </vt:variant>
      <vt:variant>
        <vt:i4>3</vt:i4>
      </vt:variant>
      <vt:variant>
        <vt:i4>0</vt:i4>
      </vt:variant>
      <vt:variant>
        <vt:i4>5</vt:i4>
      </vt:variant>
      <vt:variant>
        <vt:lpwstr>mailto:tero.henttonen@nokia.com</vt:lpwstr>
      </vt:variant>
      <vt:variant>
        <vt:lpwstr/>
      </vt:variant>
      <vt:variant>
        <vt:i4>5636149</vt:i4>
      </vt:variant>
      <vt:variant>
        <vt:i4>0</vt:i4>
      </vt:variant>
      <vt:variant>
        <vt:i4>0</vt:i4>
      </vt:variant>
      <vt:variant>
        <vt:i4>5</vt:i4>
      </vt:variant>
      <vt:variant>
        <vt:lpwstr>mailto:tero.henttonen@nokia.com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Tero Henttonen (Nokia)</cp:lastModifiedBy>
  <cp:revision>4</cp:revision>
  <dcterms:created xsi:type="dcterms:W3CDTF">2023-05-12T06:05:00Z</dcterms:created>
  <dcterms:modified xsi:type="dcterms:W3CDTF">2023-05-12T06:06:00Z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a41382f8-c562-4d20-a2bb-4089f0d4327d</vt:lpwstr>
  </property>
</Properties>
</file>