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59160EA2"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w:t>
      </w:r>
      <w:r w:rsidR="003E43DF">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#1</w:t>
      </w:r>
      <w:r w:rsidR="00AD6420">
        <w:rPr>
          <w:rFonts w:ascii="Calibri" w:eastAsia="MS Mincho" w:hAnsi="Calibri" w:cs="Calibri"/>
          <w:sz w:val="24"/>
          <w:szCs w:val="24"/>
          <w:lang w:val="en-US" w:eastAsia="en-US"/>
        </w:rPr>
        <w:t>2</w:t>
      </w:r>
      <w:r w:rsidR="00A97A90">
        <w:rPr>
          <w:rFonts w:ascii="Calibri" w:eastAsia="MS Mincho" w:hAnsi="Calibri" w:cs="Calibri"/>
          <w:sz w:val="24"/>
          <w:szCs w:val="24"/>
          <w:lang w:val="en-US" w:eastAsia="en-US"/>
        </w:rPr>
        <w:t>1</w:t>
      </w:r>
      <w:r w:rsidR="00017F88">
        <w:rPr>
          <w:rFonts w:ascii="Calibri" w:eastAsia="MS Mincho" w:hAnsi="Calibri" w:cs="Calibri"/>
          <w:sz w:val="24"/>
          <w:szCs w:val="24"/>
          <w:lang w:val="en-US" w:eastAsia="en-US"/>
        </w:rPr>
        <w:t>-bis electronic</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AE3CFC" w:rsidRPr="00AE3CFC">
        <w:rPr>
          <w:rFonts w:ascii="Calibri" w:eastAsia="MS Mincho" w:hAnsi="Calibri" w:cs="Calibri"/>
          <w:sz w:val="24"/>
          <w:szCs w:val="24"/>
          <w:lang w:val="en-US" w:eastAsia="en-US"/>
        </w:rPr>
        <w:t>R2</w:t>
      </w:r>
      <w:r w:rsidR="00AE3CFC">
        <w:rPr>
          <w:rFonts w:ascii="Calibri" w:eastAsia="MS Mincho" w:hAnsi="Calibri" w:cs="Calibri"/>
          <w:sz w:val="24"/>
          <w:szCs w:val="24"/>
          <w:lang w:val="en-US" w:eastAsia="en-US"/>
        </w:rPr>
        <w:t>-</w:t>
      </w:r>
      <w:r w:rsidR="00AE3CFC" w:rsidRPr="00AE3CFC">
        <w:rPr>
          <w:rFonts w:ascii="Calibri" w:eastAsia="MS Mincho" w:hAnsi="Calibri" w:cs="Calibri"/>
          <w:sz w:val="24"/>
          <w:szCs w:val="24"/>
          <w:lang w:val="en-US" w:eastAsia="en-US"/>
        </w:rPr>
        <w:t>2</w:t>
      </w:r>
      <w:r w:rsidR="00C17455">
        <w:rPr>
          <w:rFonts w:ascii="Calibri" w:eastAsia="MS Mincho" w:hAnsi="Calibri" w:cs="Calibri"/>
          <w:sz w:val="24"/>
          <w:szCs w:val="24"/>
          <w:lang w:val="en-US" w:eastAsia="en-US"/>
        </w:rPr>
        <w:t>3</w:t>
      </w:r>
      <w:r w:rsidR="007316DE">
        <w:rPr>
          <w:rFonts w:ascii="Calibri" w:eastAsia="MS Mincho" w:hAnsi="Calibri" w:cs="Calibri"/>
          <w:sz w:val="24"/>
          <w:szCs w:val="24"/>
          <w:lang w:val="en-US" w:eastAsia="en-US"/>
        </w:rPr>
        <w:t>03086</w:t>
      </w:r>
    </w:p>
    <w:p w14:paraId="36508560" w14:textId="134AC84B" w:rsidR="006D2320" w:rsidRPr="00D278AD" w:rsidRDefault="00986371" w:rsidP="006516BC">
      <w:pPr>
        <w:pStyle w:val="Header"/>
        <w:tabs>
          <w:tab w:val="right" w:pos="9639"/>
          <w:tab w:val="right" w:pos="9781"/>
        </w:tabs>
        <w:ind w:right="-58"/>
        <w:rPr>
          <w:rFonts w:ascii="Calibri" w:eastAsia="MS Mincho" w:hAnsi="Calibri" w:cs="Calibri"/>
          <w:sz w:val="24"/>
          <w:szCs w:val="24"/>
          <w:lang w:val="en-US" w:eastAsia="en-US"/>
        </w:rPr>
      </w:pPr>
      <w:r>
        <w:rPr>
          <w:rFonts w:ascii="Calibri" w:eastAsia="MS Mincho" w:hAnsi="Calibri" w:cs="Calibri"/>
          <w:sz w:val="24"/>
          <w:szCs w:val="24"/>
          <w:lang w:val="en-US" w:eastAsia="en-US"/>
        </w:rPr>
        <w:t>April 17-26</w:t>
      </w:r>
      <w:r w:rsidR="0005088C">
        <w:rPr>
          <w:rFonts w:ascii="Calibri" w:eastAsia="MS Mincho" w:hAnsi="Calibri" w:cs="Calibri"/>
          <w:sz w:val="24"/>
          <w:szCs w:val="24"/>
          <w:lang w:val="en-US" w:eastAsia="en-US"/>
        </w:rPr>
        <w:t>, 202</w:t>
      </w:r>
      <w:r w:rsidR="00BA2D93">
        <w:rPr>
          <w:rFonts w:ascii="Calibri" w:eastAsia="MS Mincho" w:hAnsi="Calibri" w:cs="Calibri"/>
          <w:sz w:val="24"/>
          <w:szCs w:val="24"/>
          <w:lang w:val="en-US" w:eastAsia="en-US"/>
        </w:rPr>
        <w:t>3</w:t>
      </w:r>
      <w:r w:rsidR="00CF5E2C">
        <w:rPr>
          <w:rFonts w:eastAsia="MS Mincho"/>
        </w:rPr>
        <w:tab/>
      </w:r>
      <w:r w:rsidR="006516BC">
        <w:rPr>
          <w:rFonts w:eastAsia="MS Mincho"/>
        </w:rPr>
        <w:t>(</w:t>
      </w:r>
      <w:r w:rsidR="006516BC" w:rsidRPr="006516BC">
        <w:rPr>
          <w:rFonts w:ascii="Calibri" w:eastAsia="MS Mincho" w:hAnsi="Calibri" w:cs="Calibri"/>
          <w:sz w:val="24"/>
          <w:szCs w:val="24"/>
          <w:lang w:val="en-US" w:eastAsia="en-US"/>
        </w:rPr>
        <w:t>Re</w:t>
      </w:r>
      <w:r w:rsidR="00267E66">
        <w:rPr>
          <w:rFonts w:ascii="Calibri" w:eastAsia="MS Mincho" w:hAnsi="Calibri" w:cs="Calibri"/>
          <w:sz w:val="24"/>
          <w:szCs w:val="24"/>
          <w:lang w:val="en-US" w:eastAsia="en-US"/>
        </w:rPr>
        <w:t>vision</w:t>
      </w:r>
      <w:r w:rsidR="006516BC" w:rsidRPr="006516BC">
        <w:rPr>
          <w:rFonts w:ascii="Calibri" w:eastAsia="MS Mincho" w:hAnsi="Calibri" w:cs="Calibri"/>
          <w:sz w:val="24"/>
          <w:szCs w:val="24"/>
          <w:lang w:val="en-US" w:eastAsia="en-US"/>
        </w:rPr>
        <w:t xml:space="preserve"> of </w:t>
      </w:r>
      <w:r w:rsidR="006516BC" w:rsidRPr="00AE3CFC">
        <w:rPr>
          <w:rFonts w:ascii="Calibri" w:eastAsia="MS Mincho" w:hAnsi="Calibri" w:cs="Calibri"/>
          <w:sz w:val="24"/>
          <w:szCs w:val="24"/>
          <w:lang w:val="en-US" w:eastAsia="en-US"/>
        </w:rPr>
        <w:t>R2</w:t>
      </w:r>
      <w:r w:rsidR="006516BC">
        <w:rPr>
          <w:rFonts w:ascii="Calibri" w:eastAsia="MS Mincho" w:hAnsi="Calibri" w:cs="Calibri"/>
          <w:sz w:val="24"/>
          <w:szCs w:val="24"/>
          <w:lang w:val="en-US" w:eastAsia="en-US"/>
        </w:rPr>
        <w:t>-</w:t>
      </w:r>
      <w:r w:rsidR="00017F88" w:rsidRPr="00017F88">
        <w:rPr>
          <w:rFonts w:ascii="Calibri" w:eastAsia="MS Mincho" w:hAnsi="Calibri" w:cs="Calibri"/>
          <w:sz w:val="24"/>
          <w:szCs w:val="24"/>
          <w:lang w:val="en-US" w:eastAsia="en-US"/>
        </w:rPr>
        <w:t xml:space="preserve"> </w:t>
      </w:r>
      <w:r w:rsidR="00017F88" w:rsidRPr="00AE3CFC">
        <w:rPr>
          <w:rFonts w:ascii="Calibri" w:eastAsia="MS Mincho" w:hAnsi="Calibri" w:cs="Calibri"/>
          <w:sz w:val="24"/>
          <w:szCs w:val="24"/>
          <w:lang w:val="en-US" w:eastAsia="en-US"/>
        </w:rPr>
        <w:t>R2</w:t>
      </w:r>
      <w:r w:rsidR="00017F88">
        <w:rPr>
          <w:rFonts w:ascii="Calibri" w:eastAsia="MS Mincho" w:hAnsi="Calibri" w:cs="Calibri"/>
          <w:sz w:val="24"/>
          <w:szCs w:val="24"/>
          <w:lang w:val="en-US" w:eastAsia="en-US"/>
        </w:rPr>
        <w:t>-</w:t>
      </w:r>
      <w:r w:rsidR="00017F88" w:rsidRPr="00AE3CFC">
        <w:rPr>
          <w:rFonts w:ascii="Calibri" w:eastAsia="MS Mincho" w:hAnsi="Calibri" w:cs="Calibri"/>
          <w:sz w:val="24"/>
          <w:szCs w:val="24"/>
          <w:lang w:val="en-US" w:eastAsia="en-US"/>
        </w:rPr>
        <w:t>2</w:t>
      </w:r>
      <w:r w:rsidR="00017F88">
        <w:rPr>
          <w:rFonts w:ascii="Calibri" w:eastAsia="MS Mincho" w:hAnsi="Calibri" w:cs="Calibri"/>
          <w:sz w:val="24"/>
          <w:szCs w:val="24"/>
          <w:lang w:val="en-US" w:eastAsia="en-US"/>
        </w:rPr>
        <w:t>301093</w:t>
      </w:r>
      <w:r w:rsidR="006516BC">
        <w:rPr>
          <w:rFonts w:eastAsia="MS Mincho"/>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35CB1EC4"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3A4930">
        <w:rPr>
          <w:rFonts w:ascii="Calibri" w:eastAsia="MS Mincho" w:hAnsi="Calibri" w:cs="Calibri"/>
          <w:sz w:val="24"/>
          <w:lang w:val="en-US" w:eastAsia="en-US"/>
        </w:rPr>
        <w:t>7</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r w:rsidR="001A532A">
        <w:rPr>
          <w:rFonts w:ascii="Calibri" w:eastAsia="MS Mincho" w:hAnsi="Calibri" w:cs="Calibri"/>
          <w:sz w:val="24"/>
          <w:lang w:val="en-US" w:eastAsia="en-US"/>
        </w:rPr>
        <w:t>.1</w:t>
      </w:r>
      <w:r w:rsidR="008D2422">
        <w:rPr>
          <w:rFonts w:ascii="Calibri" w:eastAsia="MS Mincho" w:hAnsi="Calibri" w:cs="Calibri"/>
          <w:sz w:val="24"/>
          <w:lang w:val="en-US" w:eastAsia="en-US"/>
        </w:rPr>
        <w:t>.1</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636F3D15"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674A0">
        <w:rPr>
          <w:rFonts w:ascii="Calibri" w:eastAsia="MS Mincho" w:hAnsi="Calibri" w:cs="Calibri"/>
          <w:sz w:val="24"/>
          <w:lang w:val="en-US" w:eastAsia="en-US"/>
        </w:rPr>
        <w:t xml:space="preserve">Cell selection/reselection </w:t>
      </w:r>
      <w:r w:rsidR="00740BF9">
        <w:rPr>
          <w:rFonts w:ascii="Calibri" w:eastAsia="MS Mincho" w:hAnsi="Calibri" w:cs="Calibri"/>
          <w:sz w:val="24"/>
          <w:lang w:val="en-US" w:eastAsia="en-US"/>
        </w:rPr>
        <w:t>enhancements</w:t>
      </w:r>
      <w:r w:rsidR="005674A0">
        <w:rPr>
          <w:rFonts w:ascii="Calibri" w:eastAsia="MS Mincho" w:hAnsi="Calibri" w:cs="Calibri"/>
          <w:sz w:val="24"/>
          <w:lang w:val="en-US" w:eastAsia="en-US"/>
        </w:rPr>
        <w:t xml:space="preserve"> in NTN</w:t>
      </w:r>
      <w:r w:rsidR="00933AFD">
        <w:rPr>
          <w:rFonts w:ascii="Calibri" w:eastAsia="MS Mincho" w:hAnsi="Calibri" w:cs="Calibri"/>
          <w:sz w:val="24"/>
          <w:lang w:val="en-US" w:eastAsia="en-US"/>
        </w:rPr>
        <w:t>-TN</w:t>
      </w:r>
      <w:r w:rsidR="00910861">
        <w:rPr>
          <w:rFonts w:ascii="Calibri" w:eastAsia="MS Mincho" w:hAnsi="Calibri" w:cs="Calibri"/>
          <w:sz w:val="24"/>
          <w:lang w:val="en-US" w:eastAsia="en-US"/>
        </w:rPr>
        <w:t xml:space="preserve">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7EA448FF" w14:textId="5F8BE444" w:rsidR="00332CDA" w:rsidRDefault="00470C99" w:rsidP="00405220">
      <w:pPr>
        <w:pStyle w:val="maintext"/>
        <w:ind w:firstLineChars="0" w:firstLine="0"/>
        <w:jc w:val="left"/>
      </w:pPr>
      <w:r>
        <w:t>In RAN2#1</w:t>
      </w:r>
      <w:r w:rsidR="009579CC">
        <w:t>2</w:t>
      </w:r>
      <w:r w:rsidR="001A5F8A">
        <w:t>1</w:t>
      </w:r>
      <w:r>
        <w:t xml:space="preserve"> meeting, RAN2 discussed </w:t>
      </w:r>
      <w:r w:rsidR="002E201C">
        <w:t>cell selection/reselection</w:t>
      </w:r>
      <w:r>
        <w:t xml:space="preserve"> enhancement and we have reached the agreements as follows.</w:t>
      </w:r>
    </w:p>
    <w:p w14:paraId="20D1E519" w14:textId="77777777" w:rsidR="00C07E53" w:rsidRDefault="00C07E53" w:rsidP="00C07E53">
      <w:pPr>
        <w:pStyle w:val="Doc-text2"/>
        <w:pBdr>
          <w:top w:val="single" w:sz="4" w:space="1" w:color="auto"/>
          <w:left w:val="single" w:sz="4" w:space="4" w:color="auto"/>
          <w:bottom w:val="single" w:sz="4" w:space="1" w:color="auto"/>
          <w:right w:val="single" w:sz="4" w:space="4" w:color="auto"/>
        </w:pBdr>
      </w:pPr>
      <w:r>
        <w:t>Agreements:</w:t>
      </w:r>
    </w:p>
    <w:p w14:paraId="2F4EBD7C" w14:textId="77777777" w:rsidR="00C07E53" w:rsidRDefault="00C07E53" w:rsidP="00C07E53">
      <w:pPr>
        <w:pStyle w:val="Doc-text2"/>
        <w:numPr>
          <w:ilvl w:val="0"/>
          <w:numId w:val="41"/>
        </w:numPr>
        <w:pBdr>
          <w:top w:val="single" w:sz="4" w:space="1" w:color="auto"/>
          <w:left w:val="single" w:sz="4" w:space="4" w:color="auto"/>
          <w:bottom w:val="single" w:sz="4" w:space="1" w:color="auto"/>
          <w:right w:val="single" w:sz="4" w:space="4" w:color="auto"/>
        </w:pBdr>
      </w:pPr>
      <w:r w:rsidRPr="009D566C">
        <w:t>TN coverage area</w:t>
      </w:r>
      <w:r>
        <w:t xml:space="preserve"> information will be associated to the frequency information.</w:t>
      </w:r>
    </w:p>
    <w:p w14:paraId="7AC809DF" w14:textId="77777777" w:rsidR="00C07E53" w:rsidRDefault="00C07E53" w:rsidP="00C07E53">
      <w:pPr>
        <w:pStyle w:val="Doc-text2"/>
        <w:numPr>
          <w:ilvl w:val="0"/>
          <w:numId w:val="41"/>
        </w:numPr>
        <w:pBdr>
          <w:top w:val="single" w:sz="4" w:space="1" w:color="auto"/>
          <w:left w:val="single" w:sz="4" w:space="4" w:color="auto"/>
          <w:bottom w:val="single" w:sz="4" w:space="1" w:color="auto"/>
          <w:right w:val="single" w:sz="4" w:space="4" w:color="auto"/>
        </w:pBdr>
      </w:pPr>
      <w:r w:rsidRPr="001B305D">
        <w:t>RAN2 adopts explicit description of geographical TN area, and focuses on the following options for further discussion</w:t>
      </w:r>
      <w:r>
        <w:t>, taking the signalling overhead into account (FFS on the accuracy of the information):</w:t>
      </w:r>
    </w:p>
    <w:p w14:paraId="672FA952" w14:textId="77777777" w:rsidR="00C07E53" w:rsidRPr="001B305D" w:rsidRDefault="00C07E53" w:rsidP="00C07E53">
      <w:pPr>
        <w:pStyle w:val="Doc-text2"/>
        <w:pBdr>
          <w:top w:val="single" w:sz="4" w:space="1" w:color="auto"/>
          <w:left w:val="single" w:sz="4" w:space="4" w:color="auto"/>
          <w:bottom w:val="single" w:sz="4" w:space="1" w:color="auto"/>
          <w:right w:val="single" w:sz="4" w:space="4" w:color="auto"/>
        </w:pBdr>
      </w:pPr>
      <w:r>
        <w:tab/>
      </w:r>
      <w:r w:rsidRPr="001B305D">
        <w:t xml:space="preserve">Option 1: The corresponding geographical area information is provided by network with location coordinates of </w:t>
      </w:r>
      <w:r w:rsidRPr="00285F72">
        <w:t>area center</w:t>
      </w:r>
      <w:r>
        <w:rPr>
          <w:i/>
        </w:rPr>
        <w:t xml:space="preserve"> and </w:t>
      </w:r>
      <w:r w:rsidRPr="001B305D">
        <w:t>radius.</w:t>
      </w:r>
    </w:p>
    <w:p w14:paraId="2A7F8BA0" w14:textId="77777777" w:rsidR="00C07E53" w:rsidRPr="001B305D" w:rsidRDefault="00C07E53" w:rsidP="00C07E53">
      <w:pPr>
        <w:pStyle w:val="Doc-text2"/>
        <w:pBdr>
          <w:top w:val="single" w:sz="4" w:space="1" w:color="auto"/>
          <w:left w:val="single" w:sz="4" w:space="4" w:color="auto"/>
          <w:bottom w:val="single" w:sz="4" w:space="1" w:color="auto"/>
          <w:right w:val="single" w:sz="4" w:space="4" w:color="auto"/>
        </w:pBdr>
      </w:pPr>
      <w:r>
        <w:tab/>
      </w:r>
      <w:r w:rsidRPr="001B305D">
        <w:t>Option 2: a boundary line is provided by network in the format of a list of location coordinates, additionally an indication can be used to indicate which side is the TN side</w:t>
      </w:r>
    </w:p>
    <w:p w14:paraId="7A1C54FC" w14:textId="5B1D48C6" w:rsidR="00C07E53" w:rsidRDefault="00C07E53" w:rsidP="00C07E53">
      <w:pPr>
        <w:pStyle w:val="Doc-text2"/>
        <w:pBdr>
          <w:top w:val="single" w:sz="4" w:space="1" w:color="auto"/>
          <w:left w:val="single" w:sz="4" w:space="4" w:color="auto"/>
          <w:bottom w:val="single" w:sz="4" w:space="1" w:color="auto"/>
          <w:right w:val="single" w:sz="4" w:space="4" w:color="auto"/>
        </w:pBdr>
      </w:pPr>
      <w:r>
        <w:tab/>
      </w:r>
      <w:r w:rsidRPr="001B305D">
        <w:t>Option 6: for each TN area, a list of locations is provided by network, and the corresponding close shape could be illustrated by a polygon connecting these points within the list.</w:t>
      </w:r>
    </w:p>
    <w:p w14:paraId="131FE839" w14:textId="77777777" w:rsidR="00C07E53" w:rsidRPr="00624E3B" w:rsidRDefault="00C07E53" w:rsidP="00C07E53">
      <w:pPr>
        <w:pStyle w:val="Doc-text2"/>
        <w:numPr>
          <w:ilvl w:val="0"/>
          <w:numId w:val="42"/>
        </w:numPr>
        <w:pBdr>
          <w:top w:val="single" w:sz="4" w:space="1" w:color="auto"/>
          <w:left w:val="single" w:sz="4" w:space="4" w:color="auto"/>
          <w:bottom w:val="single" w:sz="4" w:space="1" w:color="auto"/>
          <w:right w:val="single" w:sz="4" w:space="4" w:color="auto"/>
        </w:pBdr>
      </w:pPr>
      <w:r>
        <w:t>As a baseline, b</w:t>
      </w:r>
      <w:r w:rsidRPr="00624E3B">
        <w:t xml:space="preserve">roadcast </w:t>
      </w:r>
      <w:r w:rsidRPr="00BF26C9">
        <w:t>signalling</w:t>
      </w:r>
      <w:r w:rsidRPr="00624E3B">
        <w:t xml:space="preserve"> is used to provide the information on the TN coverage area for UEs supporting NTN.</w:t>
      </w:r>
    </w:p>
    <w:p w14:paraId="4A1C86EF" w14:textId="77777777" w:rsidR="00C07E53" w:rsidRPr="000F453F" w:rsidRDefault="00C07E53" w:rsidP="00C07E53">
      <w:pPr>
        <w:pStyle w:val="Comments"/>
        <w:numPr>
          <w:ilvl w:val="0"/>
          <w:numId w:val="42"/>
        </w:numPr>
        <w:pBdr>
          <w:top w:val="single" w:sz="4" w:space="1" w:color="auto"/>
          <w:left w:val="single" w:sz="4" w:space="4" w:color="auto"/>
          <w:bottom w:val="single" w:sz="4" w:space="1" w:color="auto"/>
          <w:right w:val="single" w:sz="4" w:space="4" w:color="auto"/>
        </w:pBdr>
        <w:rPr>
          <w:i w:val="0"/>
          <w:sz w:val="20"/>
          <w:szCs w:val="20"/>
        </w:rPr>
      </w:pPr>
      <w:r w:rsidRPr="000F453F">
        <w:rPr>
          <w:i w:val="0"/>
          <w:sz w:val="20"/>
          <w:szCs w:val="20"/>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0D7DCB25" w14:textId="77777777" w:rsidR="00C07E53" w:rsidRDefault="00C07E53" w:rsidP="00C07E53">
      <w:pPr>
        <w:pStyle w:val="Doc-text2"/>
        <w:pBdr>
          <w:top w:val="single" w:sz="4" w:space="1" w:color="auto"/>
          <w:left w:val="single" w:sz="4" w:space="4" w:color="auto"/>
          <w:bottom w:val="single" w:sz="4" w:space="1" w:color="auto"/>
          <w:right w:val="single" w:sz="4" w:space="4" w:color="auto"/>
        </w:pBdr>
      </w:pPr>
    </w:p>
    <w:p w14:paraId="7F1E17FE" w14:textId="77777777" w:rsidR="00B417D5" w:rsidRDefault="00B417D5" w:rsidP="00405220">
      <w:pPr>
        <w:pStyle w:val="maintext"/>
        <w:ind w:firstLineChars="0" w:firstLine="0"/>
        <w:jc w:val="left"/>
      </w:pPr>
    </w:p>
    <w:p w14:paraId="59D38946" w14:textId="78FBA972" w:rsidR="00962837" w:rsidRPr="00405220" w:rsidRDefault="00D357F0" w:rsidP="00405220">
      <w:pPr>
        <w:pStyle w:val="maintext"/>
        <w:ind w:firstLineChars="0" w:firstLine="0"/>
        <w:jc w:val="left"/>
      </w:pPr>
      <w:r>
        <w:t xml:space="preserve">In this contribution, we </w:t>
      </w:r>
      <w:r w:rsidR="00CC62B6">
        <w:t>address</w:t>
      </w:r>
      <w:r w:rsidR="006D5B88">
        <w:t xml:space="preserve"> </w:t>
      </w:r>
      <w:r w:rsidR="00B417D5">
        <w:t xml:space="preserve">some further details on </w:t>
      </w:r>
      <w:r w:rsidR="00AA6B58">
        <w:t xml:space="preserve">cell selection/reselection for </w:t>
      </w:r>
      <w:r w:rsidR="006D5B88">
        <w:t>NTN-TN enhancements</w:t>
      </w:r>
      <w:r>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36C785CB" w14:textId="77777777" w:rsidR="003A57F2" w:rsidRDefault="00A21C1B" w:rsidP="00A21C1B">
      <w:pPr>
        <w:rPr>
          <w:szCs w:val="22"/>
        </w:rPr>
      </w:pPr>
      <w:r>
        <w:rPr>
          <w:szCs w:val="22"/>
        </w:rPr>
        <w:t>When an NTN-capable UE moves from an NTN cell to a TN cell, handover/reselection to the terrestrial cell may not be triggered if only based on the serving cell quality because the link quality of the NTN cell may still be good enough. As a result, the cell reselection or handover based on serving cell RSRP measurement may not work even when UE physically moves into TN coverage.</w:t>
      </w:r>
      <w:r w:rsidRPr="00FA3C1C">
        <w:rPr>
          <w:szCs w:val="22"/>
        </w:rPr>
        <w:t xml:space="preserve"> </w:t>
      </w:r>
      <w:r>
        <w:rPr>
          <w:szCs w:val="22"/>
        </w:rPr>
        <w:t>Therefore, network should make the UE aware of when to start performing the measurements on TN cells and not apply serving cell criteria, when moving from an NTN cell towards a TN cell.</w:t>
      </w:r>
    </w:p>
    <w:p w14:paraId="74EC02DA" w14:textId="1D65ABD3" w:rsidR="008C3895" w:rsidRDefault="008C3895" w:rsidP="00A21C1B">
      <w:pPr>
        <w:rPr>
          <w:szCs w:val="22"/>
        </w:rPr>
      </w:pPr>
      <w:r>
        <w:rPr>
          <w:szCs w:val="22"/>
        </w:rPr>
        <w:t>RAN2 has made progress on how to indicate the TN coverage area via broadcast signalling and there are three options to choose from:</w:t>
      </w:r>
    </w:p>
    <w:p w14:paraId="4B9C54FD" w14:textId="77777777" w:rsidR="008C3895" w:rsidRPr="008C3895" w:rsidRDefault="008C3895" w:rsidP="008C3895">
      <w:pPr>
        <w:rPr>
          <w:szCs w:val="22"/>
        </w:rPr>
      </w:pPr>
      <w:r w:rsidRPr="008C3895">
        <w:rPr>
          <w:szCs w:val="22"/>
        </w:rPr>
        <w:t>Option 1: The corresponding geographical area information is provided by network with location coordinates of area center and radius.</w:t>
      </w:r>
    </w:p>
    <w:p w14:paraId="47753B9C" w14:textId="538F891C" w:rsidR="008C3895" w:rsidRPr="008C3895" w:rsidRDefault="008C3895" w:rsidP="008C3895">
      <w:pPr>
        <w:rPr>
          <w:szCs w:val="22"/>
        </w:rPr>
      </w:pPr>
      <w:r w:rsidRPr="008C3895">
        <w:rPr>
          <w:szCs w:val="22"/>
        </w:rPr>
        <w:t xml:space="preserve">Option 2: </w:t>
      </w:r>
      <w:r w:rsidR="00CE58B6">
        <w:rPr>
          <w:szCs w:val="22"/>
        </w:rPr>
        <w:t>A</w:t>
      </w:r>
      <w:r w:rsidRPr="008C3895">
        <w:rPr>
          <w:szCs w:val="22"/>
        </w:rPr>
        <w:t xml:space="preserve"> boundary line is provided by network in the format of a list of location coordinates, additionally an indication can be used to indicate which side is the TN side</w:t>
      </w:r>
    </w:p>
    <w:p w14:paraId="7802D313" w14:textId="19C39171" w:rsidR="008C3895" w:rsidRDefault="008C3895" w:rsidP="008C3895">
      <w:pPr>
        <w:rPr>
          <w:szCs w:val="22"/>
        </w:rPr>
      </w:pPr>
      <w:r w:rsidRPr="008C3895">
        <w:rPr>
          <w:szCs w:val="22"/>
        </w:rPr>
        <w:t xml:space="preserve">Option 6: </w:t>
      </w:r>
      <w:r w:rsidR="00C654A7">
        <w:rPr>
          <w:szCs w:val="22"/>
        </w:rPr>
        <w:t>F</w:t>
      </w:r>
      <w:r w:rsidRPr="008C3895">
        <w:rPr>
          <w:szCs w:val="22"/>
        </w:rPr>
        <w:t>or each TN area, a list of locations is provided by network, and the corresponding close shape could be illustrated by a polygon connecting these points within the list.</w:t>
      </w:r>
    </w:p>
    <w:p w14:paraId="3B2DD3C5" w14:textId="7DB96579" w:rsidR="00EF6CD0" w:rsidRDefault="00C260B1" w:rsidP="00A21C1B">
      <w:pPr>
        <w:rPr>
          <w:szCs w:val="22"/>
        </w:rPr>
      </w:pPr>
      <w:r>
        <w:rPr>
          <w:szCs w:val="22"/>
        </w:rPr>
        <w:lastRenderedPageBreak/>
        <w:t>We couldn’t see a huge difference on the signalling overhead among these three options, as it all depends on the geographic characteristics of the boundary line/area as well as the accuracy. We have slight preference on Option 2 and Option 6, as Option 2 is suitable for most of the geographic boundary between NTN-TN and for Option 6, we can reuse some of the IE in the location information that has defined in the specification.</w:t>
      </w:r>
    </w:p>
    <w:p w14:paraId="595B0760" w14:textId="53E3032C" w:rsidR="00433611" w:rsidRDefault="00433611" w:rsidP="00A21C1B">
      <w:pPr>
        <w:rPr>
          <w:b/>
          <w:szCs w:val="22"/>
        </w:rPr>
      </w:pPr>
      <w:r>
        <w:rPr>
          <w:b/>
          <w:szCs w:val="22"/>
        </w:rPr>
        <w:t>Proposal 1: Option 2 and Option 6 as follows are supported as the base line to indicate the TN coverage area.</w:t>
      </w:r>
    </w:p>
    <w:p w14:paraId="46E8FC65" w14:textId="77777777" w:rsidR="00433611" w:rsidRPr="00D53222" w:rsidRDefault="00433611" w:rsidP="00433611">
      <w:pPr>
        <w:rPr>
          <w:b/>
          <w:bCs/>
          <w:szCs w:val="22"/>
        </w:rPr>
      </w:pPr>
      <w:r w:rsidRPr="00D53222">
        <w:rPr>
          <w:b/>
          <w:bCs/>
          <w:szCs w:val="22"/>
        </w:rPr>
        <w:t>Option 2: A boundary line is provided by network in the format of a list of location coordinates, additionally an indication can be used to indicate which side is the TN side</w:t>
      </w:r>
    </w:p>
    <w:p w14:paraId="46FDA239" w14:textId="787BC96E" w:rsidR="00433611" w:rsidRPr="00433611" w:rsidRDefault="00433611" w:rsidP="00A21C1B">
      <w:pPr>
        <w:rPr>
          <w:b/>
          <w:bCs/>
          <w:szCs w:val="22"/>
        </w:rPr>
      </w:pPr>
      <w:r w:rsidRPr="00D53222">
        <w:rPr>
          <w:b/>
          <w:bCs/>
          <w:szCs w:val="22"/>
        </w:rPr>
        <w:t>Option 6: For each TN area, a list of locations is provided by network, and the corresponding close shape could be illustrated by a polygon connecting these points within the list.</w:t>
      </w:r>
    </w:p>
    <w:p w14:paraId="318A1378" w14:textId="501B66BF" w:rsidR="00433611" w:rsidRPr="00D53222" w:rsidRDefault="00433611" w:rsidP="00A21C1B">
      <w:pPr>
        <w:rPr>
          <w:szCs w:val="22"/>
        </w:rPr>
      </w:pPr>
      <w:r>
        <w:rPr>
          <w:szCs w:val="22"/>
        </w:rPr>
        <w:t xml:space="preserve">In addition to the indication that an NTN cell overlaps with a TN cell’s coverage, network can set a distance threshold to a reference location </w:t>
      </w:r>
      <w:proofErr w:type="gramStart"/>
      <w:r>
        <w:rPr>
          <w:szCs w:val="22"/>
        </w:rPr>
        <w:t>e.g.</w:t>
      </w:r>
      <w:proofErr w:type="gramEnd"/>
      <w:r>
        <w:rPr>
          <w:szCs w:val="22"/>
        </w:rPr>
        <w:t xml:space="preserve"> border to TN cell. Only when the UE moves beyond that threshold </w:t>
      </w:r>
      <w:proofErr w:type="gramStart"/>
      <w:r>
        <w:rPr>
          <w:szCs w:val="22"/>
        </w:rPr>
        <w:t>e.g.</w:t>
      </w:r>
      <w:proofErr w:type="gramEnd"/>
      <w:r>
        <w:rPr>
          <w:szCs w:val="22"/>
        </w:rPr>
        <w:t xml:space="preserve"> is closer to the border area with a TN cell, it will start performing TN measurement.</w:t>
      </w:r>
    </w:p>
    <w:p w14:paraId="603FE20A" w14:textId="70275F90" w:rsidR="002D7D63" w:rsidRDefault="006E4D7A" w:rsidP="00A21C1B">
      <w:pPr>
        <w:rPr>
          <w:b/>
          <w:szCs w:val="22"/>
        </w:rPr>
      </w:pPr>
      <w:r>
        <w:rPr>
          <w:b/>
          <w:szCs w:val="22"/>
        </w:rPr>
        <w:t xml:space="preserve">Proposal 2: </w:t>
      </w:r>
      <w:r w:rsidR="0097767D">
        <w:rPr>
          <w:b/>
          <w:szCs w:val="22"/>
        </w:rPr>
        <w:t xml:space="preserve">The assistance information could be a distance threshold to a reference location. </w:t>
      </w:r>
      <w:r w:rsidR="008B4231">
        <w:rPr>
          <w:b/>
          <w:szCs w:val="22"/>
        </w:rPr>
        <w:t xml:space="preserve">If </w:t>
      </w:r>
      <w:r w:rsidR="0097767D">
        <w:rPr>
          <w:b/>
          <w:szCs w:val="22"/>
        </w:rPr>
        <w:t>UE move</w:t>
      </w:r>
      <w:r w:rsidR="008B4231">
        <w:rPr>
          <w:b/>
          <w:szCs w:val="22"/>
        </w:rPr>
        <w:t>s</w:t>
      </w:r>
      <w:r w:rsidR="0097767D">
        <w:rPr>
          <w:b/>
          <w:szCs w:val="22"/>
        </w:rPr>
        <w:t xml:space="preserve"> beyond that </w:t>
      </w:r>
      <w:proofErr w:type="gramStart"/>
      <w:r w:rsidR="0097767D">
        <w:rPr>
          <w:b/>
          <w:szCs w:val="22"/>
        </w:rPr>
        <w:t>threshold</w:t>
      </w:r>
      <w:proofErr w:type="gramEnd"/>
      <w:r w:rsidR="0097767D">
        <w:rPr>
          <w:b/>
          <w:szCs w:val="22"/>
        </w:rPr>
        <w:t xml:space="preserve"> </w:t>
      </w:r>
      <w:r w:rsidR="008B4231">
        <w:rPr>
          <w:b/>
          <w:szCs w:val="22"/>
        </w:rPr>
        <w:t xml:space="preserve">then it </w:t>
      </w:r>
      <w:r w:rsidR="0097767D">
        <w:rPr>
          <w:b/>
          <w:szCs w:val="22"/>
        </w:rPr>
        <w:t>will start performing TN measurement.</w:t>
      </w:r>
    </w:p>
    <w:p w14:paraId="58B97A2B" w14:textId="77777777" w:rsidR="00AA26B0" w:rsidRDefault="00AA26B0" w:rsidP="00AA26B0">
      <w:pPr>
        <w:rPr>
          <w:szCs w:val="22"/>
        </w:rPr>
      </w:pPr>
      <w:r>
        <w:rPr>
          <w:szCs w:val="22"/>
        </w:rPr>
        <w:t>The radio link quality of a satellite cell is relatively low compared with that of a terrestrial cell. As a result, when a UE moves to an area that is covered by both satellite and terrestrial cells, the UE will tend to select the terrestrial cell as the satellite cell may have a lower RSRP value or switch off the NTN receiver. However, UE should start measurements for NTN network if it is at the edge of the terrestrial cell coverage. So, serving cell may provide the NTN neighbour cell information e.g., an indication that whether a neighbour cell is an NTN cell or not.</w:t>
      </w:r>
    </w:p>
    <w:p w14:paraId="653DA0F6" w14:textId="68994316" w:rsidR="00A3411B" w:rsidRDefault="00A3411B" w:rsidP="00A3411B">
      <w:pPr>
        <w:rPr>
          <w:b/>
          <w:bCs/>
          <w:szCs w:val="22"/>
        </w:rPr>
      </w:pPr>
      <w:r w:rsidRPr="00AF60EF">
        <w:rPr>
          <w:b/>
          <w:bCs/>
          <w:szCs w:val="22"/>
        </w:rPr>
        <w:t xml:space="preserve">Proposal </w:t>
      </w:r>
      <w:r w:rsidR="00893A7D">
        <w:rPr>
          <w:b/>
          <w:bCs/>
          <w:szCs w:val="22"/>
        </w:rPr>
        <w:t>3</w:t>
      </w:r>
      <w:r w:rsidRPr="00AF60EF">
        <w:rPr>
          <w:b/>
          <w:bCs/>
          <w:szCs w:val="22"/>
        </w:rPr>
        <w:t>:</w:t>
      </w:r>
      <w:r>
        <w:rPr>
          <w:b/>
          <w:bCs/>
          <w:szCs w:val="22"/>
        </w:rPr>
        <w:t xml:space="preserve"> Serving cell’s system information include an indication that whether a neighbour cell is an NTN cell or not. </w:t>
      </w:r>
    </w:p>
    <w:p w14:paraId="10966B2B" w14:textId="77777777" w:rsidR="00173948" w:rsidRPr="00173948" w:rsidRDefault="00173948" w:rsidP="00C16B36"/>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BC538AF" w14:textId="5363CF06" w:rsidR="007C0347" w:rsidRPr="00AC5A42" w:rsidDel="00DD6E0C" w:rsidRDefault="009B27EE" w:rsidP="007C0347">
      <w:r w:rsidRPr="00AC5A42" w:rsidDel="00DD6E0C">
        <w:t>W</w:t>
      </w:r>
      <w:r w:rsidR="007C0347" w:rsidRPr="00AC5A42" w:rsidDel="00DD6E0C">
        <w:t>e propose RAN2 to discuss the proposals as follows.</w:t>
      </w:r>
    </w:p>
    <w:p w14:paraId="3DA550FE" w14:textId="77777777" w:rsidR="0016004B" w:rsidRDefault="0016004B" w:rsidP="0016004B">
      <w:pPr>
        <w:rPr>
          <w:b/>
          <w:szCs w:val="22"/>
        </w:rPr>
      </w:pPr>
      <w:r>
        <w:rPr>
          <w:b/>
          <w:szCs w:val="22"/>
        </w:rPr>
        <w:t>Proposal 1: Option 2 and Option 6 as follows are supported as the base line to indicate the TN coverage area.</w:t>
      </w:r>
    </w:p>
    <w:p w14:paraId="0A210415" w14:textId="77777777" w:rsidR="0016004B" w:rsidRPr="00AD1966" w:rsidRDefault="0016004B" w:rsidP="0016004B">
      <w:pPr>
        <w:rPr>
          <w:b/>
          <w:bCs/>
          <w:szCs w:val="22"/>
        </w:rPr>
      </w:pPr>
      <w:r w:rsidRPr="00AD1966">
        <w:rPr>
          <w:b/>
          <w:bCs/>
          <w:szCs w:val="22"/>
        </w:rPr>
        <w:t>Option 2: A boundary line is provided by network in the format of a list of location coordinates, additionally an indication can be used to indicate which side is the TN side</w:t>
      </w:r>
    </w:p>
    <w:p w14:paraId="2FA64B02" w14:textId="77777777" w:rsidR="0016004B" w:rsidRPr="00433611" w:rsidRDefault="0016004B" w:rsidP="0016004B">
      <w:pPr>
        <w:rPr>
          <w:b/>
          <w:bCs/>
          <w:szCs w:val="22"/>
        </w:rPr>
      </w:pPr>
      <w:r w:rsidRPr="00AD1966">
        <w:rPr>
          <w:b/>
          <w:bCs/>
          <w:szCs w:val="22"/>
        </w:rPr>
        <w:t>Option 6: For each TN area, a list of locations is provided by network, and the corresponding close shape could be illustrated by a polygon connecting these points within the list.</w:t>
      </w:r>
    </w:p>
    <w:p w14:paraId="4AB7FCA1" w14:textId="77777777" w:rsidR="00FB7DA7" w:rsidRDefault="00FB7DA7" w:rsidP="00FB7DA7">
      <w:pPr>
        <w:rPr>
          <w:b/>
          <w:szCs w:val="22"/>
        </w:rPr>
      </w:pPr>
      <w:r>
        <w:rPr>
          <w:b/>
          <w:szCs w:val="22"/>
        </w:rPr>
        <w:t xml:space="preserve">Proposal 2: The assistance information could be a distance threshold to a reference location. If UE moves beyond that </w:t>
      </w:r>
      <w:proofErr w:type="gramStart"/>
      <w:r>
        <w:rPr>
          <w:b/>
          <w:szCs w:val="22"/>
        </w:rPr>
        <w:t>threshold</w:t>
      </w:r>
      <w:proofErr w:type="gramEnd"/>
      <w:r>
        <w:rPr>
          <w:b/>
          <w:szCs w:val="22"/>
        </w:rPr>
        <w:t xml:space="preserve"> then it will start performing TN measurement.</w:t>
      </w:r>
    </w:p>
    <w:p w14:paraId="7B4FB1B7" w14:textId="77777777" w:rsidR="00FB7DA7" w:rsidRDefault="00FB7DA7" w:rsidP="00FB7DA7">
      <w:pPr>
        <w:rPr>
          <w:b/>
          <w:bCs/>
          <w:szCs w:val="22"/>
        </w:rPr>
      </w:pPr>
      <w:r w:rsidRPr="00AF60EF">
        <w:rPr>
          <w:b/>
          <w:bCs/>
          <w:szCs w:val="22"/>
        </w:rPr>
        <w:t xml:space="preserve">Proposal </w:t>
      </w:r>
      <w:r>
        <w:rPr>
          <w:b/>
          <w:bCs/>
          <w:szCs w:val="22"/>
        </w:rPr>
        <w:t>3</w:t>
      </w:r>
      <w:r w:rsidRPr="00AF60EF">
        <w:rPr>
          <w:b/>
          <w:bCs/>
          <w:szCs w:val="22"/>
        </w:rPr>
        <w:t>:</w:t>
      </w:r>
      <w:r>
        <w:rPr>
          <w:b/>
          <w:bCs/>
          <w:szCs w:val="22"/>
        </w:rPr>
        <w:t xml:space="preserve"> Serving cell’s system information include an indication that whether a neighbour cell is an NTN cell or not.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91D67" w14:textId="77777777" w:rsidR="003960C7" w:rsidRDefault="003960C7">
      <w:r>
        <w:separator/>
      </w:r>
    </w:p>
  </w:endnote>
  <w:endnote w:type="continuationSeparator" w:id="0">
    <w:p w14:paraId="1CA2BA47" w14:textId="77777777" w:rsidR="003960C7" w:rsidRDefault="003960C7">
      <w:r>
        <w:continuationSeparator/>
      </w:r>
    </w:p>
  </w:endnote>
  <w:endnote w:type="continuationNotice" w:id="1">
    <w:p w14:paraId="4E3E717D" w14:textId="77777777" w:rsidR="003960C7" w:rsidRDefault="00396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1B42F" w14:textId="77777777" w:rsidR="003960C7" w:rsidRDefault="003960C7">
      <w:r>
        <w:separator/>
      </w:r>
    </w:p>
  </w:footnote>
  <w:footnote w:type="continuationSeparator" w:id="0">
    <w:p w14:paraId="755AB4BF" w14:textId="77777777" w:rsidR="003960C7" w:rsidRDefault="003960C7">
      <w:r>
        <w:continuationSeparator/>
      </w:r>
    </w:p>
  </w:footnote>
  <w:footnote w:type="continuationNotice" w:id="1">
    <w:p w14:paraId="0F141CE1" w14:textId="77777777" w:rsidR="003960C7" w:rsidRDefault="003960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73975752">
    <w:abstractNumId w:val="22"/>
  </w:num>
  <w:num w:numId="2" w16cid:durableId="185212629">
    <w:abstractNumId w:val="40"/>
  </w:num>
  <w:num w:numId="3" w16cid:durableId="1049065261">
    <w:abstractNumId w:val="23"/>
  </w:num>
  <w:num w:numId="4" w16cid:durableId="917203971">
    <w:abstractNumId w:val="17"/>
  </w:num>
  <w:num w:numId="5" w16cid:durableId="1877738841">
    <w:abstractNumId w:val="3"/>
  </w:num>
  <w:num w:numId="6" w16cid:durableId="1062482856">
    <w:abstractNumId w:val="35"/>
  </w:num>
  <w:num w:numId="7" w16cid:durableId="400560747">
    <w:abstractNumId w:val="33"/>
  </w:num>
  <w:num w:numId="8" w16cid:durableId="2104449122">
    <w:abstractNumId w:val="41"/>
  </w:num>
  <w:num w:numId="9" w16cid:durableId="2121142634">
    <w:abstractNumId w:val="2"/>
  </w:num>
  <w:num w:numId="10" w16cid:durableId="1981032731">
    <w:abstractNumId w:val="27"/>
  </w:num>
  <w:num w:numId="11" w16cid:durableId="2139645104">
    <w:abstractNumId w:val="29"/>
  </w:num>
  <w:num w:numId="12" w16cid:durableId="1446463902">
    <w:abstractNumId w:val="8"/>
  </w:num>
  <w:num w:numId="13" w16cid:durableId="1746682804">
    <w:abstractNumId w:val="36"/>
  </w:num>
  <w:num w:numId="14" w16cid:durableId="629281939">
    <w:abstractNumId w:val="26"/>
  </w:num>
  <w:num w:numId="15" w16cid:durableId="2128354001">
    <w:abstractNumId w:val="21"/>
  </w:num>
  <w:num w:numId="16" w16cid:durableId="1692492637">
    <w:abstractNumId w:val="34"/>
  </w:num>
  <w:num w:numId="17" w16cid:durableId="1073814946">
    <w:abstractNumId w:val="19"/>
  </w:num>
  <w:num w:numId="18" w16cid:durableId="19207528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46478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8010883">
    <w:abstractNumId w:val="25"/>
  </w:num>
  <w:num w:numId="21" w16cid:durableId="692152324">
    <w:abstractNumId w:val="16"/>
  </w:num>
  <w:num w:numId="22" w16cid:durableId="26489846">
    <w:abstractNumId w:val="6"/>
  </w:num>
  <w:num w:numId="23" w16cid:durableId="144593408">
    <w:abstractNumId w:val="11"/>
  </w:num>
  <w:num w:numId="24" w16cid:durableId="1113550003">
    <w:abstractNumId w:val="14"/>
  </w:num>
  <w:num w:numId="25" w16cid:durableId="442382618">
    <w:abstractNumId w:val="32"/>
  </w:num>
  <w:num w:numId="26" w16cid:durableId="1066413301">
    <w:abstractNumId w:val="24"/>
  </w:num>
  <w:num w:numId="27" w16cid:durableId="1623612644">
    <w:abstractNumId w:val="37"/>
  </w:num>
  <w:num w:numId="28" w16cid:durableId="965623711">
    <w:abstractNumId w:val="30"/>
  </w:num>
  <w:num w:numId="29" w16cid:durableId="488910468">
    <w:abstractNumId w:val="5"/>
  </w:num>
  <w:num w:numId="30" w16cid:durableId="1905528742">
    <w:abstractNumId w:val="13"/>
  </w:num>
  <w:num w:numId="31" w16cid:durableId="97719486">
    <w:abstractNumId w:val="9"/>
  </w:num>
  <w:num w:numId="32" w16cid:durableId="1923874888">
    <w:abstractNumId w:val="20"/>
  </w:num>
  <w:num w:numId="33" w16cid:durableId="393741190">
    <w:abstractNumId w:val="1"/>
  </w:num>
  <w:num w:numId="34" w16cid:durableId="1903904690">
    <w:abstractNumId w:val="31"/>
  </w:num>
  <w:num w:numId="35" w16cid:durableId="953945045">
    <w:abstractNumId w:val="0"/>
  </w:num>
  <w:num w:numId="36" w16cid:durableId="261843322">
    <w:abstractNumId w:val="38"/>
  </w:num>
  <w:num w:numId="37" w16cid:durableId="1677029195">
    <w:abstractNumId w:val="18"/>
  </w:num>
  <w:num w:numId="38" w16cid:durableId="421679397">
    <w:abstractNumId w:val="12"/>
  </w:num>
  <w:num w:numId="39" w16cid:durableId="1356495501">
    <w:abstractNumId w:val="39"/>
  </w:num>
  <w:num w:numId="40" w16cid:durableId="1318848840">
    <w:abstractNumId w:val="28"/>
  </w:num>
  <w:num w:numId="41" w16cid:durableId="1709141014">
    <w:abstractNumId w:val="10"/>
  </w:num>
  <w:num w:numId="42" w16cid:durableId="153272188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34F"/>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17F88"/>
    <w:rsid w:val="0002022D"/>
    <w:rsid w:val="00020455"/>
    <w:rsid w:val="00020A30"/>
    <w:rsid w:val="00020A79"/>
    <w:rsid w:val="00020DD1"/>
    <w:rsid w:val="00020F3E"/>
    <w:rsid w:val="000211B4"/>
    <w:rsid w:val="00022381"/>
    <w:rsid w:val="00022804"/>
    <w:rsid w:val="00022895"/>
    <w:rsid w:val="00023D69"/>
    <w:rsid w:val="00023DD5"/>
    <w:rsid w:val="0002468F"/>
    <w:rsid w:val="000248DE"/>
    <w:rsid w:val="00025AB1"/>
    <w:rsid w:val="00025D0E"/>
    <w:rsid w:val="000263DC"/>
    <w:rsid w:val="000267E0"/>
    <w:rsid w:val="00026A14"/>
    <w:rsid w:val="00026CFF"/>
    <w:rsid w:val="00026E23"/>
    <w:rsid w:val="0002779F"/>
    <w:rsid w:val="000278B8"/>
    <w:rsid w:val="00030225"/>
    <w:rsid w:val="0003080B"/>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6996"/>
    <w:rsid w:val="000772A2"/>
    <w:rsid w:val="00077435"/>
    <w:rsid w:val="00080086"/>
    <w:rsid w:val="00080202"/>
    <w:rsid w:val="00080295"/>
    <w:rsid w:val="00080453"/>
    <w:rsid w:val="00080BE9"/>
    <w:rsid w:val="00081762"/>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15"/>
    <w:rsid w:val="000933F3"/>
    <w:rsid w:val="0009395B"/>
    <w:rsid w:val="00093A40"/>
    <w:rsid w:val="00093ABB"/>
    <w:rsid w:val="00093DAB"/>
    <w:rsid w:val="00094B89"/>
    <w:rsid w:val="00095196"/>
    <w:rsid w:val="00095AA2"/>
    <w:rsid w:val="00095DEE"/>
    <w:rsid w:val="0009666A"/>
    <w:rsid w:val="000A0494"/>
    <w:rsid w:val="000A1523"/>
    <w:rsid w:val="000A17F4"/>
    <w:rsid w:val="000A1BC7"/>
    <w:rsid w:val="000A1BCF"/>
    <w:rsid w:val="000A1DAC"/>
    <w:rsid w:val="000A1E84"/>
    <w:rsid w:val="000A22B5"/>
    <w:rsid w:val="000A32C0"/>
    <w:rsid w:val="000A3CD9"/>
    <w:rsid w:val="000A40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3E5A"/>
    <w:rsid w:val="000B4A89"/>
    <w:rsid w:val="000B4AC0"/>
    <w:rsid w:val="000B56F5"/>
    <w:rsid w:val="000B5807"/>
    <w:rsid w:val="000B73B1"/>
    <w:rsid w:val="000B7C34"/>
    <w:rsid w:val="000C04E1"/>
    <w:rsid w:val="000C0798"/>
    <w:rsid w:val="000C0F14"/>
    <w:rsid w:val="000C12B4"/>
    <w:rsid w:val="000C28FA"/>
    <w:rsid w:val="000C30F2"/>
    <w:rsid w:val="000C327D"/>
    <w:rsid w:val="000C405C"/>
    <w:rsid w:val="000C4680"/>
    <w:rsid w:val="000C6A29"/>
    <w:rsid w:val="000C6A67"/>
    <w:rsid w:val="000D10F9"/>
    <w:rsid w:val="000D1BCF"/>
    <w:rsid w:val="000D2F9A"/>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E77"/>
    <w:rsid w:val="000F1FD1"/>
    <w:rsid w:val="000F210D"/>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753D"/>
    <w:rsid w:val="0010764A"/>
    <w:rsid w:val="00110400"/>
    <w:rsid w:val="001105D3"/>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4174"/>
    <w:rsid w:val="00134460"/>
    <w:rsid w:val="0013454D"/>
    <w:rsid w:val="0013462E"/>
    <w:rsid w:val="00135E57"/>
    <w:rsid w:val="00135F56"/>
    <w:rsid w:val="0013609E"/>
    <w:rsid w:val="001373E3"/>
    <w:rsid w:val="00137702"/>
    <w:rsid w:val="00137A9B"/>
    <w:rsid w:val="00137C2D"/>
    <w:rsid w:val="0014033A"/>
    <w:rsid w:val="00141C30"/>
    <w:rsid w:val="00141C4F"/>
    <w:rsid w:val="00142978"/>
    <w:rsid w:val="0014368B"/>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5B3C"/>
    <w:rsid w:val="00156763"/>
    <w:rsid w:val="001572B3"/>
    <w:rsid w:val="001576FB"/>
    <w:rsid w:val="00157A6C"/>
    <w:rsid w:val="0016004B"/>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9CD"/>
    <w:rsid w:val="00165C1A"/>
    <w:rsid w:val="00165CC0"/>
    <w:rsid w:val="00165F6D"/>
    <w:rsid w:val="00166525"/>
    <w:rsid w:val="00167E11"/>
    <w:rsid w:val="00170620"/>
    <w:rsid w:val="00170A0E"/>
    <w:rsid w:val="00171784"/>
    <w:rsid w:val="00171F1D"/>
    <w:rsid w:val="00172743"/>
    <w:rsid w:val="00172928"/>
    <w:rsid w:val="001732F9"/>
    <w:rsid w:val="00173948"/>
    <w:rsid w:val="0017561A"/>
    <w:rsid w:val="00175FA6"/>
    <w:rsid w:val="00176336"/>
    <w:rsid w:val="001807CA"/>
    <w:rsid w:val="00181D1A"/>
    <w:rsid w:val="00182218"/>
    <w:rsid w:val="00182583"/>
    <w:rsid w:val="001839FE"/>
    <w:rsid w:val="001842AF"/>
    <w:rsid w:val="00184452"/>
    <w:rsid w:val="001848BD"/>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32A"/>
    <w:rsid w:val="001A55D3"/>
    <w:rsid w:val="001A5992"/>
    <w:rsid w:val="001A5F8A"/>
    <w:rsid w:val="001A6578"/>
    <w:rsid w:val="001A69AC"/>
    <w:rsid w:val="001A6AF4"/>
    <w:rsid w:val="001A71C0"/>
    <w:rsid w:val="001A7E87"/>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532"/>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7281"/>
    <w:rsid w:val="00217C21"/>
    <w:rsid w:val="00217C3F"/>
    <w:rsid w:val="00217D68"/>
    <w:rsid w:val="00217DB1"/>
    <w:rsid w:val="002209B2"/>
    <w:rsid w:val="00220B3D"/>
    <w:rsid w:val="0022104B"/>
    <w:rsid w:val="00221141"/>
    <w:rsid w:val="00221BA3"/>
    <w:rsid w:val="00222023"/>
    <w:rsid w:val="00223076"/>
    <w:rsid w:val="002231DA"/>
    <w:rsid w:val="00223535"/>
    <w:rsid w:val="00223A85"/>
    <w:rsid w:val="0022467B"/>
    <w:rsid w:val="00224987"/>
    <w:rsid w:val="002249EB"/>
    <w:rsid w:val="00224A01"/>
    <w:rsid w:val="00225F30"/>
    <w:rsid w:val="00226019"/>
    <w:rsid w:val="00226061"/>
    <w:rsid w:val="0022639D"/>
    <w:rsid w:val="002266C7"/>
    <w:rsid w:val="00226A29"/>
    <w:rsid w:val="00226B03"/>
    <w:rsid w:val="00226FAC"/>
    <w:rsid w:val="00230AC9"/>
    <w:rsid w:val="00230FD8"/>
    <w:rsid w:val="002317F5"/>
    <w:rsid w:val="0023301D"/>
    <w:rsid w:val="002330D6"/>
    <w:rsid w:val="0023448C"/>
    <w:rsid w:val="0023453A"/>
    <w:rsid w:val="0023590D"/>
    <w:rsid w:val="002361C0"/>
    <w:rsid w:val="002365C3"/>
    <w:rsid w:val="00236F4A"/>
    <w:rsid w:val="00237539"/>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6"/>
    <w:rsid w:val="00267E6A"/>
    <w:rsid w:val="002732EA"/>
    <w:rsid w:val="00273314"/>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965"/>
    <w:rsid w:val="002851FA"/>
    <w:rsid w:val="002852F5"/>
    <w:rsid w:val="002854AA"/>
    <w:rsid w:val="00285920"/>
    <w:rsid w:val="0028603D"/>
    <w:rsid w:val="002860F1"/>
    <w:rsid w:val="00286812"/>
    <w:rsid w:val="002871C4"/>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394"/>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A7A0F"/>
    <w:rsid w:val="002A7B36"/>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D7D63"/>
    <w:rsid w:val="002E0A0D"/>
    <w:rsid w:val="002E0DE8"/>
    <w:rsid w:val="002E141B"/>
    <w:rsid w:val="002E178C"/>
    <w:rsid w:val="002E1C23"/>
    <w:rsid w:val="002E201C"/>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C6E"/>
    <w:rsid w:val="00301E34"/>
    <w:rsid w:val="00302443"/>
    <w:rsid w:val="00303668"/>
    <w:rsid w:val="00303EC0"/>
    <w:rsid w:val="00304124"/>
    <w:rsid w:val="00305818"/>
    <w:rsid w:val="00305A6B"/>
    <w:rsid w:val="00305C94"/>
    <w:rsid w:val="00305D8A"/>
    <w:rsid w:val="00305DB7"/>
    <w:rsid w:val="00306C26"/>
    <w:rsid w:val="00306ECB"/>
    <w:rsid w:val="0030797F"/>
    <w:rsid w:val="00307AD9"/>
    <w:rsid w:val="003107C4"/>
    <w:rsid w:val="003108E8"/>
    <w:rsid w:val="00311035"/>
    <w:rsid w:val="003110B9"/>
    <w:rsid w:val="00311123"/>
    <w:rsid w:val="003117AC"/>
    <w:rsid w:val="0031217F"/>
    <w:rsid w:val="003125E1"/>
    <w:rsid w:val="003128B0"/>
    <w:rsid w:val="0031295A"/>
    <w:rsid w:val="003132E5"/>
    <w:rsid w:val="00314729"/>
    <w:rsid w:val="00314BA9"/>
    <w:rsid w:val="00315667"/>
    <w:rsid w:val="003175C5"/>
    <w:rsid w:val="00317712"/>
    <w:rsid w:val="0031776F"/>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2CDA"/>
    <w:rsid w:val="00334ADA"/>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503"/>
    <w:rsid w:val="00347789"/>
    <w:rsid w:val="003517F7"/>
    <w:rsid w:val="00351802"/>
    <w:rsid w:val="00351CC2"/>
    <w:rsid w:val="00351CFA"/>
    <w:rsid w:val="003524FF"/>
    <w:rsid w:val="00352A25"/>
    <w:rsid w:val="00352B4C"/>
    <w:rsid w:val="00352E5A"/>
    <w:rsid w:val="00352FF4"/>
    <w:rsid w:val="00354537"/>
    <w:rsid w:val="00354701"/>
    <w:rsid w:val="003547DB"/>
    <w:rsid w:val="003549C1"/>
    <w:rsid w:val="003549C9"/>
    <w:rsid w:val="00354F34"/>
    <w:rsid w:val="003557F3"/>
    <w:rsid w:val="00356A23"/>
    <w:rsid w:val="00356E3B"/>
    <w:rsid w:val="00356F10"/>
    <w:rsid w:val="00356F33"/>
    <w:rsid w:val="00357029"/>
    <w:rsid w:val="00357724"/>
    <w:rsid w:val="003579F3"/>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5C5"/>
    <w:rsid w:val="00371D2E"/>
    <w:rsid w:val="0037234A"/>
    <w:rsid w:val="00372408"/>
    <w:rsid w:val="00372EB3"/>
    <w:rsid w:val="0037332D"/>
    <w:rsid w:val="00373955"/>
    <w:rsid w:val="00374B92"/>
    <w:rsid w:val="00374F01"/>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5105"/>
    <w:rsid w:val="00395DB2"/>
    <w:rsid w:val="003960C7"/>
    <w:rsid w:val="00396DB9"/>
    <w:rsid w:val="00396F62"/>
    <w:rsid w:val="00396FA0"/>
    <w:rsid w:val="00397E09"/>
    <w:rsid w:val="003A0608"/>
    <w:rsid w:val="003A0E39"/>
    <w:rsid w:val="003A1467"/>
    <w:rsid w:val="003A16A8"/>
    <w:rsid w:val="003A1735"/>
    <w:rsid w:val="003A3B43"/>
    <w:rsid w:val="003A40AA"/>
    <w:rsid w:val="003A4383"/>
    <w:rsid w:val="003A46D1"/>
    <w:rsid w:val="003A4930"/>
    <w:rsid w:val="003A5484"/>
    <w:rsid w:val="003A578E"/>
    <w:rsid w:val="003A57F2"/>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48BB"/>
    <w:rsid w:val="003B5081"/>
    <w:rsid w:val="003B53FF"/>
    <w:rsid w:val="003B6020"/>
    <w:rsid w:val="003B6302"/>
    <w:rsid w:val="003B65C3"/>
    <w:rsid w:val="003B6717"/>
    <w:rsid w:val="003B6947"/>
    <w:rsid w:val="003B6958"/>
    <w:rsid w:val="003B7101"/>
    <w:rsid w:val="003B72E5"/>
    <w:rsid w:val="003B790F"/>
    <w:rsid w:val="003B7DAE"/>
    <w:rsid w:val="003C11BD"/>
    <w:rsid w:val="003C156C"/>
    <w:rsid w:val="003C1849"/>
    <w:rsid w:val="003C1A42"/>
    <w:rsid w:val="003C2B85"/>
    <w:rsid w:val="003C2CC8"/>
    <w:rsid w:val="003C3018"/>
    <w:rsid w:val="003C3116"/>
    <w:rsid w:val="003C37B2"/>
    <w:rsid w:val="003C44DE"/>
    <w:rsid w:val="003C47B4"/>
    <w:rsid w:val="003C580D"/>
    <w:rsid w:val="003C590D"/>
    <w:rsid w:val="003C5B11"/>
    <w:rsid w:val="003C5FE4"/>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3DF"/>
    <w:rsid w:val="003E44A3"/>
    <w:rsid w:val="003E4E87"/>
    <w:rsid w:val="003E5070"/>
    <w:rsid w:val="003E5B8B"/>
    <w:rsid w:val="003E6D4D"/>
    <w:rsid w:val="003F0796"/>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5881"/>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4E5"/>
    <w:rsid w:val="00405729"/>
    <w:rsid w:val="004060AE"/>
    <w:rsid w:val="00406A78"/>
    <w:rsid w:val="00406C8D"/>
    <w:rsid w:val="00407139"/>
    <w:rsid w:val="00407356"/>
    <w:rsid w:val="00407BAB"/>
    <w:rsid w:val="0041032F"/>
    <w:rsid w:val="0041064A"/>
    <w:rsid w:val="004106AF"/>
    <w:rsid w:val="00411079"/>
    <w:rsid w:val="00411595"/>
    <w:rsid w:val="00411B37"/>
    <w:rsid w:val="004121AB"/>
    <w:rsid w:val="00412CF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805"/>
    <w:rsid w:val="00431882"/>
    <w:rsid w:val="00431F90"/>
    <w:rsid w:val="0043258F"/>
    <w:rsid w:val="004327A0"/>
    <w:rsid w:val="004327E1"/>
    <w:rsid w:val="00432A3A"/>
    <w:rsid w:val="00432BDE"/>
    <w:rsid w:val="00433451"/>
    <w:rsid w:val="00433611"/>
    <w:rsid w:val="00433C74"/>
    <w:rsid w:val="00433D2C"/>
    <w:rsid w:val="00434BD2"/>
    <w:rsid w:val="00434DC6"/>
    <w:rsid w:val="00434FBD"/>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507"/>
    <w:rsid w:val="00457B1E"/>
    <w:rsid w:val="00460E7A"/>
    <w:rsid w:val="00460F78"/>
    <w:rsid w:val="00461691"/>
    <w:rsid w:val="00461C6F"/>
    <w:rsid w:val="0046215A"/>
    <w:rsid w:val="00462B08"/>
    <w:rsid w:val="004639D2"/>
    <w:rsid w:val="00463F4F"/>
    <w:rsid w:val="00464032"/>
    <w:rsid w:val="004641E0"/>
    <w:rsid w:val="00464E7B"/>
    <w:rsid w:val="00464F0B"/>
    <w:rsid w:val="00464F75"/>
    <w:rsid w:val="004667BD"/>
    <w:rsid w:val="004667EE"/>
    <w:rsid w:val="00466E78"/>
    <w:rsid w:val="00467190"/>
    <w:rsid w:val="00467E50"/>
    <w:rsid w:val="00470600"/>
    <w:rsid w:val="00470C14"/>
    <w:rsid w:val="00470C99"/>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2511"/>
    <w:rsid w:val="004937B0"/>
    <w:rsid w:val="00493876"/>
    <w:rsid w:val="0049397A"/>
    <w:rsid w:val="0049465E"/>
    <w:rsid w:val="0049549D"/>
    <w:rsid w:val="00495D80"/>
    <w:rsid w:val="00496EC0"/>
    <w:rsid w:val="0049725A"/>
    <w:rsid w:val="00497658"/>
    <w:rsid w:val="00497A44"/>
    <w:rsid w:val="00497EDF"/>
    <w:rsid w:val="004A033D"/>
    <w:rsid w:val="004A0B6E"/>
    <w:rsid w:val="004A109A"/>
    <w:rsid w:val="004A13CA"/>
    <w:rsid w:val="004A1798"/>
    <w:rsid w:val="004A1DF0"/>
    <w:rsid w:val="004A24B0"/>
    <w:rsid w:val="004A24FE"/>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D7243"/>
    <w:rsid w:val="004D7302"/>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170D"/>
    <w:rsid w:val="004F180E"/>
    <w:rsid w:val="004F1CCE"/>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1E8A"/>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B86"/>
    <w:rsid w:val="005460D7"/>
    <w:rsid w:val="0054637A"/>
    <w:rsid w:val="00546400"/>
    <w:rsid w:val="00546D12"/>
    <w:rsid w:val="00547058"/>
    <w:rsid w:val="00547098"/>
    <w:rsid w:val="0055135B"/>
    <w:rsid w:val="00551388"/>
    <w:rsid w:val="005517C3"/>
    <w:rsid w:val="005520AE"/>
    <w:rsid w:val="00552ABA"/>
    <w:rsid w:val="00552F7E"/>
    <w:rsid w:val="0055394C"/>
    <w:rsid w:val="00553B4E"/>
    <w:rsid w:val="005540B5"/>
    <w:rsid w:val="00554FD7"/>
    <w:rsid w:val="00555E05"/>
    <w:rsid w:val="0055641D"/>
    <w:rsid w:val="00556940"/>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4A0"/>
    <w:rsid w:val="00567EFF"/>
    <w:rsid w:val="00567F4A"/>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A78"/>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3E28"/>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5F0A"/>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3861"/>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4147"/>
    <w:rsid w:val="00614443"/>
    <w:rsid w:val="00614C77"/>
    <w:rsid w:val="006150E9"/>
    <w:rsid w:val="00616636"/>
    <w:rsid w:val="00616761"/>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0D96"/>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6BC"/>
    <w:rsid w:val="00651AB6"/>
    <w:rsid w:val="00651ED7"/>
    <w:rsid w:val="006525FD"/>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172"/>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5D8"/>
    <w:rsid w:val="00683A06"/>
    <w:rsid w:val="006847A8"/>
    <w:rsid w:val="00684A95"/>
    <w:rsid w:val="00684D92"/>
    <w:rsid w:val="0068558D"/>
    <w:rsid w:val="006855C0"/>
    <w:rsid w:val="00685AD8"/>
    <w:rsid w:val="0068658F"/>
    <w:rsid w:val="006866A5"/>
    <w:rsid w:val="0068696A"/>
    <w:rsid w:val="00687366"/>
    <w:rsid w:val="006879AA"/>
    <w:rsid w:val="006902FA"/>
    <w:rsid w:val="00690A8E"/>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294F"/>
    <w:rsid w:val="006A2EEC"/>
    <w:rsid w:val="006A3128"/>
    <w:rsid w:val="006A3BBD"/>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B7E79"/>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B88"/>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4D7A"/>
    <w:rsid w:val="006E569F"/>
    <w:rsid w:val="006E5D10"/>
    <w:rsid w:val="006E68E5"/>
    <w:rsid w:val="006E69DB"/>
    <w:rsid w:val="006E6C4D"/>
    <w:rsid w:val="006E6CF7"/>
    <w:rsid w:val="006E761F"/>
    <w:rsid w:val="006E7CA1"/>
    <w:rsid w:val="006E7DDE"/>
    <w:rsid w:val="006E7F80"/>
    <w:rsid w:val="006F0EAC"/>
    <w:rsid w:val="006F0F61"/>
    <w:rsid w:val="006F12B6"/>
    <w:rsid w:val="006F1445"/>
    <w:rsid w:val="006F1470"/>
    <w:rsid w:val="006F1714"/>
    <w:rsid w:val="006F18D5"/>
    <w:rsid w:val="006F1E4B"/>
    <w:rsid w:val="006F20AD"/>
    <w:rsid w:val="006F23AE"/>
    <w:rsid w:val="006F25C5"/>
    <w:rsid w:val="006F2FD5"/>
    <w:rsid w:val="006F44AC"/>
    <w:rsid w:val="006F4B5F"/>
    <w:rsid w:val="006F4C3F"/>
    <w:rsid w:val="006F4D0A"/>
    <w:rsid w:val="006F4F0A"/>
    <w:rsid w:val="006F5056"/>
    <w:rsid w:val="006F5430"/>
    <w:rsid w:val="006F590D"/>
    <w:rsid w:val="006F5C38"/>
    <w:rsid w:val="006F6181"/>
    <w:rsid w:val="006F6B4D"/>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BE7"/>
    <w:rsid w:val="00723FBF"/>
    <w:rsid w:val="007253B6"/>
    <w:rsid w:val="007267A4"/>
    <w:rsid w:val="007274EC"/>
    <w:rsid w:val="00727D4B"/>
    <w:rsid w:val="00730BC8"/>
    <w:rsid w:val="007312C8"/>
    <w:rsid w:val="007313D9"/>
    <w:rsid w:val="007313EC"/>
    <w:rsid w:val="007316DE"/>
    <w:rsid w:val="00732AA5"/>
    <w:rsid w:val="00733769"/>
    <w:rsid w:val="007347F1"/>
    <w:rsid w:val="00734934"/>
    <w:rsid w:val="00734D1D"/>
    <w:rsid w:val="00734F1C"/>
    <w:rsid w:val="00735D50"/>
    <w:rsid w:val="00736226"/>
    <w:rsid w:val="0073632A"/>
    <w:rsid w:val="00740BF9"/>
    <w:rsid w:val="00740C1B"/>
    <w:rsid w:val="00740F67"/>
    <w:rsid w:val="00741072"/>
    <w:rsid w:val="007414CD"/>
    <w:rsid w:val="0074203D"/>
    <w:rsid w:val="00742204"/>
    <w:rsid w:val="0074265F"/>
    <w:rsid w:val="00745C41"/>
    <w:rsid w:val="00745D9C"/>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37CB"/>
    <w:rsid w:val="00783828"/>
    <w:rsid w:val="007848A6"/>
    <w:rsid w:val="00784F06"/>
    <w:rsid w:val="00785DDE"/>
    <w:rsid w:val="00786083"/>
    <w:rsid w:val="00787265"/>
    <w:rsid w:val="00787D30"/>
    <w:rsid w:val="00790D05"/>
    <w:rsid w:val="007914C0"/>
    <w:rsid w:val="00792A35"/>
    <w:rsid w:val="00792A56"/>
    <w:rsid w:val="00792D40"/>
    <w:rsid w:val="00792E19"/>
    <w:rsid w:val="00793011"/>
    <w:rsid w:val="007932D1"/>
    <w:rsid w:val="00793DA5"/>
    <w:rsid w:val="00795E87"/>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0DA0"/>
    <w:rsid w:val="007B15E5"/>
    <w:rsid w:val="007B17B8"/>
    <w:rsid w:val="007B1EE7"/>
    <w:rsid w:val="007B2468"/>
    <w:rsid w:val="007B252C"/>
    <w:rsid w:val="007B2C2E"/>
    <w:rsid w:val="007B33FE"/>
    <w:rsid w:val="007B340F"/>
    <w:rsid w:val="007B3E39"/>
    <w:rsid w:val="007B4AC2"/>
    <w:rsid w:val="007B4EAC"/>
    <w:rsid w:val="007B5278"/>
    <w:rsid w:val="007B5545"/>
    <w:rsid w:val="007B56F8"/>
    <w:rsid w:val="007B57D8"/>
    <w:rsid w:val="007B5982"/>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F7E"/>
    <w:rsid w:val="007E3295"/>
    <w:rsid w:val="007E338B"/>
    <w:rsid w:val="007E390D"/>
    <w:rsid w:val="007E3F04"/>
    <w:rsid w:val="007E68E0"/>
    <w:rsid w:val="007E6D4B"/>
    <w:rsid w:val="007E7D7C"/>
    <w:rsid w:val="007E7F54"/>
    <w:rsid w:val="007F06F0"/>
    <w:rsid w:val="007F08BE"/>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618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501"/>
    <w:rsid w:val="008436FA"/>
    <w:rsid w:val="00843CA0"/>
    <w:rsid w:val="00844222"/>
    <w:rsid w:val="008446CD"/>
    <w:rsid w:val="0084477E"/>
    <w:rsid w:val="00844981"/>
    <w:rsid w:val="00844FA2"/>
    <w:rsid w:val="0084523D"/>
    <w:rsid w:val="0084583C"/>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BE9"/>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BB6"/>
    <w:rsid w:val="008709BF"/>
    <w:rsid w:val="00871456"/>
    <w:rsid w:val="008716C8"/>
    <w:rsid w:val="008717DF"/>
    <w:rsid w:val="008724BA"/>
    <w:rsid w:val="0087253D"/>
    <w:rsid w:val="00873169"/>
    <w:rsid w:val="0087322A"/>
    <w:rsid w:val="00873775"/>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3A7D"/>
    <w:rsid w:val="008947CE"/>
    <w:rsid w:val="008949E0"/>
    <w:rsid w:val="00894C67"/>
    <w:rsid w:val="00895784"/>
    <w:rsid w:val="00895A3A"/>
    <w:rsid w:val="00896176"/>
    <w:rsid w:val="00896639"/>
    <w:rsid w:val="00896FE5"/>
    <w:rsid w:val="00897121"/>
    <w:rsid w:val="0089728B"/>
    <w:rsid w:val="0089790C"/>
    <w:rsid w:val="00897B59"/>
    <w:rsid w:val="008A0CF6"/>
    <w:rsid w:val="008A0D28"/>
    <w:rsid w:val="008A0EE9"/>
    <w:rsid w:val="008A0FF5"/>
    <w:rsid w:val="008A1E37"/>
    <w:rsid w:val="008A207E"/>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2E78"/>
    <w:rsid w:val="008B30C2"/>
    <w:rsid w:val="008B3B72"/>
    <w:rsid w:val="008B3BDD"/>
    <w:rsid w:val="008B414A"/>
    <w:rsid w:val="008B4231"/>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895"/>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422"/>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363F"/>
    <w:rsid w:val="008E5063"/>
    <w:rsid w:val="008E586B"/>
    <w:rsid w:val="008E6916"/>
    <w:rsid w:val="008E6AA8"/>
    <w:rsid w:val="008E6E9F"/>
    <w:rsid w:val="008E6F89"/>
    <w:rsid w:val="008E6FFB"/>
    <w:rsid w:val="008E701D"/>
    <w:rsid w:val="008E719C"/>
    <w:rsid w:val="008E7399"/>
    <w:rsid w:val="008E75DE"/>
    <w:rsid w:val="008E78BE"/>
    <w:rsid w:val="008E7B8F"/>
    <w:rsid w:val="008E7FE3"/>
    <w:rsid w:val="008F00DC"/>
    <w:rsid w:val="008F0149"/>
    <w:rsid w:val="008F05D3"/>
    <w:rsid w:val="008F0A58"/>
    <w:rsid w:val="008F0B26"/>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2004"/>
    <w:rsid w:val="009124EC"/>
    <w:rsid w:val="00913A6A"/>
    <w:rsid w:val="00913ABB"/>
    <w:rsid w:val="009147BF"/>
    <w:rsid w:val="00914B2D"/>
    <w:rsid w:val="00915672"/>
    <w:rsid w:val="00915775"/>
    <w:rsid w:val="00915A1C"/>
    <w:rsid w:val="00915BE2"/>
    <w:rsid w:val="00915C89"/>
    <w:rsid w:val="00915D02"/>
    <w:rsid w:val="009168AF"/>
    <w:rsid w:val="00916B66"/>
    <w:rsid w:val="00916CCA"/>
    <w:rsid w:val="009175CD"/>
    <w:rsid w:val="009179BE"/>
    <w:rsid w:val="009203AF"/>
    <w:rsid w:val="009204CB"/>
    <w:rsid w:val="00921E74"/>
    <w:rsid w:val="009237F0"/>
    <w:rsid w:val="0092420E"/>
    <w:rsid w:val="0092431E"/>
    <w:rsid w:val="00924E6A"/>
    <w:rsid w:val="00925056"/>
    <w:rsid w:val="00925460"/>
    <w:rsid w:val="00925E68"/>
    <w:rsid w:val="00926B47"/>
    <w:rsid w:val="009272CF"/>
    <w:rsid w:val="00927359"/>
    <w:rsid w:val="00927472"/>
    <w:rsid w:val="00927D3E"/>
    <w:rsid w:val="00927F5D"/>
    <w:rsid w:val="00931259"/>
    <w:rsid w:val="00931749"/>
    <w:rsid w:val="00932141"/>
    <w:rsid w:val="0093271D"/>
    <w:rsid w:val="00932B41"/>
    <w:rsid w:val="00932CE5"/>
    <w:rsid w:val="00933664"/>
    <w:rsid w:val="009336CF"/>
    <w:rsid w:val="00933936"/>
    <w:rsid w:val="00933AFD"/>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22F"/>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54D"/>
    <w:rsid w:val="009579CC"/>
    <w:rsid w:val="00957A58"/>
    <w:rsid w:val="00957F95"/>
    <w:rsid w:val="00960B54"/>
    <w:rsid w:val="009613FD"/>
    <w:rsid w:val="009622CA"/>
    <w:rsid w:val="009622FC"/>
    <w:rsid w:val="00962837"/>
    <w:rsid w:val="009637D0"/>
    <w:rsid w:val="00963B79"/>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E04"/>
    <w:rsid w:val="0097767D"/>
    <w:rsid w:val="009777FE"/>
    <w:rsid w:val="00977F5A"/>
    <w:rsid w:val="00980673"/>
    <w:rsid w:val="00980FD2"/>
    <w:rsid w:val="00981ABD"/>
    <w:rsid w:val="009831FA"/>
    <w:rsid w:val="0098340B"/>
    <w:rsid w:val="009840EA"/>
    <w:rsid w:val="009847C6"/>
    <w:rsid w:val="009856D7"/>
    <w:rsid w:val="00986371"/>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2DA8"/>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C59"/>
    <w:rsid w:val="009D1AD0"/>
    <w:rsid w:val="009D1EC6"/>
    <w:rsid w:val="009D25BD"/>
    <w:rsid w:val="009D2890"/>
    <w:rsid w:val="009D2A33"/>
    <w:rsid w:val="009D3400"/>
    <w:rsid w:val="009D42A4"/>
    <w:rsid w:val="009D4889"/>
    <w:rsid w:val="009D48F2"/>
    <w:rsid w:val="009D4A88"/>
    <w:rsid w:val="009D4D0D"/>
    <w:rsid w:val="009D50CA"/>
    <w:rsid w:val="009D512D"/>
    <w:rsid w:val="009D51A2"/>
    <w:rsid w:val="009D553C"/>
    <w:rsid w:val="009D69E6"/>
    <w:rsid w:val="009D6AAE"/>
    <w:rsid w:val="009D6F2C"/>
    <w:rsid w:val="009D79C9"/>
    <w:rsid w:val="009D7AE7"/>
    <w:rsid w:val="009E01C9"/>
    <w:rsid w:val="009E01F6"/>
    <w:rsid w:val="009E0373"/>
    <w:rsid w:val="009E0387"/>
    <w:rsid w:val="009E1F78"/>
    <w:rsid w:val="009E1FAF"/>
    <w:rsid w:val="009E2078"/>
    <w:rsid w:val="009E2B68"/>
    <w:rsid w:val="009E2B8F"/>
    <w:rsid w:val="009E3EB4"/>
    <w:rsid w:val="009E4A17"/>
    <w:rsid w:val="009E5989"/>
    <w:rsid w:val="009E59CA"/>
    <w:rsid w:val="009E6B29"/>
    <w:rsid w:val="009E6B4A"/>
    <w:rsid w:val="009E7260"/>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64AF"/>
    <w:rsid w:val="00A067C1"/>
    <w:rsid w:val="00A06FCE"/>
    <w:rsid w:val="00A07160"/>
    <w:rsid w:val="00A0757D"/>
    <w:rsid w:val="00A07688"/>
    <w:rsid w:val="00A07764"/>
    <w:rsid w:val="00A07D0E"/>
    <w:rsid w:val="00A07D6D"/>
    <w:rsid w:val="00A10B96"/>
    <w:rsid w:val="00A10E9D"/>
    <w:rsid w:val="00A11736"/>
    <w:rsid w:val="00A11B88"/>
    <w:rsid w:val="00A11BE8"/>
    <w:rsid w:val="00A11CE9"/>
    <w:rsid w:val="00A124FF"/>
    <w:rsid w:val="00A129FA"/>
    <w:rsid w:val="00A12A8A"/>
    <w:rsid w:val="00A12A8E"/>
    <w:rsid w:val="00A12D60"/>
    <w:rsid w:val="00A132C6"/>
    <w:rsid w:val="00A134B6"/>
    <w:rsid w:val="00A142BC"/>
    <w:rsid w:val="00A14864"/>
    <w:rsid w:val="00A14B84"/>
    <w:rsid w:val="00A14CC8"/>
    <w:rsid w:val="00A15658"/>
    <w:rsid w:val="00A15BF4"/>
    <w:rsid w:val="00A15C5F"/>
    <w:rsid w:val="00A15E28"/>
    <w:rsid w:val="00A160C8"/>
    <w:rsid w:val="00A174AB"/>
    <w:rsid w:val="00A20CFE"/>
    <w:rsid w:val="00A2160C"/>
    <w:rsid w:val="00A21C1B"/>
    <w:rsid w:val="00A21ECF"/>
    <w:rsid w:val="00A236B3"/>
    <w:rsid w:val="00A2395C"/>
    <w:rsid w:val="00A23B80"/>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11B"/>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AA1"/>
    <w:rsid w:val="00A43126"/>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5DF"/>
    <w:rsid w:val="00A527DA"/>
    <w:rsid w:val="00A52977"/>
    <w:rsid w:val="00A52F78"/>
    <w:rsid w:val="00A5394A"/>
    <w:rsid w:val="00A53A0D"/>
    <w:rsid w:val="00A5402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6C01"/>
    <w:rsid w:val="00A774AC"/>
    <w:rsid w:val="00A776E5"/>
    <w:rsid w:val="00A77979"/>
    <w:rsid w:val="00A779C0"/>
    <w:rsid w:val="00A8049A"/>
    <w:rsid w:val="00A805A8"/>
    <w:rsid w:val="00A80A85"/>
    <w:rsid w:val="00A80E0F"/>
    <w:rsid w:val="00A810F9"/>
    <w:rsid w:val="00A81881"/>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31A5"/>
    <w:rsid w:val="00A93881"/>
    <w:rsid w:val="00A938B9"/>
    <w:rsid w:val="00A93E70"/>
    <w:rsid w:val="00A945F2"/>
    <w:rsid w:val="00A95F2F"/>
    <w:rsid w:val="00A96117"/>
    <w:rsid w:val="00A96ED6"/>
    <w:rsid w:val="00A97382"/>
    <w:rsid w:val="00A973AB"/>
    <w:rsid w:val="00A976B4"/>
    <w:rsid w:val="00A97A90"/>
    <w:rsid w:val="00A97B2D"/>
    <w:rsid w:val="00AA0F88"/>
    <w:rsid w:val="00AA1484"/>
    <w:rsid w:val="00AA14B1"/>
    <w:rsid w:val="00AA1FC2"/>
    <w:rsid w:val="00AA26B0"/>
    <w:rsid w:val="00AA26F9"/>
    <w:rsid w:val="00AA32E2"/>
    <w:rsid w:val="00AA36F1"/>
    <w:rsid w:val="00AA440D"/>
    <w:rsid w:val="00AA4843"/>
    <w:rsid w:val="00AA5401"/>
    <w:rsid w:val="00AA599D"/>
    <w:rsid w:val="00AA6110"/>
    <w:rsid w:val="00AA625E"/>
    <w:rsid w:val="00AA677D"/>
    <w:rsid w:val="00AA6B58"/>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B7860"/>
    <w:rsid w:val="00AC096B"/>
    <w:rsid w:val="00AC0BFC"/>
    <w:rsid w:val="00AC0DC3"/>
    <w:rsid w:val="00AC149C"/>
    <w:rsid w:val="00AC1A54"/>
    <w:rsid w:val="00AC3C0A"/>
    <w:rsid w:val="00AC5331"/>
    <w:rsid w:val="00AC58EE"/>
    <w:rsid w:val="00AC5A42"/>
    <w:rsid w:val="00AC6EA1"/>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420"/>
    <w:rsid w:val="00AD6ECC"/>
    <w:rsid w:val="00AE10EF"/>
    <w:rsid w:val="00AE213B"/>
    <w:rsid w:val="00AE23F2"/>
    <w:rsid w:val="00AE2C04"/>
    <w:rsid w:val="00AE3399"/>
    <w:rsid w:val="00AE3417"/>
    <w:rsid w:val="00AE35A5"/>
    <w:rsid w:val="00AE3CFC"/>
    <w:rsid w:val="00AE448D"/>
    <w:rsid w:val="00AE617A"/>
    <w:rsid w:val="00AE6644"/>
    <w:rsid w:val="00AE6F10"/>
    <w:rsid w:val="00AE7073"/>
    <w:rsid w:val="00AE7103"/>
    <w:rsid w:val="00AE73DD"/>
    <w:rsid w:val="00AE7DDB"/>
    <w:rsid w:val="00AF03FB"/>
    <w:rsid w:val="00AF162C"/>
    <w:rsid w:val="00AF1F11"/>
    <w:rsid w:val="00AF2DFD"/>
    <w:rsid w:val="00AF3847"/>
    <w:rsid w:val="00AF3ED2"/>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20001"/>
    <w:rsid w:val="00B201FF"/>
    <w:rsid w:val="00B20719"/>
    <w:rsid w:val="00B20B9D"/>
    <w:rsid w:val="00B21815"/>
    <w:rsid w:val="00B21817"/>
    <w:rsid w:val="00B21E52"/>
    <w:rsid w:val="00B21F9B"/>
    <w:rsid w:val="00B2200E"/>
    <w:rsid w:val="00B220AB"/>
    <w:rsid w:val="00B22517"/>
    <w:rsid w:val="00B22856"/>
    <w:rsid w:val="00B2310D"/>
    <w:rsid w:val="00B238DB"/>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17D5"/>
    <w:rsid w:val="00B42365"/>
    <w:rsid w:val="00B425DF"/>
    <w:rsid w:val="00B42840"/>
    <w:rsid w:val="00B4286D"/>
    <w:rsid w:val="00B42B93"/>
    <w:rsid w:val="00B42EE0"/>
    <w:rsid w:val="00B43F56"/>
    <w:rsid w:val="00B44286"/>
    <w:rsid w:val="00B450A9"/>
    <w:rsid w:val="00B45E8A"/>
    <w:rsid w:val="00B462DB"/>
    <w:rsid w:val="00B46742"/>
    <w:rsid w:val="00B4684B"/>
    <w:rsid w:val="00B46BCF"/>
    <w:rsid w:val="00B47748"/>
    <w:rsid w:val="00B477FD"/>
    <w:rsid w:val="00B47F50"/>
    <w:rsid w:val="00B47FD0"/>
    <w:rsid w:val="00B5040A"/>
    <w:rsid w:val="00B50781"/>
    <w:rsid w:val="00B512ED"/>
    <w:rsid w:val="00B513A8"/>
    <w:rsid w:val="00B519FA"/>
    <w:rsid w:val="00B5253E"/>
    <w:rsid w:val="00B526DB"/>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3E1"/>
    <w:rsid w:val="00BA1A62"/>
    <w:rsid w:val="00BA1C26"/>
    <w:rsid w:val="00BA2092"/>
    <w:rsid w:val="00BA20ED"/>
    <w:rsid w:val="00BA237C"/>
    <w:rsid w:val="00BA2D93"/>
    <w:rsid w:val="00BA3E77"/>
    <w:rsid w:val="00BA5336"/>
    <w:rsid w:val="00BA6778"/>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5145"/>
    <w:rsid w:val="00BC52E5"/>
    <w:rsid w:val="00BC576D"/>
    <w:rsid w:val="00BD0574"/>
    <w:rsid w:val="00BD1086"/>
    <w:rsid w:val="00BD1203"/>
    <w:rsid w:val="00BD1C7B"/>
    <w:rsid w:val="00BD2054"/>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6F"/>
    <w:rsid w:val="00BE2DCF"/>
    <w:rsid w:val="00BE5466"/>
    <w:rsid w:val="00BE6668"/>
    <w:rsid w:val="00BE6ABA"/>
    <w:rsid w:val="00BF03F3"/>
    <w:rsid w:val="00BF03FB"/>
    <w:rsid w:val="00BF0724"/>
    <w:rsid w:val="00BF2767"/>
    <w:rsid w:val="00BF553C"/>
    <w:rsid w:val="00BF562A"/>
    <w:rsid w:val="00BF5ADF"/>
    <w:rsid w:val="00BF5F3D"/>
    <w:rsid w:val="00BF631B"/>
    <w:rsid w:val="00BF6521"/>
    <w:rsid w:val="00BF6C40"/>
    <w:rsid w:val="00BF7A71"/>
    <w:rsid w:val="00C00CCA"/>
    <w:rsid w:val="00C00FB3"/>
    <w:rsid w:val="00C01B68"/>
    <w:rsid w:val="00C028A8"/>
    <w:rsid w:val="00C02F8B"/>
    <w:rsid w:val="00C031C7"/>
    <w:rsid w:val="00C032E2"/>
    <w:rsid w:val="00C035B1"/>
    <w:rsid w:val="00C03D98"/>
    <w:rsid w:val="00C03E12"/>
    <w:rsid w:val="00C04155"/>
    <w:rsid w:val="00C04164"/>
    <w:rsid w:val="00C04383"/>
    <w:rsid w:val="00C04866"/>
    <w:rsid w:val="00C04AB2"/>
    <w:rsid w:val="00C0531F"/>
    <w:rsid w:val="00C05892"/>
    <w:rsid w:val="00C05D40"/>
    <w:rsid w:val="00C06000"/>
    <w:rsid w:val="00C06010"/>
    <w:rsid w:val="00C069B9"/>
    <w:rsid w:val="00C06F95"/>
    <w:rsid w:val="00C071AF"/>
    <w:rsid w:val="00C07E53"/>
    <w:rsid w:val="00C11236"/>
    <w:rsid w:val="00C1178F"/>
    <w:rsid w:val="00C13F46"/>
    <w:rsid w:val="00C14CFD"/>
    <w:rsid w:val="00C14F60"/>
    <w:rsid w:val="00C15191"/>
    <w:rsid w:val="00C15914"/>
    <w:rsid w:val="00C16321"/>
    <w:rsid w:val="00C16656"/>
    <w:rsid w:val="00C16737"/>
    <w:rsid w:val="00C16B36"/>
    <w:rsid w:val="00C17338"/>
    <w:rsid w:val="00C17455"/>
    <w:rsid w:val="00C202C0"/>
    <w:rsid w:val="00C20664"/>
    <w:rsid w:val="00C20E64"/>
    <w:rsid w:val="00C2115F"/>
    <w:rsid w:val="00C221A3"/>
    <w:rsid w:val="00C22592"/>
    <w:rsid w:val="00C22612"/>
    <w:rsid w:val="00C230A0"/>
    <w:rsid w:val="00C236F5"/>
    <w:rsid w:val="00C23A61"/>
    <w:rsid w:val="00C247B8"/>
    <w:rsid w:val="00C24DA7"/>
    <w:rsid w:val="00C25876"/>
    <w:rsid w:val="00C25DCF"/>
    <w:rsid w:val="00C25FD2"/>
    <w:rsid w:val="00C25FD8"/>
    <w:rsid w:val="00C260B1"/>
    <w:rsid w:val="00C2672E"/>
    <w:rsid w:val="00C26DC1"/>
    <w:rsid w:val="00C27307"/>
    <w:rsid w:val="00C27308"/>
    <w:rsid w:val="00C2747B"/>
    <w:rsid w:val="00C3001C"/>
    <w:rsid w:val="00C307DE"/>
    <w:rsid w:val="00C31703"/>
    <w:rsid w:val="00C31CD0"/>
    <w:rsid w:val="00C31F7C"/>
    <w:rsid w:val="00C32359"/>
    <w:rsid w:val="00C3275C"/>
    <w:rsid w:val="00C32793"/>
    <w:rsid w:val="00C327ED"/>
    <w:rsid w:val="00C33173"/>
    <w:rsid w:val="00C331AC"/>
    <w:rsid w:val="00C33E42"/>
    <w:rsid w:val="00C348A1"/>
    <w:rsid w:val="00C35B6C"/>
    <w:rsid w:val="00C362AF"/>
    <w:rsid w:val="00C36BDD"/>
    <w:rsid w:val="00C37300"/>
    <w:rsid w:val="00C37BCF"/>
    <w:rsid w:val="00C403B4"/>
    <w:rsid w:val="00C40B9A"/>
    <w:rsid w:val="00C40C28"/>
    <w:rsid w:val="00C40C4C"/>
    <w:rsid w:val="00C40DF1"/>
    <w:rsid w:val="00C410CA"/>
    <w:rsid w:val="00C41D73"/>
    <w:rsid w:val="00C42190"/>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543"/>
    <w:rsid w:val="00C62C8E"/>
    <w:rsid w:val="00C63A59"/>
    <w:rsid w:val="00C64AE7"/>
    <w:rsid w:val="00C651BC"/>
    <w:rsid w:val="00C652F1"/>
    <w:rsid w:val="00C654A7"/>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7DB"/>
    <w:rsid w:val="00C76B1A"/>
    <w:rsid w:val="00C774A3"/>
    <w:rsid w:val="00C77540"/>
    <w:rsid w:val="00C77C3D"/>
    <w:rsid w:val="00C77EA6"/>
    <w:rsid w:val="00C8068B"/>
    <w:rsid w:val="00C8117C"/>
    <w:rsid w:val="00C813F7"/>
    <w:rsid w:val="00C82AE7"/>
    <w:rsid w:val="00C82B3D"/>
    <w:rsid w:val="00C8358B"/>
    <w:rsid w:val="00C83889"/>
    <w:rsid w:val="00C84E7C"/>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082"/>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8B6"/>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25"/>
    <w:rsid w:val="00CF5091"/>
    <w:rsid w:val="00CF5CC7"/>
    <w:rsid w:val="00CF5D14"/>
    <w:rsid w:val="00CF5E2C"/>
    <w:rsid w:val="00CF60EC"/>
    <w:rsid w:val="00CF65C9"/>
    <w:rsid w:val="00CF6DC2"/>
    <w:rsid w:val="00CF78B1"/>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2044"/>
    <w:rsid w:val="00D12312"/>
    <w:rsid w:val="00D12A46"/>
    <w:rsid w:val="00D12A78"/>
    <w:rsid w:val="00D13FE1"/>
    <w:rsid w:val="00D141B0"/>
    <w:rsid w:val="00D1468D"/>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211C"/>
    <w:rsid w:val="00D428CD"/>
    <w:rsid w:val="00D4291C"/>
    <w:rsid w:val="00D43AD5"/>
    <w:rsid w:val="00D43F7E"/>
    <w:rsid w:val="00D448E4"/>
    <w:rsid w:val="00D453BD"/>
    <w:rsid w:val="00D46E58"/>
    <w:rsid w:val="00D47A9B"/>
    <w:rsid w:val="00D50AC9"/>
    <w:rsid w:val="00D50C2B"/>
    <w:rsid w:val="00D50EF2"/>
    <w:rsid w:val="00D51037"/>
    <w:rsid w:val="00D51270"/>
    <w:rsid w:val="00D515AE"/>
    <w:rsid w:val="00D51ACB"/>
    <w:rsid w:val="00D51BCD"/>
    <w:rsid w:val="00D51D0A"/>
    <w:rsid w:val="00D52008"/>
    <w:rsid w:val="00D5279B"/>
    <w:rsid w:val="00D527FC"/>
    <w:rsid w:val="00D53222"/>
    <w:rsid w:val="00D53AFD"/>
    <w:rsid w:val="00D53B16"/>
    <w:rsid w:val="00D53FC5"/>
    <w:rsid w:val="00D544A3"/>
    <w:rsid w:val="00D5472D"/>
    <w:rsid w:val="00D548FA"/>
    <w:rsid w:val="00D54AA2"/>
    <w:rsid w:val="00D567D1"/>
    <w:rsid w:val="00D57032"/>
    <w:rsid w:val="00D578B8"/>
    <w:rsid w:val="00D57D28"/>
    <w:rsid w:val="00D60B90"/>
    <w:rsid w:val="00D60D7B"/>
    <w:rsid w:val="00D60DBB"/>
    <w:rsid w:val="00D60F8F"/>
    <w:rsid w:val="00D61016"/>
    <w:rsid w:val="00D610A3"/>
    <w:rsid w:val="00D61401"/>
    <w:rsid w:val="00D61AF6"/>
    <w:rsid w:val="00D620CF"/>
    <w:rsid w:val="00D633B9"/>
    <w:rsid w:val="00D63667"/>
    <w:rsid w:val="00D6375C"/>
    <w:rsid w:val="00D63C0D"/>
    <w:rsid w:val="00D63FC5"/>
    <w:rsid w:val="00D64766"/>
    <w:rsid w:val="00D64846"/>
    <w:rsid w:val="00D649BD"/>
    <w:rsid w:val="00D65324"/>
    <w:rsid w:val="00D66F2E"/>
    <w:rsid w:val="00D67B5D"/>
    <w:rsid w:val="00D67E1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C45"/>
    <w:rsid w:val="00D83E6E"/>
    <w:rsid w:val="00D83F88"/>
    <w:rsid w:val="00D847A6"/>
    <w:rsid w:val="00D85145"/>
    <w:rsid w:val="00D8545E"/>
    <w:rsid w:val="00D854BD"/>
    <w:rsid w:val="00D856C2"/>
    <w:rsid w:val="00D85AF6"/>
    <w:rsid w:val="00D85FCF"/>
    <w:rsid w:val="00D86CF9"/>
    <w:rsid w:val="00D87047"/>
    <w:rsid w:val="00D87B07"/>
    <w:rsid w:val="00D9002C"/>
    <w:rsid w:val="00D90078"/>
    <w:rsid w:val="00D90AC7"/>
    <w:rsid w:val="00D9111B"/>
    <w:rsid w:val="00D91668"/>
    <w:rsid w:val="00D91A20"/>
    <w:rsid w:val="00D91F66"/>
    <w:rsid w:val="00D92FBF"/>
    <w:rsid w:val="00D93745"/>
    <w:rsid w:val="00D93D13"/>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281"/>
    <w:rsid w:val="00DC2AE4"/>
    <w:rsid w:val="00DC2D0F"/>
    <w:rsid w:val="00DC48CD"/>
    <w:rsid w:val="00DC5472"/>
    <w:rsid w:val="00DC657F"/>
    <w:rsid w:val="00DC66AF"/>
    <w:rsid w:val="00DC6ADB"/>
    <w:rsid w:val="00DC6CF2"/>
    <w:rsid w:val="00DC7162"/>
    <w:rsid w:val="00DC7D2B"/>
    <w:rsid w:val="00DC7D81"/>
    <w:rsid w:val="00DD0A76"/>
    <w:rsid w:val="00DD0C8F"/>
    <w:rsid w:val="00DD0D47"/>
    <w:rsid w:val="00DD132A"/>
    <w:rsid w:val="00DD1E83"/>
    <w:rsid w:val="00DD221B"/>
    <w:rsid w:val="00DD227E"/>
    <w:rsid w:val="00DD2856"/>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2EB1"/>
    <w:rsid w:val="00DE436D"/>
    <w:rsid w:val="00DE49A3"/>
    <w:rsid w:val="00DE5120"/>
    <w:rsid w:val="00DE5EE3"/>
    <w:rsid w:val="00DE6077"/>
    <w:rsid w:val="00DE6BAF"/>
    <w:rsid w:val="00DE6E8A"/>
    <w:rsid w:val="00DE75AD"/>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4D7"/>
    <w:rsid w:val="00E16690"/>
    <w:rsid w:val="00E174F6"/>
    <w:rsid w:val="00E212FF"/>
    <w:rsid w:val="00E2194E"/>
    <w:rsid w:val="00E23051"/>
    <w:rsid w:val="00E2319F"/>
    <w:rsid w:val="00E237F9"/>
    <w:rsid w:val="00E23860"/>
    <w:rsid w:val="00E23993"/>
    <w:rsid w:val="00E23EEA"/>
    <w:rsid w:val="00E23EF2"/>
    <w:rsid w:val="00E242F3"/>
    <w:rsid w:val="00E24AD7"/>
    <w:rsid w:val="00E24FF2"/>
    <w:rsid w:val="00E26F95"/>
    <w:rsid w:val="00E3022C"/>
    <w:rsid w:val="00E30D8E"/>
    <w:rsid w:val="00E31699"/>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9A5"/>
    <w:rsid w:val="00E660E9"/>
    <w:rsid w:val="00E66221"/>
    <w:rsid w:val="00E662B2"/>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55F"/>
    <w:rsid w:val="00E81793"/>
    <w:rsid w:val="00E81D1D"/>
    <w:rsid w:val="00E826A9"/>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820"/>
    <w:rsid w:val="00E91ACC"/>
    <w:rsid w:val="00E91D5E"/>
    <w:rsid w:val="00E92832"/>
    <w:rsid w:val="00E93120"/>
    <w:rsid w:val="00E93AA8"/>
    <w:rsid w:val="00E94D27"/>
    <w:rsid w:val="00E94FB8"/>
    <w:rsid w:val="00E9540F"/>
    <w:rsid w:val="00E95639"/>
    <w:rsid w:val="00E962FB"/>
    <w:rsid w:val="00E969F4"/>
    <w:rsid w:val="00E96CAA"/>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5253"/>
    <w:rsid w:val="00EB5284"/>
    <w:rsid w:val="00EB65EE"/>
    <w:rsid w:val="00EB723F"/>
    <w:rsid w:val="00EB7367"/>
    <w:rsid w:val="00EB79CC"/>
    <w:rsid w:val="00EC0B93"/>
    <w:rsid w:val="00EC1375"/>
    <w:rsid w:val="00EC13FB"/>
    <w:rsid w:val="00EC1AE4"/>
    <w:rsid w:val="00EC1ED7"/>
    <w:rsid w:val="00EC2D3E"/>
    <w:rsid w:val="00EC311A"/>
    <w:rsid w:val="00EC35DC"/>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5A3"/>
    <w:rsid w:val="00ED761E"/>
    <w:rsid w:val="00ED77DA"/>
    <w:rsid w:val="00EE08D1"/>
    <w:rsid w:val="00EE08D5"/>
    <w:rsid w:val="00EE0D8D"/>
    <w:rsid w:val="00EE1FF9"/>
    <w:rsid w:val="00EE203B"/>
    <w:rsid w:val="00EE22DC"/>
    <w:rsid w:val="00EE2348"/>
    <w:rsid w:val="00EE2355"/>
    <w:rsid w:val="00EE3617"/>
    <w:rsid w:val="00EE3B1C"/>
    <w:rsid w:val="00EE3EE5"/>
    <w:rsid w:val="00EE5086"/>
    <w:rsid w:val="00EE5113"/>
    <w:rsid w:val="00EE547F"/>
    <w:rsid w:val="00EE6BB0"/>
    <w:rsid w:val="00EE6C74"/>
    <w:rsid w:val="00EE72B1"/>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EF6CD0"/>
    <w:rsid w:val="00F02112"/>
    <w:rsid w:val="00F02169"/>
    <w:rsid w:val="00F02371"/>
    <w:rsid w:val="00F040E9"/>
    <w:rsid w:val="00F04DBA"/>
    <w:rsid w:val="00F059C8"/>
    <w:rsid w:val="00F05C70"/>
    <w:rsid w:val="00F06AB0"/>
    <w:rsid w:val="00F06CF1"/>
    <w:rsid w:val="00F070B8"/>
    <w:rsid w:val="00F078C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4F71"/>
    <w:rsid w:val="00F25026"/>
    <w:rsid w:val="00F25032"/>
    <w:rsid w:val="00F25868"/>
    <w:rsid w:val="00F26D70"/>
    <w:rsid w:val="00F273C6"/>
    <w:rsid w:val="00F2789A"/>
    <w:rsid w:val="00F278CE"/>
    <w:rsid w:val="00F3047A"/>
    <w:rsid w:val="00F30917"/>
    <w:rsid w:val="00F30A12"/>
    <w:rsid w:val="00F30FFE"/>
    <w:rsid w:val="00F3245F"/>
    <w:rsid w:val="00F32552"/>
    <w:rsid w:val="00F32FC3"/>
    <w:rsid w:val="00F338CA"/>
    <w:rsid w:val="00F34134"/>
    <w:rsid w:val="00F34395"/>
    <w:rsid w:val="00F3503A"/>
    <w:rsid w:val="00F35248"/>
    <w:rsid w:val="00F354C6"/>
    <w:rsid w:val="00F358A1"/>
    <w:rsid w:val="00F36797"/>
    <w:rsid w:val="00F36B3C"/>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A4A"/>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645"/>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B03B6"/>
    <w:rsid w:val="00FB05B1"/>
    <w:rsid w:val="00FB0971"/>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6E5C"/>
    <w:rsid w:val="00FB794C"/>
    <w:rsid w:val="00FB7DA7"/>
    <w:rsid w:val="00FC0AB5"/>
    <w:rsid w:val="00FC11B3"/>
    <w:rsid w:val="00FC143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84E"/>
    <w:rsid w:val="00FD594B"/>
    <w:rsid w:val="00FD60E2"/>
    <w:rsid w:val="00FD6EC4"/>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4D1E"/>
    <w:rsid w:val="00FE52CD"/>
    <w:rsid w:val="00FE52D5"/>
    <w:rsid w:val="00FE53BB"/>
    <w:rsid w:val="00FE587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3A4E861-EEC4-40C4-9003-45FBF3EB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paragraph" w:customStyle="1" w:styleId="Doc-comment">
    <w:name w:val="Doc-comment"/>
    <w:basedOn w:val="Normal"/>
    <w:next w:val="Doc-text2"/>
    <w:qFormat/>
    <w:rsid w:val="00915A1C"/>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2.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3.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67524E15-9E90-41D8-8B18-FAD05CD4D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R2-2103600</vt:lpstr>
    </vt:vector>
  </TitlesOfParts>
  <Company>Alcatel-Lucent</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105</cp:revision>
  <cp:lastPrinted>2009-09-27T00:02:00Z</cp:lastPrinted>
  <dcterms:created xsi:type="dcterms:W3CDTF">2023-04-06T08:42:00Z</dcterms:created>
  <dcterms:modified xsi:type="dcterms:W3CDTF">2023-04-06T08:55:00Z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