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7E3B148"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81277A">
        <w:rPr>
          <w:sz w:val="24"/>
          <w:lang w:eastAsia="zh-CN"/>
        </w:rPr>
        <w:t>bis-e</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B50217" w:rsidRPr="00B50217">
        <w:rPr>
          <w:bCs/>
          <w:noProof w:val="0"/>
          <w:sz w:val="24"/>
        </w:rPr>
        <w:t>R2-2302868</w:t>
      </w:r>
    </w:p>
    <w:p w14:paraId="2B60AF3C" w14:textId="1E8CA171" w:rsidR="00EB410E" w:rsidRDefault="0081277A" w:rsidP="00ED7D99">
      <w:pPr>
        <w:pStyle w:val="CRCoverPage"/>
        <w:spacing w:after="240"/>
        <w:outlineLvl w:val="0"/>
        <w:rPr>
          <w:b/>
          <w:sz w:val="24"/>
        </w:rPr>
      </w:pPr>
      <w:r w:rsidRPr="0081277A">
        <w:rPr>
          <w:b/>
          <w:sz w:val="24"/>
        </w:rPr>
        <w:t>Electronic meeting, April 17th – 21st 2023</w:t>
      </w:r>
    </w:p>
    <w:p w14:paraId="012E2D7F" w14:textId="3E7AF9A2"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6016C5">
        <w:rPr>
          <w:rFonts w:ascii="Arial" w:hAnsi="Arial" w:cs="Arial"/>
          <w:bCs/>
          <w:sz w:val="24"/>
        </w:rPr>
        <w:t>6.6.3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C1DF8D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6016C5">
        <w:rPr>
          <w:rFonts w:ascii="Arial" w:hAnsi="Arial" w:cs="Arial"/>
          <w:bCs/>
          <w:sz w:val="24"/>
        </w:rPr>
        <w:t>F</w:t>
      </w:r>
      <w:r w:rsidR="006016C5" w:rsidRPr="006016C5">
        <w:rPr>
          <w:rFonts w:ascii="Arial" w:hAnsi="Arial" w:cs="Arial"/>
          <w:bCs/>
          <w:sz w:val="24"/>
        </w:rPr>
        <w:t>eatures with different UE</w:t>
      </w:r>
      <w:r w:rsidR="006016C5">
        <w:rPr>
          <w:rFonts w:ascii="Arial" w:hAnsi="Arial" w:cs="Arial"/>
          <w:bCs/>
          <w:sz w:val="24"/>
        </w:rPr>
        <w:t xml:space="preserve"> capability</w:t>
      </w:r>
      <w:r w:rsidR="006016C5" w:rsidRPr="006016C5">
        <w:rPr>
          <w:rFonts w:ascii="Arial" w:hAnsi="Arial" w:cs="Arial"/>
          <w:bCs/>
          <w:sz w:val="24"/>
        </w:rPr>
        <w:t xml:space="preserve"> support in TN and NTN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562570">
      <w:pPr>
        <w:pStyle w:val="Heading1"/>
        <w:numPr>
          <w:ilvl w:val="0"/>
          <w:numId w:val="2"/>
        </w:numPr>
      </w:pPr>
      <w:r>
        <w:t>Introduction</w:t>
      </w:r>
    </w:p>
    <w:p w14:paraId="001A8E44" w14:textId="58BF30C1" w:rsidR="00EB410E" w:rsidRDefault="00345023" w:rsidP="00EB410E">
      <w:pPr>
        <w:jc w:val="both"/>
        <w:rPr>
          <w:lang w:val="en-GB"/>
        </w:rPr>
      </w:pPr>
      <w:bookmarkStart w:id="1" w:name="Proposal_Pattern_Length"/>
      <w:r>
        <w:rPr>
          <w:lang w:val="en-GB"/>
        </w:rPr>
        <w:t>This d</w:t>
      </w:r>
      <w:r w:rsidR="00F67BF3">
        <w:rPr>
          <w:lang w:val="en-GB"/>
        </w:rPr>
        <w:t xml:space="preserve">ocument </w:t>
      </w:r>
      <w:r w:rsidR="00AB741D">
        <w:rPr>
          <w:lang w:val="en-GB"/>
        </w:rPr>
        <w:t>provide</w:t>
      </w:r>
      <w:r w:rsidR="008D7E51">
        <w:rPr>
          <w:lang w:val="en-GB"/>
        </w:rPr>
        <w:t>s</w:t>
      </w:r>
      <w:r w:rsidR="00AB741D">
        <w:rPr>
          <w:lang w:val="en-GB"/>
        </w:rPr>
        <w:t xml:space="preserve"> further details to consider on how to specify UE’s handling of configured features with different support between TN and NTN considering </w:t>
      </w:r>
      <w:r w:rsidR="009E5938">
        <w:rPr>
          <w:lang w:val="en-GB"/>
        </w:rPr>
        <w:t xml:space="preserve">RAN2#121 </w:t>
      </w:r>
      <w:r w:rsidR="008D7E51">
        <w:rPr>
          <w:lang w:val="en-GB"/>
        </w:rPr>
        <w:t>agreements and discussion.</w:t>
      </w:r>
    </w:p>
    <w:p w14:paraId="79A42B9D" w14:textId="77777777" w:rsidR="00EB410E" w:rsidRDefault="00EB410E" w:rsidP="00562570">
      <w:pPr>
        <w:pStyle w:val="Heading1"/>
      </w:pPr>
      <w:r>
        <w:t>Discussion</w:t>
      </w:r>
    </w:p>
    <w:p w14:paraId="2E50E8BA" w14:textId="75E3543B" w:rsidR="00EB410E" w:rsidRDefault="008D7E51" w:rsidP="00EB410E">
      <w:pPr>
        <w:jc w:val="both"/>
      </w:pPr>
      <w:r>
        <w:t xml:space="preserve">The following was agreed during RAN2#121 on expected UE behaviour </w:t>
      </w:r>
      <w:r w:rsidR="00184C28">
        <w:t>when a configured feature has different UE support between NTN and TN:</w:t>
      </w:r>
    </w:p>
    <w:p w14:paraId="432581F7" w14:textId="1CF72E20" w:rsidR="008D7E51" w:rsidRPr="008D7E51" w:rsidRDefault="008D7E51" w:rsidP="008D7E51">
      <w:pPr>
        <w:pStyle w:val="ListParagraph"/>
        <w:numPr>
          <w:ilvl w:val="0"/>
          <w:numId w:val="15"/>
        </w:numPr>
        <w:rPr>
          <w:i/>
          <w:iCs/>
        </w:rPr>
      </w:pPr>
      <w:r w:rsidRPr="008D7E51">
        <w:rPr>
          <w:i/>
          <w:iCs/>
        </w:rPr>
        <w:t xml:space="preserve">RAN2 confirms that </w:t>
      </w:r>
      <w:r w:rsidRPr="00184C28">
        <w:rPr>
          <w:b/>
          <w:bCs/>
          <w:i/>
          <w:iCs/>
        </w:rPr>
        <w:t>UE should only use/apply configurations of a given feature when UE supports the feature</w:t>
      </w:r>
      <w:r w:rsidRPr="008D7E51">
        <w:rPr>
          <w:i/>
          <w:iCs/>
        </w:rPr>
        <w:t xml:space="preserve"> in the corresponding cell in which UE is camping, connecting, or resuming to</w:t>
      </w:r>
    </w:p>
    <w:p w14:paraId="3F1682E1" w14:textId="5ACB7C17" w:rsidR="00596403" w:rsidRPr="00596403" w:rsidRDefault="00951BB4" w:rsidP="00596403">
      <w:pPr>
        <w:jc w:val="both"/>
      </w:pPr>
      <w:r>
        <w:t>T</w:t>
      </w:r>
      <w:r w:rsidR="00890FC8">
        <w:t xml:space="preserve">he preference </w:t>
      </w:r>
      <w:r>
        <w:t xml:space="preserve">during RAN2#121 meeting discussion was </w:t>
      </w:r>
      <w:r w:rsidR="00890FC8">
        <w:t xml:space="preserve">to only clarify UE behaviour via </w:t>
      </w:r>
      <w:r>
        <w:t>a</w:t>
      </w:r>
      <w:r w:rsidR="00890FC8">
        <w:t xml:space="preserve"> NOTE </w:t>
      </w:r>
      <w:r w:rsidR="00596403">
        <w:t>captured on TS 38.331</w:t>
      </w:r>
      <w:r w:rsidR="00DF463D">
        <w:t xml:space="preserve"> </w:t>
      </w:r>
      <w:r w:rsidR="00596403">
        <w:t>during the “</w:t>
      </w:r>
      <w:r w:rsidR="00596403" w:rsidRPr="00596403">
        <w:t>Acquisition of MIB and SIB1</w:t>
      </w:r>
      <w:r w:rsidR="00596403">
        <w:t>”</w:t>
      </w:r>
      <w:r w:rsidR="000B3587">
        <w:t xml:space="preserve">. </w:t>
      </w:r>
      <w:r>
        <w:t xml:space="preserve">During </w:t>
      </w:r>
      <w:r w:rsidRPr="00951BB4">
        <w:t>[POST121][102]</w:t>
      </w:r>
      <w:r>
        <w:t xml:space="preserve"> email discussion, the following is the last version under consideration:</w:t>
      </w:r>
    </w:p>
    <w:p w14:paraId="5DA7C176" w14:textId="7F8267A1" w:rsidR="00596403" w:rsidRPr="00DF463D" w:rsidRDefault="00596403" w:rsidP="00DF463D">
      <w:pPr>
        <w:ind w:left="360"/>
        <w:rPr>
          <w:i/>
          <w:iCs/>
        </w:rPr>
      </w:pPr>
      <w:r w:rsidRPr="00DF463D">
        <w:rPr>
          <w:i/>
          <w:iCs/>
        </w:rPr>
        <w:t>“NOTE 3: UE in RRC_INACTIVE ignores RRC configurations in suspendConfig related to any un-supported feature in this cell upon TN-NTN cell reselection ”</w:t>
      </w:r>
    </w:p>
    <w:p w14:paraId="69CBB640" w14:textId="31EDAB75" w:rsidR="000E5052" w:rsidRDefault="002418B0" w:rsidP="00EB410E">
      <w:pPr>
        <w:jc w:val="both"/>
      </w:pPr>
      <w:r>
        <w:t>D</w:t>
      </w:r>
      <w:r w:rsidR="00951BB4">
        <w:t xml:space="preserve">uring </w:t>
      </w:r>
      <w:r w:rsidR="00951BB4" w:rsidRPr="00951BB4">
        <w:t>[POST121][102]</w:t>
      </w:r>
      <w:r w:rsidR="00951BB4">
        <w:t xml:space="preserve"> email discussion, few companies raised concerns that </w:t>
      </w:r>
      <w:r w:rsidR="005C3DCA">
        <w:t xml:space="preserve">this kind of note </w:t>
      </w:r>
      <w:r w:rsidR="00C608CE">
        <w:t>might not be sufficient to correctly capture UE expected behaviour</w:t>
      </w:r>
      <w:r w:rsidR="0027349A">
        <w:t xml:space="preserve"> </w:t>
      </w:r>
      <w:r w:rsidR="005C3DCA">
        <w:t xml:space="preserve">for eDRX </w:t>
      </w:r>
      <w:r w:rsidR="00C608CE">
        <w:t>while</w:t>
      </w:r>
      <w:r w:rsidR="00F841B0">
        <w:t xml:space="preserve"> majority of companies seem to share the view that the</w:t>
      </w:r>
      <w:r w:rsidR="008742E4">
        <w:t xml:space="preserve"> </w:t>
      </w:r>
      <w:r w:rsidR="005C3DCA">
        <w:t xml:space="preserve">SDT </w:t>
      </w:r>
      <w:r w:rsidR="008742E4">
        <w:t>behaviour is</w:t>
      </w:r>
      <w:r w:rsidR="005C3DCA">
        <w:t xml:space="preserve"> clear </w:t>
      </w:r>
      <w:r w:rsidR="008742E4">
        <w:t xml:space="preserve">from the current specification text </w:t>
      </w:r>
      <w:r w:rsidR="005C3DCA">
        <w:t>on the initiation of SDT.</w:t>
      </w:r>
      <w:r>
        <w:t xml:space="preserve"> However, in our understanding</w:t>
      </w:r>
      <w:r w:rsidR="00CD60ED">
        <w:t>, UE’s handling of the stored</w:t>
      </w:r>
      <w:r w:rsidR="00F841B0">
        <w:t>/available</w:t>
      </w:r>
      <w:r w:rsidR="00CD60ED">
        <w:t xml:space="preserve"> configuration is applicable to any of the features </w:t>
      </w:r>
      <w:r w:rsidR="008B7AE8">
        <w:t xml:space="preserve">(currently eDRX and SDT) </w:t>
      </w:r>
      <w:r w:rsidR="00CD60ED">
        <w:t xml:space="preserve">that it is used by UE while in RRC_INACTIVE </w:t>
      </w:r>
      <w:r w:rsidR="00E10AED">
        <w:t xml:space="preserve">and </w:t>
      </w:r>
      <w:r w:rsidR="008B7AE8">
        <w:t xml:space="preserve">is </w:t>
      </w:r>
      <w:r w:rsidR="00E10AED">
        <w:t>currently</w:t>
      </w:r>
      <w:r w:rsidR="008B7AE8">
        <w:t xml:space="preserve"> unclear </w:t>
      </w:r>
      <w:r w:rsidR="00CD60ED">
        <w:t xml:space="preserve">as </w:t>
      </w:r>
      <w:r w:rsidR="00CD60ED" w:rsidDel="008B7AE8">
        <w:t xml:space="preserve">it </w:t>
      </w:r>
      <w:r w:rsidR="00CD60ED">
        <w:t xml:space="preserve">was explained in </w:t>
      </w:r>
      <w:r w:rsidR="00CD60ED">
        <w:fldChar w:fldCharType="begin"/>
      </w:r>
      <w:r w:rsidR="00CD60ED">
        <w:instrText xml:space="preserve"> REF _Ref131190901 \r \h </w:instrText>
      </w:r>
      <w:r w:rsidR="00CD60ED">
        <w:fldChar w:fldCharType="separate"/>
      </w:r>
      <w:r w:rsidR="00CD60ED">
        <w:t>[1]</w:t>
      </w:r>
      <w:r w:rsidR="00CD60ED">
        <w:fldChar w:fldCharType="end"/>
      </w:r>
      <w:r w:rsidR="00CD60ED">
        <w:t xml:space="preserve">. </w:t>
      </w:r>
      <w:r w:rsidR="008B7AE8">
        <w:t>I</w:t>
      </w:r>
      <w:r w:rsidR="00BB4DF2">
        <w:t>n summary, a UE in RRC_INACTIVE configured with eDRX and SDT and with</w:t>
      </w:r>
      <w:r w:rsidR="00C91463">
        <w:t xml:space="preserve"> corresponding different </w:t>
      </w:r>
      <w:r w:rsidR="00E10AED">
        <w:t>capability</w:t>
      </w:r>
      <w:r w:rsidR="00C91463">
        <w:t xml:space="preserve"> support in TN/NTN </w:t>
      </w:r>
      <w:r w:rsidR="008B7AE8">
        <w:t xml:space="preserve">is equally </w:t>
      </w:r>
      <w:r w:rsidR="00C91463">
        <w:t>an issue</w:t>
      </w:r>
      <w:r w:rsidR="008B7AE8">
        <w:t xml:space="preserve"> for both SDT and eDRX</w:t>
      </w:r>
      <w:r w:rsidR="00C91463">
        <w:t xml:space="preserve">. </w:t>
      </w:r>
    </w:p>
    <w:p w14:paraId="49345B73" w14:textId="389DD23A" w:rsidR="00071943" w:rsidRPr="00A517B5" w:rsidRDefault="00071943" w:rsidP="00071943">
      <w:pPr>
        <w:pStyle w:val="ListParagraph"/>
        <w:numPr>
          <w:ilvl w:val="0"/>
          <w:numId w:val="8"/>
        </w:numPr>
        <w:jc w:val="both"/>
      </w:pPr>
      <w:r>
        <w:t>For SDT, when a UE is configured with SDT and all other conditions are met (i.e.</w:t>
      </w:r>
      <w:r w:rsidR="00320B6C">
        <w:t>,</w:t>
      </w:r>
      <w:r>
        <w:t xml:space="preserve"> cell supports SDT, upper layers trigger resume, UL data is available in a RB configured for SDT and lower layer conditions are fulfilled), TS 38.331 defines that the UE </w:t>
      </w:r>
      <w:r w:rsidR="00F41882">
        <w:t xml:space="preserve">shall </w:t>
      </w:r>
      <w:r>
        <w:t>initiate resume proc. for SDT (as shown below).</w:t>
      </w:r>
      <w:r w:rsidR="00F41882">
        <w:t xml:space="preserve"> There is no mention of UE support</w:t>
      </w:r>
      <w:r w:rsidR="00186243">
        <w:t xml:space="preserve"> for SDT</w:t>
      </w:r>
      <w:r w:rsidR="00F41882">
        <w:t>:</w:t>
      </w:r>
    </w:p>
    <w:p w14:paraId="6271708E" w14:textId="77777777" w:rsidR="00071943" w:rsidRPr="0016120E" w:rsidRDefault="00071943" w:rsidP="00071943">
      <w:pPr>
        <w:ind w:left="892"/>
        <w:rPr>
          <w:b/>
          <w:bCs/>
          <w:lang w:val="en-GB"/>
        </w:rPr>
      </w:pPr>
      <w:bookmarkStart w:id="2" w:name="_Toc124712694"/>
      <w:bookmarkStart w:id="3" w:name="_Hlk85563926"/>
      <w:r w:rsidRPr="0016120E">
        <w:rPr>
          <w:b/>
          <w:bCs/>
          <w:lang w:val="en-GB"/>
        </w:rPr>
        <w:t>5.3.13.1b</w:t>
      </w:r>
      <w:r w:rsidRPr="0016120E">
        <w:rPr>
          <w:b/>
          <w:bCs/>
          <w:lang w:val="en-GB"/>
        </w:rPr>
        <w:tab/>
        <w:t>Conditions for initiating SDT</w:t>
      </w:r>
      <w:bookmarkEnd w:id="2"/>
    </w:p>
    <w:bookmarkEnd w:id="3"/>
    <w:p w14:paraId="34F7E6A1" w14:textId="77777777" w:rsidR="00071943" w:rsidRPr="0016120E" w:rsidRDefault="00071943" w:rsidP="00071943">
      <w:pPr>
        <w:spacing w:after="0"/>
        <w:ind w:left="978"/>
        <w:jc w:val="both"/>
        <w:rPr>
          <w:lang w:val="en-GB"/>
        </w:rPr>
      </w:pPr>
      <w:r w:rsidRPr="0016120E">
        <w:rPr>
          <w:lang w:val="en-GB"/>
        </w:rPr>
        <w:t xml:space="preserve">A UE in RRC_INACTIVE </w:t>
      </w:r>
      <w:r w:rsidRPr="00071943">
        <w:rPr>
          <w:highlight w:val="yellow"/>
          <w:lang w:val="en-GB"/>
        </w:rPr>
        <w:t>initiates the resume procedure for SDT</w:t>
      </w:r>
      <w:r w:rsidRPr="0016120E">
        <w:rPr>
          <w:lang w:val="en-GB"/>
        </w:rPr>
        <w:t xml:space="preserve"> when </w:t>
      </w:r>
      <w:r w:rsidRPr="00071943">
        <w:rPr>
          <w:highlight w:val="yellow"/>
          <w:lang w:val="en-GB"/>
        </w:rPr>
        <w:t>all of the following conditions are fulfilled</w:t>
      </w:r>
      <w:r w:rsidRPr="0016120E">
        <w:rPr>
          <w:lang w:val="en-GB"/>
        </w:rPr>
        <w:t>:</w:t>
      </w:r>
    </w:p>
    <w:p w14:paraId="25578FAC" w14:textId="1C78F747" w:rsidR="00071943" w:rsidRPr="0016120E" w:rsidRDefault="00071943" w:rsidP="00071943">
      <w:pPr>
        <w:spacing w:after="0"/>
        <w:ind w:left="1252"/>
        <w:jc w:val="both"/>
        <w:rPr>
          <w:lang w:val="en-GB"/>
        </w:rPr>
      </w:pPr>
      <w:r w:rsidRPr="0016120E">
        <w:rPr>
          <w:lang w:val="en-GB"/>
        </w:rPr>
        <w:t>1&gt;</w:t>
      </w:r>
      <w:r w:rsidR="00B810D6">
        <w:rPr>
          <w:lang w:val="en-GB"/>
        </w:rPr>
        <w:t xml:space="preserve">   </w:t>
      </w:r>
      <w:r w:rsidRPr="0016120E">
        <w:rPr>
          <w:lang w:val="en-GB"/>
        </w:rPr>
        <w:t>the upper layers request resumption of RRC connection; and</w:t>
      </w:r>
    </w:p>
    <w:p w14:paraId="2B2F8384" w14:textId="3EB1B119" w:rsidR="00071943" w:rsidRPr="0016120E" w:rsidRDefault="00071943" w:rsidP="00071943">
      <w:pPr>
        <w:spacing w:after="0"/>
        <w:ind w:left="1252"/>
        <w:jc w:val="both"/>
        <w:rPr>
          <w:lang w:val="en-GB"/>
        </w:rPr>
      </w:pPr>
      <w:r w:rsidRPr="0016120E">
        <w:rPr>
          <w:lang w:val="en-GB"/>
        </w:rPr>
        <w:t>1&gt;</w:t>
      </w:r>
      <w:r w:rsidR="00B810D6">
        <w:rPr>
          <w:lang w:val="en-GB"/>
        </w:rPr>
        <w:t xml:space="preserve">   </w:t>
      </w:r>
      <w:r w:rsidRPr="0016120E">
        <w:rPr>
          <w:i/>
          <w:iCs/>
          <w:lang w:val="en-GB"/>
        </w:rPr>
        <w:t>SIB1</w:t>
      </w:r>
      <w:r w:rsidRPr="0016120E">
        <w:rPr>
          <w:lang w:val="en-GB"/>
        </w:rPr>
        <w:t xml:space="preserve"> includes </w:t>
      </w:r>
      <w:r w:rsidRPr="0016120E">
        <w:rPr>
          <w:i/>
          <w:iCs/>
          <w:lang w:val="en-GB"/>
        </w:rPr>
        <w:t>sdt-ConfigCommon</w:t>
      </w:r>
      <w:r w:rsidRPr="0016120E">
        <w:rPr>
          <w:lang w:val="en-GB"/>
        </w:rPr>
        <w:t>; and</w:t>
      </w:r>
    </w:p>
    <w:p w14:paraId="58D5241C" w14:textId="2E48CB13" w:rsidR="00071943" w:rsidRPr="0016120E" w:rsidRDefault="00071943" w:rsidP="00071943">
      <w:pPr>
        <w:spacing w:after="0"/>
        <w:ind w:left="1252"/>
        <w:jc w:val="both"/>
        <w:rPr>
          <w:lang w:val="en-GB"/>
        </w:rPr>
      </w:pPr>
      <w:r w:rsidRPr="00B810D6">
        <w:rPr>
          <w:highlight w:val="yellow"/>
          <w:lang w:val="en-GB"/>
        </w:rPr>
        <w:t>1&gt;</w:t>
      </w:r>
      <w:r w:rsidR="00B810D6" w:rsidRPr="00B810D6">
        <w:rPr>
          <w:highlight w:val="yellow"/>
          <w:lang w:val="en-GB"/>
        </w:rPr>
        <w:t xml:space="preserve">   </w:t>
      </w:r>
      <w:r w:rsidRPr="00B810D6">
        <w:rPr>
          <w:i/>
          <w:iCs/>
          <w:highlight w:val="yellow"/>
          <w:lang w:val="en-GB"/>
        </w:rPr>
        <w:t>sdt-Config</w:t>
      </w:r>
      <w:r w:rsidRPr="00B810D6">
        <w:rPr>
          <w:highlight w:val="yellow"/>
          <w:lang w:val="en-GB"/>
        </w:rPr>
        <w:t xml:space="preserve"> is configured; and</w:t>
      </w:r>
    </w:p>
    <w:p w14:paraId="6BC07799" w14:textId="23290065" w:rsidR="00071943" w:rsidRPr="0016120E" w:rsidRDefault="00071943" w:rsidP="000719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1252"/>
        <w:jc w:val="both"/>
        <w:rPr>
          <w:lang w:val="en-GB"/>
        </w:rPr>
      </w:pPr>
      <w:r w:rsidRPr="0016120E">
        <w:rPr>
          <w:lang w:val="en-GB"/>
        </w:rPr>
        <w:t>1&gt;</w:t>
      </w:r>
      <w:r w:rsidR="00B810D6">
        <w:rPr>
          <w:lang w:val="en-GB"/>
        </w:rPr>
        <w:t xml:space="preserve">   </w:t>
      </w:r>
      <w:r w:rsidRPr="0016120E">
        <w:rPr>
          <w:lang w:val="en-GB"/>
        </w:rPr>
        <w:t>all the pending data in UL is mapped to the radio bearers configured for SDT; and</w:t>
      </w:r>
    </w:p>
    <w:p w14:paraId="51B92796" w14:textId="77BD2EED" w:rsidR="00071943" w:rsidRPr="0016120E" w:rsidRDefault="00071943" w:rsidP="00071943">
      <w:pPr>
        <w:spacing w:after="0"/>
        <w:ind w:left="1252"/>
        <w:jc w:val="both"/>
        <w:rPr>
          <w:lang w:val="en-GB"/>
        </w:rPr>
      </w:pPr>
      <w:r w:rsidRPr="0016120E">
        <w:rPr>
          <w:lang w:val="en-GB"/>
        </w:rPr>
        <w:t>1&gt;</w:t>
      </w:r>
      <w:r w:rsidR="00B810D6">
        <w:rPr>
          <w:lang w:val="en-GB"/>
        </w:rPr>
        <w:t xml:space="preserve">   </w:t>
      </w:r>
      <w:r w:rsidRPr="0016120E">
        <w:rPr>
          <w:lang w:val="en-GB"/>
        </w:rPr>
        <w:t>lower layers indicate that conditions for initiating SDT as specified in TS 38.321 [3] are fulfilled.</w:t>
      </w:r>
    </w:p>
    <w:p w14:paraId="47307AD6" w14:textId="77777777" w:rsidR="00071943" w:rsidRPr="0016120E" w:rsidRDefault="00071943" w:rsidP="00071943">
      <w:pPr>
        <w:ind w:left="978"/>
        <w:jc w:val="both"/>
        <w:rPr>
          <w:lang w:val="en-GB"/>
        </w:rPr>
      </w:pPr>
      <w:r w:rsidRPr="0016120E">
        <w:rPr>
          <w:lang w:val="en-GB"/>
        </w:rPr>
        <w:t>NOTE:</w:t>
      </w:r>
      <w:r w:rsidRPr="0016120E">
        <w:rPr>
          <w:lang w:val="en-GB"/>
        </w:rPr>
        <w:tab/>
        <w:t>How the UE determines that all pending data in UL is mapped to radio bearers configured for SDT is left to UE implementation.</w:t>
      </w:r>
    </w:p>
    <w:p w14:paraId="4D702612" w14:textId="2370135B" w:rsidR="00071943" w:rsidRDefault="00071943" w:rsidP="00EB410E">
      <w:pPr>
        <w:pStyle w:val="ListParagraph"/>
        <w:numPr>
          <w:ilvl w:val="0"/>
          <w:numId w:val="8"/>
        </w:numPr>
        <w:jc w:val="both"/>
      </w:pPr>
      <w:r>
        <w:lastRenderedPageBreak/>
        <w:t xml:space="preserve">For </w:t>
      </w:r>
      <w:r w:rsidR="00CE3634">
        <w:t xml:space="preserve">INACTIVE </w:t>
      </w:r>
      <w:r>
        <w:t xml:space="preserve">eDRX, </w:t>
      </w:r>
      <w:r w:rsidR="00085B41">
        <w:t xml:space="preserve">when UE is configured with </w:t>
      </w:r>
      <w:r w:rsidR="00652173">
        <w:t xml:space="preserve">INACTIVE </w:t>
      </w:r>
      <w:r w:rsidR="00085B41">
        <w:t>eDRX and move</w:t>
      </w:r>
      <w:r w:rsidR="00186243">
        <w:t>s</w:t>
      </w:r>
      <w:r w:rsidR="00085B41">
        <w:t xml:space="preserve"> to a cell </w:t>
      </w:r>
      <w:r w:rsidR="00F75996">
        <w:t>in which the UE</w:t>
      </w:r>
      <w:r w:rsidR="00085B41">
        <w:t xml:space="preserve"> does not support</w:t>
      </w:r>
      <w:r w:rsidR="00F75996">
        <w:t xml:space="preserve"> </w:t>
      </w:r>
      <w:r w:rsidR="00652173">
        <w:t xml:space="preserve">this </w:t>
      </w:r>
      <w:r w:rsidR="00F75996">
        <w:t>eDRX</w:t>
      </w:r>
      <w:r w:rsidR="00085B41">
        <w:t>,</w:t>
      </w:r>
      <w:r w:rsidR="00F75996">
        <w:t xml:space="preserve"> </w:t>
      </w:r>
      <w:r w:rsidR="00480D4E">
        <w:t xml:space="preserve">according to the spec, </w:t>
      </w:r>
      <w:r w:rsidR="00F75996">
        <w:t>the</w:t>
      </w:r>
      <w:r w:rsidR="00085B41">
        <w:t xml:space="preserve"> UE </w:t>
      </w:r>
      <w:r w:rsidR="00AD7900">
        <w:t>currently continues</w:t>
      </w:r>
      <w:r w:rsidR="00085B41">
        <w:t xml:space="preserve"> </w:t>
      </w:r>
      <w:r w:rsidR="00F75996">
        <w:t xml:space="preserve">operating </w:t>
      </w:r>
      <w:r w:rsidR="00AD7900">
        <w:t>wit</w:t>
      </w:r>
      <w:r w:rsidR="006B5F3C">
        <w:t>h</w:t>
      </w:r>
      <w:r w:rsidR="00F75996">
        <w:t xml:space="preserve"> </w:t>
      </w:r>
      <w:r w:rsidR="00303C52">
        <w:t>this</w:t>
      </w:r>
      <w:r w:rsidR="00F75996">
        <w:t xml:space="preserve"> </w:t>
      </w:r>
      <w:r w:rsidR="00085B41">
        <w:t>eDRX</w:t>
      </w:r>
      <w:r w:rsidR="006B5F3C">
        <w:t xml:space="preserve"> (i.e. UE continues monitoring paging based on INACTIVE eDRX, assuming that the cell allows the usage of it)</w:t>
      </w:r>
      <w:r w:rsidR="0083530D">
        <w:t xml:space="preserve">. </w:t>
      </w:r>
      <w:r w:rsidR="00224788">
        <w:t xml:space="preserve">This is not desirable </w:t>
      </w:r>
      <w:r w:rsidR="00480D4E">
        <w:t xml:space="preserve">there is a mismatch between UE configuration and UE’s actual behaviour </w:t>
      </w:r>
      <w:r w:rsidR="00224788">
        <w:t xml:space="preserve">as UE </w:t>
      </w:r>
      <w:r w:rsidR="00480D4E">
        <w:t>will</w:t>
      </w:r>
      <w:r w:rsidR="00224788">
        <w:t xml:space="preserve"> not operate in eDRX if the UE does not support the feature on the corresponding cell, as previously explained. Moreover i</w:t>
      </w:r>
      <w:r w:rsidR="0083530D">
        <w:t xml:space="preserve">f </w:t>
      </w:r>
      <w:r w:rsidR="00224788">
        <w:t>UE’s expected</w:t>
      </w:r>
      <w:r w:rsidR="0083530D">
        <w:t xml:space="preserve"> operation is not well defined</w:t>
      </w:r>
      <w:r w:rsidR="00FF6833">
        <w:t xml:space="preserve"> for the scenario under discussion</w:t>
      </w:r>
      <w:r w:rsidR="0083530D">
        <w:t xml:space="preserve">, </w:t>
      </w:r>
      <w:r w:rsidR="00224788">
        <w:t xml:space="preserve">the </w:t>
      </w:r>
      <w:r w:rsidR="00FF6833">
        <w:t>DRX cycle (</w:t>
      </w:r>
      <w:r w:rsidR="00F75996">
        <w:t>T</w:t>
      </w:r>
      <w:r w:rsidR="00FF6833">
        <w:t>)</w:t>
      </w:r>
      <w:r w:rsidR="00F75996">
        <w:t xml:space="preserve"> used </w:t>
      </w:r>
      <w:r w:rsidR="00FF6833">
        <w:t>to</w:t>
      </w:r>
      <w:r w:rsidR="00303C52">
        <w:t xml:space="preserve"> pag</w:t>
      </w:r>
      <w:r w:rsidR="00FF6833">
        <w:t>e a UE</w:t>
      </w:r>
      <w:r w:rsidR="00303C52">
        <w:t xml:space="preserve"> by gNB </w:t>
      </w:r>
      <w:r w:rsidR="005079BD">
        <w:t>c</w:t>
      </w:r>
      <w:r w:rsidR="00303C52">
        <w:t>ould</w:t>
      </w:r>
      <w:r w:rsidR="005079BD">
        <w:t xml:space="preserve"> be different than the one used by </w:t>
      </w:r>
      <w:r w:rsidR="00FF6833">
        <w:t xml:space="preserve">this </w:t>
      </w:r>
      <w:r w:rsidR="005079BD">
        <w:t>UE</w:t>
      </w:r>
      <w:r w:rsidR="00FF6833">
        <w:t>s</w:t>
      </w:r>
      <w:r w:rsidR="005079BD">
        <w:t xml:space="preserve"> </w:t>
      </w:r>
      <w:r w:rsidR="00FF6833">
        <w:t>when</w:t>
      </w:r>
      <w:r w:rsidR="005079BD">
        <w:t xml:space="preserve"> </w:t>
      </w:r>
      <w:r w:rsidR="00F75996">
        <w:t>monitor</w:t>
      </w:r>
      <w:r w:rsidR="00FF6833">
        <w:t>ing</w:t>
      </w:r>
      <w:r w:rsidR="00F75996">
        <w:t xml:space="preserve"> paging</w:t>
      </w:r>
      <w:r w:rsidR="002C0087">
        <w:t>)</w:t>
      </w:r>
      <w:r w:rsidR="00F75996">
        <w:t>.</w:t>
      </w:r>
    </w:p>
    <w:p w14:paraId="3DF2D538" w14:textId="6F74FDC2" w:rsidR="00825886" w:rsidRDefault="00825886" w:rsidP="00825886">
      <w:pPr>
        <w:pStyle w:val="observ"/>
        <w:ind w:left="360"/>
      </w:pPr>
      <w:bookmarkStart w:id="4" w:name="_Toc131454440"/>
      <w:bookmarkStart w:id="5" w:name="_Toc131496682"/>
      <w:bookmarkStart w:id="6" w:name="_Toc131454474"/>
      <w:bookmarkStart w:id="7" w:name="_Toc131496716"/>
      <w:bookmarkStart w:id="8" w:name="_Toc131454475"/>
      <w:bookmarkStart w:id="9" w:name="_Toc131496717"/>
      <w:bookmarkStart w:id="10" w:name="_Toc131454476"/>
      <w:bookmarkStart w:id="11" w:name="_Toc131496718"/>
      <w:bookmarkStart w:id="12" w:name="_Toc131454477"/>
      <w:bookmarkStart w:id="13" w:name="_Toc131496719"/>
      <w:bookmarkStart w:id="14" w:name="_Toc131501530"/>
      <w:bookmarkStart w:id="15" w:name="_Toc131197828"/>
      <w:bookmarkStart w:id="16" w:name="_Toc131709565"/>
      <w:bookmarkEnd w:id="4"/>
      <w:bookmarkEnd w:id="5"/>
      <w:bookmarkEnd w:id="6"/>
      <w:bookmarkEnd w:id="7"/>
      <w:bookmarkEnd w:id="8"/>
      <w:bookmarkEnd w:id="9"/>
      <w:bookmarkEnd w:id="10"/>
      <w:bookmarkEnd w:id="11"/>
      <w:r>
        <w:t>In c</w:t>
      </w:r>
      <w:r w:rsidRPr="004C5F75">
        <w:t>urrent specification</w:t>
      </w:r>
      <w:r>
        <w:t>,</w:t>
      </w:r>
      <w:r w:rsidRPr="004C5F75">
        <w:t xml:space="preserve"> the UE</w:t>
      </w:r>
      <w:r>
        <w:t xml:space="preserve"> in RRC_INACTIVE</w:t>
      </w:r>
      <w:r w:rsidRPr="004C5F75">
        <w:t xml:space="preserve"> is expected to initiate SDT </w:t>
      </w:r>
      <w:r w:rsidR="00224F74">
        <w:t xml:space="preserve">or operate in eDRX in the same way – that is, </w:t>
      </w:r>
      <w:r w:rsidRPr="004C5F75">
        <w:t>when</w:t>
      </w:r>
      <w:r>
        <w:t xml:space="preserve"> UE is</w:t>
      </w:r>
      <w:r w:rsidRPr="004C5F75">
        <w:t xml:space="preserve"> configured with SDT</w:t>
      </w:r>
      <w:r w:rsidR="00224F74">
        <w:t>/eDRX</w:t>
      </w:r>
      <w:r w:rsidRPr="004C5F75">
        <w:t xml:space="preserve"> and the conditions for SDT</w:t>
      </w:r>
      <w:r w:rsidR="00224F74">
        <w:t xml:space="preserve">/eDRX </w:t>
      </w:r>
      <w:r>
        <w:t>are</w:t>
      </w:r>
      <w:r w:rsidRPr="004C5F75">
        <w:t xml:space="preserve"> met</w:t>
      </w:r>
      <w:r w:rsidR="00F809F3">
        <w:t>. T</w:t>
      </w:r>
      <w:r>
        <w:t xml:space="preserve">here is no check </w:t>
      </w:r>
      <w:r w:rsidR="00E356B5">
        <w:t xml:space="preserve">in the current specification </w:t>
      </w:r>
      <w:r>
        <w:t>on whether UE supports SDT</w:t>
      </w:r>
      <w:r w:rsidR="00224F74">
        <w:t xml:space="preserve">/eDRX </w:t>
      </w:r>
      <w:r>
        <w:t xml:space="preserve"> in current cell.</w:t>
      </w:r>
      <w:bookmarkEnd w:id="12"/>
      <w:bookmarkEnd w:id="13"/>
      <w:bookmarkEnd w:id="14"/>
      <w:bookmarkEnd w:id="16"/>
    </w:p>
    <w:p w14:paraId="5ADEAD67" w14:textId="7FFA607A" w:rsidR="00F75996" w:rsidRPr="00A517B5" w:rsidRDefault="00F75996" w:rsidP="00F75996">
      <w:pPr>
        <w:pStyle w:val="observ"/>
        <w:ind w:left="360"/>
      </w:pPr>
      <w:bookmarkStart w:id="17" w:name="_Toc131281271"/>
      <w:bookmarkStart w:id="18" w:name="_Toc131454478"/>
      <w:bookmarkStart w:id="19" w:name="_Toc131496720"/>
      <w:bookmarkStart w:id="20" w:name="_Toc131501531"/>
      <w:bookmarkStart w:id="21" w:name="_Toc131709566"/>
      <w:r>
        <w:t xml:space="preserve">When a UE in RRC_INACTIVE is configured with SDT and eDRX and moves to a new cell in which the UE does not support the corresponding features, </w:t>
      </w:r>
      <w:r w:rsidR="00C83D98">
        <w:t xml:space="preserve">RAN2 specification should be updated </w:t>
      </w:r>
      <w:r w:rsidR="005D0F19">
        <w:t xml:space="preserve">to </w:t>
      </w:r>
      <w:r w:rsidR="00BF0562">
        <w:t>ignore</w:t>
      </w:r>
      <w:r w:rsidR="005D0F19">
        <w:t xml:space="preserve"> (i.e., </w:t>
      </w:r>
      <w:r w:rsidR="00C83D98">
        <w:t xml:space="preserve">consider </w:t>
      </w:r>
      <w:r w:rsidR="005D0F19">
        <w:t xml:space="preserve">as not configured) </w:t>
      </w:r>
      <w:r w:rsidR="00C83D98">
        <w:t xml:space="preserve">the corresponding configuration </w:t>
      </w:r>
      <w:r w:rsidR="005D0F19">
        <w:t>already</w:t>
      </w:r>
      <w:r w:rsidR="00C83D98">
        <w:t xml:space="preserve"> available in UE</w:t>
      </w:r>
      <w:bookmarkEnd w:id="15"/>
      <w:r w:rsidR="001558B7">
        <w:t xml:space="preserve"> (i.e.</w:t>
      </w:r>
      <w:r w:rsidR="009968D7">
        <w:t>,</w:t>
      </w:r>
      <w:r w:rsidR="001558B7">
        <w:t xml:space="preserve"> previously configured to the UE in a different cell</w:t>
      </w:r>
      <w:bookmarkEnd w:id="17"/>
      <w:r w:rsidR="009F505E">
        <w:t xml:space="preserve"> in which UE supported the corresponding feature</w:t>
      </w:r>
      <w:r w:rsidR="001558B7">
        <w:t>)</w:t>
      </w:r>
      <w:r w:rsidRPr="00A517B5">
        <w:t>.</w:t>
      </w:r>
      <w:bookmarkEnd w:id="18"/>
      <w:bookmarkEnd w:id="19"/>
      <w:bookmarkEnd w:id="20"/>
      <w:bookmarkEnd w:id="21"/>
    </w:p>
    <w:p w14:paraId="7AF4C8B2" w14:textId="61B442A1" w:rsidR="00DB032D" w:rsidRDefault="00E2790E" w:rsidP="00EB410E">
      <w:pPr>
        <w:jc w:val="both"/>
      </w:pPr>
      <w:r>
        <w:t>For l</w:t>
      </w:r>
      <w:r w:rsidR="00C83D98">
        <w:t>egacy</w:t>
      </w:r>
      <w:r>
        <w:t xml:space="preserve"> NR operation, </w:t>
      </w:r>
      <w:r w:rsidR="005F599D">
        <w:t xml:space="preserve">the UE behaviour when it </w:t>
      </w:r>
      <w:r w:rsidR="009F505E">
        <w:t>receives</w:t>
      </w:r>
      <w:r>
        <w:t xml:space="preserve"> an invalid configuration </w:t>
      </w:r>
      <w:r w:rsidR="005F599D">
        <w:t>is specified</w:t>
      </w:r>
      <w:r>
        <w:t xml:space="preserve"> as part of TS</w:t>
      </w:r>
      <w:r w:rsidR="00C83D98">
        <w:t xml:space="preserve"> 38.331</w:t>
      </w:r>
      <w:r w:rsidR="009F505E">
        <w:t xml:space="preserve">, </w:t>
      </w:r>
      <w:r w:rsidR="005369D5">
        <w:t xml:space="preserve">for example as part of </w:t>
      </w:r>
      <w:r w:rsidR="00847B05">
        <w:t>§</w:t>
      </w:r>
      <w:r w:rsidRPr="00E2790E">
        <w:t>5.3.5.8  Reconfiguration failure</w:t>
      </w:r>
      <w:r>
        <w:t xml:space="preserve">, and </w:t>
      </w:r>
      <w:r w:rsidR="0029508A">
        <w:t>§</w:t>
      </w:r>
      <w:r w:rsidR="001B7C84" w:rsidRPr="001B7C84">
        <w:t>5.3.13.11  Inability to comply with RRCResume</w:t>
      </w:r>
      <w:r w:rsidR="001B7C84">
        <w:t xml:space="preserve">. For the </w:t>
      </w:r>
      <w:r w:rsidR="00A13A36">
        <w:t>Reconfiguration failure, UE shall initiate</w:t>
      </w:r>
      <w:r w:rsidR="001B7C84" w:rsidRPr="001B7C84">
        <w:t xml:space="preserve"> </w:t>
      </w:r>
      <w:r w:rsidR="00A13A36">
        <w:t>reestablishment procedure and for the</w:t>
      </w:r>
      <w:r w:rsidR="00993A9E">
        <w:t xml:space="preserve"> inability to comply with </w:t>
      </w:r>
      <w:r w:rsidR="00993A9E" w:rsidRPr="00993A9E">
        <w:rPr>
          <w:i/>
          <w:iCs/>
        </w:rPr>
        <w:t>RRCResume</w:t>
      </w:r>
      <w:r w:rsidR="00993A9E">
        <w:t>, UE shall transition into RRC_IDLE and trigger a failure of the resume</w:t>
      </w:r>
      <w:r w:rsidR="00D27EE2">
        <w:t>, as shown below</w:t>
      </w:r>
      <w:r w:rsidR="00993A9E">
        <w:t>.</w:t>
      </w:r>
    </w:p>
    <w:p w14:paraId="6558E081" w14:textId="3441EB60" w:rsidR="001056A6" w:rsidRPr="00562570" w:rsidRDefault="001056A6" w:rsidP="001B7C84">
      <w:pPr>
        <w:spacing w:after="60"/>
        <w:ind w:left="720"/>
        <w:jc w:val="both"/>
        <w:rPr>
          <w:b/>
          <w:i/>
        </w:rPr>
      </w:pPr>
      <w:r w:rsidRPr="00562570">
        <w:rPr>
          <w:b/>
          <w:i/>
        </w:rPr>
        <w:t>5.3.5.8.2  Inability to comply with RRCReconfiguration</w:t>
      </w:r>
    </w:p>
    <w:p w14:paraId="076EDF0F" w14:textId="5AA6BDF4" w:rsidR="001056A6" w:rsidRPr="00562570" w:rsidRDefault="001056A6" w:rsidP="001B7C84">
      <w:pPr>
        <w:spacing w:after="60"/>
        <w:ind w:left="720"/>
        <w:jc w:val="both"/>
        <w:rPr>
          <w:i/>
        </w:rPr>
      </w:pPr>
      <w:r w:rsidRPr="00562570">
        <w:rPr>
          <w:i/>
        </w:rPr>
        <w:t>…</w:t>
      </w:r>
    </w:p>
    <w:p w14:paraId="07C3EE18" w14:textId="484514DA" w:rsidR="00BE6A5C" w:rsidRPr="00562570" w:rsidRDefault="00BE6A5C" w:rsidP="001B7C84">
      <w:pPr>
        <w:spacing w:after="60"/>
        <w:ind w:left="720"/>
        <w:jc w:val="both"/>
        <w:rPr>
          <w:i/>
        </w:rPr>
      </w:pPr>
      <w:r w:rsidRPr="00562570">
        <w:rPr>
          <w:i/>
        </w:rPr>
        <w:t xml:space="preserve">2&gt; else, if the UE is unable to comply with (part of) the configuration included in the RRCReconfiguration message received over SRB1; </w:t>
      </w:r>
    </w:p>
    <w:p w14:paraId="0291D4C8" w14:textId="77777777" w:rsidR="00BE6A5C" w:rsidRPr="00562570" w:rsidRDefault="00BE6A5C" w:rsidP="001B7C84">
      <w:pPr>
        <w:spacing w:after="60"/>
        <w:ind w:left="1440"/>
        <w:jc w:val="both"/>
        <w:rPr>
          <w:i/>
        </w:rPr>
      </w:pPr>
      <w:r w:rsidRPr="00562570">
        <w:rPr>
          <w:i/>
        </w:rPr>
        <w:t xml:space="preserve">3&gt; if the RRCReconfiguration message was received as part of ConditionalReconfiguration: </w:t>
      </w:r>
    </w:p>
    <w:p w14:paraId="28298505" w14:textId="2165D7ED" w:rsidR="00BE6A5C" w:rsidRPr="00562570" w:rsidRDefault="00BE6A5C" w:rsidP="001B7C84">
      <w:pPr>
        <w:spacing w:after="60"/>
        <w:ind w:left="2160"/>
        <w:jc w:val="both"/>
        <w:rPr>
          <w:i/>
        </w:rPr>
      </w:pPr>
      <w:r w:rsidRPr="00562570">
        <w:rPr>
          <w:i/>
        </w:rPr>
        <w:t xml:space="preserve">4&gt; continue using the configuration used prior to when the inability to comply with the RRCReconfiguration message was detected; </w:t>
      </w:r>
    </w:p>
    <w:p w14:paraId="5BE0DFDD" w14:textId="77777777" w:rsidR="00BE6A5C" w:rsidRPr="00562570" w:rsidRDefault="00BE6A5C" w:rsidP="001B7C84">
      <w:pPr>
        <w:spacing w:after="60"/>
        <w:ind w:left="1440"/>
        <w:jc w:val="both"/>
        <w:rPr>
          <w:i/>
        </w:rPr>
      </w:pPr>
      <w:r w:rsidRPr="00562570">
        <w:rPr>
          <w:i/>
        </w:rPr>
        <w:t xml:space="preserve">3&gt; else: </w:t>
      </w:r>
    </w:p>
    <w:p w14:paraId="5CF91353" w14:textId="77777777" w:rsidR="00BE6A5C" w:rsidRPr="00562570" w:rsidRDefault="00BE6A5C" w:rsidP="001B7C84">
      <w:pPr>
        <w:spacing w:after="60"/>
        <w:ind w:left="2160"/>
        <w:jc w:val="both"/>
        <w:rPr>
          <w:i/>
        </w:rPr>
      </w:pPr>
      <w:r w:rsidRPr="00562570">
        <w:rPr>
          <w:i/>
        </w:rPr>
        <w:t xml:space="preserve">4&gt; continue using the configuration used prior to the reception of RRCReconfiguration message; </w:t>
      </w:r>
    </w:p>
    <w:p w14:paraId="7D6D45A5" w14:textId="17269A2B" w:rsidR="00C51C63" w:rsidRPr="00562570" w:rsidRDefault="00BE6A5C" w:rsidP="001B7C84">
      <w:pPr>
        <w:spacing w:after="60"/>
        <w:ind w:left="1440"/>
        <w:jc w:val="both"/>
        <w:rPr>
          <w:i/>
        </w:rPr>
      </w:pPr>
      <w:r w:rsidRPr="00562570">
        <w:rPr>
          <w:i/>
        </w:rPr>
        <w:t xml:space="preserve">3&gt; </w:t>
      </w:r>
      <w:r w:rsidRPr="00562570">
        <w:rPr>
          <w:i/>
          <w:highlight w:val="yellow"/>
        </w:rPr>
        <w:t>initiate the connection re-establishment procedure</w:t>
      </w:r>
      <w:r w:rsidRPr="00562570">
        <w:rPr>
          <w:i/>
        </w:rPr>
        <w:t xml:space="preserve"> as specified in TS 36.331 [10], clause 5.3.7, upon which the connection reconfiguration procedure ends.</w:t>
      </w:r>
    </w:p>
    <w:p w14:paraId="5F1602A0" w14:textId="71249700" w:rsidR="001056A6" w:rsidRPr="00562570" w:rsidRDefault="001056A6" w:rsidP="001B7C84">
      <w:pPr>
        <w:ind w:left="720"/>
        <w:jc w:val="both"/>
        <w:rPr>
          <w:i/>
        </w:rPr>
      </w:pPr>
      <w:r w:rsidRPr="00562570">
        <w:rPr>
          <w:i/>
        </w:rPr>
        <w:t>….</w:t>
      </w:r>
    </w:p>
    <w:p w14:paraId="78318F1E" w14:textId="48FDA9B1" w:rsidR="00C51C63" w:rsidRPr="00562570" w:rsidRDefault="00C51C63" w:rsidP="00D71204">
      <w:pPr>
        <w:spacing w:after="60"/>
        <w:ind w:left="720"/>
        <w:rPr>
          <w:b/>
          <w:i/>
        </w:rPr>
      </w:pPr>
      <w:r w:rsidRPr="00562570">
        <w:rPr>
          <w:b/>
          <w:i/>
        </w:rPr>
        <w:t xml:space="preserve">5.3.13.11  Inability to comply with RRCResume </w:t>
      </w:r>
    </w:p>
    <w:p w14:paraId="204C7360" w14:textId="77777777" w:rsidR="00C51C63" w:rsidRPr="00562570" w:rsidRDefault="00C51C63" w:rsidP="00D71204">
      <w:pPr>
        <w:spacing w:after="60"/>
        <w:ind w:left="720"/>
        <w:rPr>
          <w:i/>
        </w:rPr>
      </w:pPr>
      <w:r w:rsidRPr="00562570">
        <w:rPr>
          <w:i/>
        </w:rPr>
        <w:t xml:space="preserve">The UE shall: </w:t>
      </w:r>
    </w:p>
    <w:p w14:paraId="2FF2FEEB" w14:textId="77777777" w:rsidR="00C51C63" w:rsidRPr="00562570" w:rsidRDefault="00C51C63" w:rsidP="00D71204">
      <w:pPr>
        <w:spacing w:after="60"/>
        <w:ind w:left="720"/>
        <w:rPr>
          <w:i/>
        </w:rPr>
      </w:pPr>
      <w:r w:rsidRPr="00562570">
        <w:rPr>
          <w:i/>
        </w:rPr>
        <w:t xml:space="preserve">1&gt; if the UE is unable to comply with (part of) the configuration included in the RRCResume message; </w:t>
      </w:r>
    </w:p>
    <w:p w14:paraId="4A78EB1A" w14:textId="307765EB" w:rsidR="00C51C63" w:rsidRPr="00562570" w:rsidRDefault="00C51C63" w:rsidP="00D71204">
      <w:pPr>
        <w:spacing w:after="60"/>
        <w:ind w:left="1440"/>
        <w:rPr>
          <w:i/>
        </w:rPr>
      </w:pPr>
      <w:r w:rsidRPr="00562570">
        <w:rPr>
          <w:i/>
        </w:rPr>
        <w:t xml:space="preserve">2&gt; perform the </w:t>
      </w:r>
      <w:r w:rsidRPr="00562570">
        <w:rPr>
          <w:i/>
          <w:highlight w:val="yellow"/>
        </w:rPr>
        <w:t>actions upon going to RRC_IDLE as specified in 5.3.11 with release cause ‘RRC Resume failure</w:t>
      </w:r>
      <w:r w:rsidRPr="00562570">
        <w:rPr>
          <w:rFonts w:hint="eastAsia"/>
          <w:i/>
          <w:highlight w:val="yellow"/>
        </w:rPr>
        <w:t>′</w:t>
      </w:r>
      <w:r w:rsidRPr="00562570">
        <w:rPr>
          <w:i/>
          <w:highlight w:val="yellow"/>
        </w:rPr>
        <w:t>.</w:t>
      </w:r>
      <w:r w:rsidRPr="00562570">
        <w:rPr>
          <w:i/>
        </w:rPr>
        <w:t xml:space="preserve"> </w:t>
      </w:r>
    </w:p>
    <w:p w14:paraId="00B45FA9" w14:textId="1CCBB8EB" w:rsidR="00C51C63" w:rsidRPr="00562570" w:rsidRDefault="00C51C63" w:rsidP="00D71204">
      <w:pPr>
        <w:spacing w:after="60"/>
        <w:ind w:left="720"/>
        <w:rPr>
          <w:i/>
        </w:rPr>
      </w:pPr>
      <w:r w:rsidRPr="00562570">
        <w:rPr>
          <w:i/>
        </w:rPr>
        <w:t xml:space="preserve">NOTE 1:  The UE may apply above failure handling also in case the RRCResume message causes a protocol error for which the generic error handling as defined in 10 specifies that the UE shall ignore the message. </w:t>
      </w:r>
    </w:p>
    <w:p w14:paraId="31C62BB5" w14:textId="3B9B385F" w:rsidR="00C51C63" w:rsidRPr="00562570" w:rsidRDefault="00C51C63" w:rsidP="00D71204">
      <w:pPr>
        <w:ind w:left="720"/>
        <w:rPr>
          <w:i/>
        </w:rPr>
      </w:pPr>
      <w:r w:rsidRPr="00562570">
        <w:rPr>
          <w:i/>
        </w:rPr>
        <w:t>NOTE 2:  If the UE is unable to comply with part of the configuration, it does not apply any part of the configuration, i.e. there is no partial success/failure.</w:t>
      </w:r>
    </w:p>
    <w:p w14:paraId="44D50850" w14:textId="70959CA4" w:rsidR="00247B1D" w:rsidRDefault="002E3E14" w:rsidP="00EB410E">
      <w:pPr>
        <w:pStyle w:val="observ"/>
        <w:ind w:left="360"/>
      </w:pPr>
      <w:bookmarkStart w:id="22" w:name="_Toc131197829"/>
      <w:bookmarkStart w:id="23" w:name="_Toc131281272"/>
      <w:bookmarkStart w:id="24" w:name="_Toc131454479"/>
      <w:bookmarkStart w:id="25" w:name="_Toc131496721"/>
      <w:bookmarkStart w:id="26" w:name="_Toc131501532"/>
      <w:bookmarkStart w:id="27" w:name="_Toc131709567"/>
      <w:r>
        <w:t xml:space="preserve">Legacy 38.331 already defines the following </w:t>
      </w:r>
      <w:r w:rsidR="00D27EE2">
        <w:t xml:space="preserve">UE’s </w:t>
      </w:r>
      <w:r w:rsidR="0029508A">
        <w:t xml:space="preserve">behaviour if </w:t>
      </w:r>
      <w:r>
        <w:t xml:space="preserve">UE </w:t>
      </w:r>
      <w:r w:rsidR="0029508A">
        <w:t xml:space="preserve">cannot comply with </w:t>
      </w:r>
      <w:r w:rsidR="00D27EE2">
        <w:t>a</w:t>
      </w:r>
      <w:r w:rsidR="0029508A">
        <w:t xml:space="preserve"> </w:t>
      </w:r>
      <w:r>
        <w:t>configuration</w:t>
      </w:r>
      <w:r w:rsidDel="0029508A">
        <w:t xml:space="preserve"> </w:t>
      </w:r>
      <w:r w:rsidR="00D27EE2">
        <w:t>provided to UE for</w:t>
      </w:r>
      <w:r>
        <w:t xml:space="preserve">: case 1) </w:t>
      </w:r>
      <w:r w:rsidR="00D27EE2">
        <w:t>during reconfiguration (</w:t>
      </w:r>
      <w:r w:rsidR="002971E3">
        <w:t>defined</w:t>
      </w:r>
      <w:r w:rsidR="00AF67B8">
        <w:t xml:space="preserve"> as</w:t>
      </w:r>
      <w:r w:rsidR="00D27EE2">
        <w:t xml:space="preserve"> </w:t>
      </w:r>
      <w:r>
        <w:t>a</w:t>
      </w:r>
      <w:r w:rsidR="00247B1D">
        <w:t xml:space="preserve"> </w:t>
      </w:r>
      <w:r w:rsidR="00892ADF">
        <w:t xml:space="preserve">failure in </w:t>
      </w:r>
      <w:r w:rsidR="00247B1D">
        <w:t>Reconfiguration</w:t>
      </w:r>
      <w:r w:rsidR="00892ADF">
        <w:t xml:space="preserve"> message</w:t>
      </w:r>
      <w:r w:rsidR="00D27EE2">
        <w:t>)</w:t>
      </w:r>
      <w:r w:rsidR="00247B1D">
        <w:t>, UE shall initiate</w:t>
      </w:r>
      <w:r w:rsidR="00247B1D" w:rsidRPr="001B7C84">
        <w:t xml:space="preserve"> </w:t>
      </w:r>
      <w:r w:rsidR="00247B1D">
        <w:t xml:space="preserve">reestablishment procedure and </w:t>
      </w:r>
      <w:r w:rsidR="00E333E0">
        <w:t xml:space="preserve">case 2) </w:t>
      </w:r>
      <w:r w:rsidR="00AF67B8">
        <w:t xml:space="preserve">upon reception of </w:t>
      </w:r>
      <w:r w:rsidR="00AF67B8" w:rsidRPr="00562570">
        <w:rPr>
          <w:i/>
          <w:iCs/>
        </w:rPr>
        <w:t>RRCResume</w:t>
      </w:r>
      <w:r w:rsidR="00AF67B8">
        <w:t xml:space="preserve"> (</w:t>
      </w:r>
      <w:r w:rsidR="002971E3">
        <w:t xml:space="preserve">defined as </w:t>
      </w:r>
      <w:r w:rsidR="00247B1D">
        <w:t xml:space="preserve">the inability to comply with </w:t>
      </w:r>
      <w:r w:rsidR="00247B1D" w:rsidRPr="00993A9E">
        <w:rPr>
          <w:i/>
          <w:iCs/>
        </w:rPr>
        <w:t>RRCResume</w:t>
      </w:r>
      <w:r w:rsidR="00892ADF">
        <w:rPr>
          <w:i/>
          <w:iCs/>
        </w:rPr>
        <w:t xml:space="preserve"> </w:t>
      </w:r>
      <w:r w:rsidR="00892ADF">
        <w:t>configuration</w:t>
      </w:r>
      <w:r w:rsidR="002971E3">
        <w:t>)</w:t>
      </w:r>
      <w:r w:rsidR="00247B1D">
        <w:t>, UE shall transition into RRC_IDLE and trigger a failure of the resume</w:t>
      </w:r>
      <w:bookmarkEnd w:id="22"/>
      <w:bookmarkEnd w:id="23"/>
      <w:bookmarkEnd w:id="24"/>
      <w:bookmarkEnd w:id="25"/>
      <w:bookmarkEnd w:id="26"/>
      <w:bookmarkEnd w:id="27"/>
    </w:p>
    <w:p w14:paraId="7A89D33E" w14:textId="402C4E7B" w:rsidR="00892ADF" w:rsidRDefault="00CE0952" w:rsidP="00C75975">
      <w:pPr>
        <w:spacing w:after="100"/>
        <w:jc w:val="both"/>
      </w:pPr>
      <w:r>
        <w:lastRenderedPageBreak/>
        <w:t>Legacy</w:t>
      </w:r>
      <w:r w:rsidR="00892ADF">
        <w:t xml:space="preserve"> check and UE behaviour </w:t>
      </w:r>
      <w:r>
        <w:t>is</w:t>
      </w:r>
      <w:r w:rsidR="00892ADF">
        <w:t xml:space="preserve"> executed at the time of </w:t>
      </w:r>
      <w:r w:rsidR="00892ADF" w:rsidRPr="00562570">
        <w:t xml:space="preserve">the reception of the messages as there was no scenario previously where the UE will be unable to comply with the configuration </w:t>
      </w:r>
      <w:r w:rsidRPr="00562570">
        <w:t>provided by network</w:t>
      </w:r>
      <w:r w:rsidR="00892ADF" w:rsidRPr="00562570">
        <w:t xml:space="preserve"> at a later time. </w:t>
      </w:r>
      <w:r w:rsidRPr="00562570">
        <w:t>In Rel-17 NTN, w</w:t>
      </w:r>
      <w:r w:rsidR="00892ADF" w:rsidRPr="00562570">
        <w:t>hen the UE capability changes due to mobility</w:t>
      </w:r>
      <w:r w:rsidRPr="00562570">
        <w:t xml:space="preserve"> between TN and NTN</w:t>
      </w:r>
      <w:r w:rsidR="00892ADF" w:rsidRPr="00562570">
        <w:t xml:space="preserve">, </w:t>
      </w:r>
      <w:r w:rsidRPr="00562570">
        <w:t>new</w:t>
      </w:r>
      <w:r w:rsidR="00892ADF" w:rsidRPr="00562570">
        <w:t xml:space="preserve"> failure scenarios can be triggered at the time of </w:t>
      </w:r>
      <w:r w:rsidR="00072ED8" w:rsidRPr="00562570">
        <w:t>mobility</w:t>
      </w:r>
      <w:r w:rsidRPr="00562570">
        <w:t xml:space="preserve"> across </w:t>
      </w:r>
      <w:r w:rsidR="00542D3F" w:rsidRPr="00562570">
        <w:t>different kind of networks</w:t>
      </w:r>
      <w:r w:rsidR="00072ED8" w:rsidRPr="00562570">
        <w:t xml:space="preserve">.  </w:t>
      </w:r>
      <w:r w:rsidR="00542D3F" w:rsidRPr="00562570">
        <w:t xml:space="preserve">RAN2 could discuss whether to enable </w:t>
      </w:r>
      <w:r w:rsidR="00E86072" w:rsidRPr="00562570">
        <w:t>UE behaviour similar to previous handling during RRC_CONNECTED, i.e.</w:t>
      </w:r>
      <w:r w:rsidR="00072ED8" w:rsidRPr="00562570">
        <w:t xml:space="preserve"> </w:t>
      </w:r>
      <w:r w:rsidR="00A73E6C" w:rsidRPr="005D305F">
        <w:t xml:space="preserve">define a new </w:t>
      </w:r>
      <w:r w:rsidR="00072ED8" w:rsidRPr="005D305F">
        <w:t xml:space="preserve">UE </w:t>
      </w:r>
      <w:r w:rsidR="00A73E6C" w:rsidRPr="005D305F">
        <w:t xml:space="preserve">behaviour </w:t>
      </w:r>
      <w:r w:rsidR="00072ED8" w:rsidRPr="005D305F">
        <w:t>at the</w:t>
      </w:r>
      <w:r w:rsidR="00072ED8" w:rsidRPr="00562570">
        <w:t xml:space="preserve"> time of </w:t>
      </w:r>
      <w:r w:rsidR="00BB1674" w:rsidRPr="00562570">
        <w:t>the</w:t>
      </w:r>
      <w:r w:rsidR="00072ED8" w:rsidRPr="00562570">
        <w:t xml:space="preserve"> mobility </w:t>
      </w:r>
      <w:r w:rsidR="00E86072" w:rsidRPr="00562570">
        <w:t>between TN and NTN</w:t>
      </w:r>
      <w:r w:rsidR="00072ED8" w:rsidRPr="00562570">
        <w:t xml:space="preserve"> due to </w:t>
      </w:r>
      <w:r w:rsidR="00E86072" w:rsidRPr="00562570">
        <w:t>the</w:t>
      </w:r>
      <w:r w:rsidR="00072ED8" w:rsidRPr="00562570">
        <w:t xml:space="preserve"> inability to comply with </w:t>
      </w:r>
      <w:r w:rsidR="00BB1674" w:rsidRPr="00562570">
        <w:t>any</w:t>
      </w:r>
      <w:r w:rsidR="00072ED8" w:rsidRPr="00562570">
        <w:t xml:space="preserve"> configuration</w:t>
      </w:r>
      <w:r w:rsidR="00BB1674" w:rsidRPr="00562570">
        <w:t>(</w:t>
      </w:r>
      <w:r w:rsidR="00072ED8" w:rsidRPr="00562570">
        <w:t>s</w:t>
      </w:r>
      <w:r w:rsidR="00BB1674" w:rsidRPr="00562570">
        <w:t>)</w:t>
      </w:r>
      <w:r w:rsidR="00E86072" w:rsidRPr="00562570">
        <w:t xml:space="preserve"> available in the UE</w:t>
      </w:r>
      <w:r w:rsidR="00072ED8" w:rsidRPr="00562570">
        <w:t>.</w:t>
      </w:r>
      <w:r w:rsidR="00774E34" w:rsidRPr="00562570">
        <w:t xml:space="preserve"> However</w:t>
      </w:r>
      <w:r w:rsidR="00BB1674" w:rsidRPr="00562570">
        <w:t>,</w:t>
      </w:r>
      <w:r w:rsidR="00774E34" w:rsidRPr="00562570">
        <w:t xml:space="preserve"> this did not seem preferable by majority of companies</w:t>
      </w:r>
      <w:r w:rsidR="00561AD7" w:rsidRPr="00562570">
        <w:t xml:space="preserve"> that prefer not to handle it as an error scenario </w:t>
      </w:r>
      <w:r w:rsidR="00FD5B6A" w:rsidRPr="00562570">
        <w:t>that moves the UE to RRC_IDLE.  Companies preferred instead that UE behaves as though</w:t>
      </w:r>
      <w:r w:rsidR="00561AD7" w:rsidRPr="00562570">
        <w:t xml:space="preserve"> </w:t>
      </w:r>
      <w:r w:rsidR="00FD5B6A" w:rsidRPr="00562570">
        <w:t>the features</w:t>
      </w:r>
      <w:r w:rsidR="00561AD7" w:rsidRPr="00562570">
        <w:t xml:space="preserve"> were</w:t>
      </w:r>
      <w:r w:rsidR="00561AD7">
        <w:t xml:space="preserve"> not configured by the network as UE was already using it in the cell that provided them (via </w:t>
      </w:r>
      <w:r w:rsidR="00561AD7" w:rsidRPr="00562570">
        <w:rPr>
          <w:i/>
          <w:iCs/>
        </w:rPr>
        <w:t>RRCRelease</w:t>
      </w:r>
      <w:r w:rsidR="00561AD7">
        <w:t xml:space="preserve"> msg).</w:t>
      </w:r>
    </w:p>
    <w:p w14:paraId="26B162A1" w14:textId="76408398" w:rsidR="00072ED8" w:rsidRDefault="00F36278" w:rsidP="00562570">
      <w:pPr>
        <w:pStyle w:val="observ"/>
        <w:ind w:left="360"/>
      </w:pPr>
      <w:bookmarkStart w:id="28" w:name="_Toc131454480"/>
      <w:bookmarkStart w:id="29" w:name="_Toc131496722"/>
      <w:bookmarkStart w:id="30" w:name="_Toc131501533"/>
      <w:bookmarkStart w:id="31" w:name="_Toc131709568"/>
      <w:r>
        <w:t>For</w:t>
      </w:r>
      <w:r w:rsidR="00E872FB">
        <w:t xml:space="preserve"> the new </w:t>
      </w:r>
      <w:r>
        <w:t xml:space="preserve">TN/NTN </w:t>
      </w:r>
      <w:r w:rsidR="00E872FB">
        <w:t>failure scenarios (due to UE mobility between TN and NTN while in RRC_INACTIVE configured with eDRX/SDT and with different UE capability support for them between TN and NTN)</w:t>
      </w:r>
      <w:r>
        <w:t xml:space="preserve">, RAN2 preference was </w:t>
      </w:r>
      <w:r w:rsidRPr="00562570">
        <w:rPr>
          <w:u w:val="single"/>
        </w:rPr>
        <w:t>not</w:t>
      </w:r>
      <w:r>
        <w:t xml:space="preserve"> to h</w:t>
      </w:r>
      <w:r w:rsidR="00E872FB">
        <w:t>andle</w:t>
      </w:r>
      <w:r>
        <w:t xml:space="preserve"> them</w:t>
      </w:r>
      <w:r w:rsidR="00E872FB">
        <w:t xml:space="preserve"> similar</w:t>
      </w:r>
      <w:r w:rsidR="00D45132">
        <w:t>ly</w:t>
      </w:r>
      <w:r w:rsidR="00E872FB">
        <w:t xml:space="preserve"> to legacy failure </w:t>
      </w:r>
      <w:r>
        <w:t>when a</w:t>
      </w:r>
      <w:r w:rsidR="00D45132">
        <w:t xml:space="preserve"> UE </w:t>
      </w:r>
      <w:r w:rsidR="00E872FB">
        <w:t>t</w:t>
      </w:r>
      <w:r w:rsidR="00D45132">
        <w:t>o comply with a new configuration provided via RRCReconfiguration or RRCResume</w:t>
      </w:r>
      <w:r w:rsidR="00561AD7">
        <w:t xml:space="preserve"> as these eDRX/SDT configurations were used by UE in RRC_INACTIVE at least in the last cell UE was RRC_CONNECTED (i.e. in which UE received the last RRCRelease msg with the corresponding eDRX/SDT configurations)</w:t>
      </w:r>
      <w:r w:rsidR="00072ED8">
        <w:t>.</w:t>
      </w:r>
      <w:bookmarkEnd w:id="28"/>
      <w:bookmarkEnd w:id="29"/>
      <w:bookmarkEnd w:id="30"/>
      <w:bookmarkEnd w:id="31"/>
    </w:p>
    <w:p w14:paraId="6FB0F83B" w14:textId="19646A01" w:rsidR="00247B1D" w:rsidRDefault="00793F05" w:rsidP="00C75975">
      <w:pPr>
        <w:spacing w:after="100"/>
        <w:jc w:val="both"/>
      </w:pPr>
      <w:r>
        <w:t xml:space="preserve">Considering RAN2 </w:t>
      </w:r>
      <w:r w:rsidR="00F03478">
        <w:t>agreement above</w:t>
      </w:r>
      <w:r w:rsidR="00072ED8">
        <w:t xml:space="preserve"> from R</w:t>
      </w:r>
      <w:r w:rsidR="00596960">
        <w:t>AN</w:t>
      </w:r>
      <w:r w:rsidR="00072ED8">
        <w:t>2</w:t>
      </w:r>
      <w:r w:rsidR="00596960">
        <w:t>#</w:t>
      </w:r>
      <w:r w:rsidR="00072ED8">
        <w:t>121</w:t>
      </w:r>
      <w:r w:rsidR="00F03478">
        <w:t xml:space="preserve">, the simplest </w:t>
      </w:r>
      <w:r w:rsidR="004844FE">
        <w:t xml:space="preserve">way to address both the issue with the UE behaviour during INACTIVE and the failure handling could be </w:t>
      </w:r>
      <w:r w:rsidR="00F03478">
        <w:t xml:space="preserve">to define a new section that specify UE behaviour when a configuration becomes invalid while in RRC_INACTIVE. </w:t>
      </w:r>
      <w:r w:rsidR="00922336">
        <w:t>A new section</w:t>
      </w:r>
      <w:r w:rsidR="005E159D">
        <w:t xml:space="preserve"> could be defined</w:t>
      </w:r>
      <w:r w:rsidR="00C75975">
        <w:t>, for example as follow</w:t>
      </w:r>
      <w:r w:rsidR="004844FE">
        <w:t>s</w:t>
      </w:r>
      <w:r w:rsidR="005E159D">
        <w:t>:</w:t>
      </w:r>
    </w:p>
    <w:p w14:paraId="7E3B999F" w14:textId="3514F4F8" w:rsidR="005E159D" w:rsidRPr="00C75975" w:rsidRDefault="00AE31A0" w:rsidP="005E159D">
      <w:pPr>
        <w:spacing w:after="60"/>
        <w:ind w:left="720"/>
        <w:rPr>
          <w:b/>
          <w:bCs/>
          <w:color w:val="C00000"/>
          <w:u w:val="single"/>
        </w:rPr>
      </w:pPr>
      <w:r w:rsidRPr="00C75975">
        <w:rPr>
          <w:b/>
          <w:bCs/>
          <w:color w:val="C00000"/>
          <w:u w:val="single"/>
        </w:rPr>
        <w:t>x.y.</w:t>
      </w:r>
      <w:r w:rsidR="00922336" w:rsidRPr="00C75975">
        <w:rPr>
          <w:b/>
          <w:bCs/>
          <w:color w:val="C00000"/>
          <w:u w:val="single"/>
        </w:rPr>
        <w:t>z</w:t>
      </w:r>
      <w:r w:rsidR="005E159D" w:rsidRPr="00C75975">
        <w:rPr>
          <w:b/>
          <w:bCs/>
          <w:color w:val="C00000"/>
          <w:u w:val="single"/>
        </w:rPr>
        <w:t xml:space="preserve"> </w:t>
      </w:r>
      <w:bookmarkStart w:id="32" w:name="_Hlk131197213"/>
      <w:r w:rsidR="005E159D" w:rsidRPr="00C75975">
        <w:rPr>
          <w:b/>
          <w:bCs/>
          <w:color w:val="C00000"/>
          <w:u w:val="single"/>
        </w:rPr>
        <w:t xml:space="preserve">Inability to comply with </w:t>
      </w:r>
      <w:r w:rsidR="00D37A93" w:rsidRPr="00C75975">
        <w:rPr>
          <w:b/>
          <w:bCs/>
          <w:color w:val="C00000"/>
          <w:u w:val="single"/>
        </w:rPr>
        <w:t xml:space="preserve">a configuration </w:t>
      </w:r>
      <w:r w:rsidR="00AB0ABE">
        <w:rPr>
          <w:b/>
          <w:bCs/>
          <w:color w:val="C00000"/>
          <w:u w:val="single"/>
        </w:rPr>
        <w:t xml:space="preserve">available </w:t>
      </w:r>
      <w:r w:rsidR="00D37A93" w:rsidRPr="00C75975">
        <w:rPr>
          <w:b/>
          <w:bCs/>
          <w:color w:val="C00000"/>
          <w:u w:val="single"/>
        </w:rPr>
        <w:t>in RRC_INACTIVE</w:t>
      </w:r>
      <w:r w:rsidR="005E159D" w:rsidRPr="00C75975">
        <w:rPr>
          <w:b/>
          <w:bCs/>
          <w:color w:val="C00000"/>
          <w:u w:val="single"/>
        </w:rPr>
        <w:t xml:space="preserve"> </w:t>
      </w:r>
      <w:bookmarkEnd w:id="32"/>
    </w:p>
    <w:p w14:paraId="4F81673D" w14:textId="77777777" w:rsidR="005E159D" w:rsidRPr="00C75975" w:rsidRDefault="005E159D" w:rsidP="005E159D">
      <w:pPr>
        <w:spacing w:after="60"/>
        <w:ind w:left="720"/>
        <w:rPr>
          <w:color w:val="C00000"/>
          <w:u w:val="single"/>
        </w:rPr>
      </w:pPr>
      <w:r w:rsidRPr="00C75975">
        <w:rPr>
          <w:color w:val="C00000"/>
          <w:u w:val="single"/>
        </w:rPr>
        <w:t xml:space="preserve">The UE shall: </w:t>
      </w:r>
    </w:p>
    <w:p w14:paraId="32628061" w14:textId="3C436F9F" w:rsidR="005E159D" w:rsidRPr="00C75975" w:rsidRDefault="005E159D" w:rsidP="005E159D">
      <w:pPr>
        <w:spacing w:after="60"/>
        <w:ind w:left="720"/>
        <w:rPr>
          <w:color w:val="C00000"/>
          <w:u w:val="single"/>
        </w:rPr>
      </w:pPr>
      <w:r w:rsidRPr="00C75975">
        <w:rPr>
          <w:color w:val="C00000"/>
          <w:u w:val="single"/>
        </w:rPr>
        <w:t>1&gt; if the UE</w:t>
      </w:r>
      <w:r w:rsidR="00B82422" w:rsidRPr="00C75975">
        <w:rPr>
          <w:color w:val="C00000"/>
          <w:u w:val="single"/>
        </w:rPr>
        <w:t xml:space="preserve"> in RRC_INACTIVE</w:t>
      </w:r>
      <w:r w:rsidRPr="00C75975">
        <w:rPr>
          <w:color w:val="C00000"/>
          <w:u w:val="single"/>
        </w:rPr>
        <w:t xml:space="preserve"> is unable to comply with </w:t>
      </w:r>
      <w:r w:rsidR="00922336" w:rsidRPr="00C75975">
        <w:rPr>
          <w:color w:val="C00000"/>
          <w:u w:val="single"/>
        </w:rPr>
        <w:t>a</w:t>
      </w:r>
      <w:r w:rsidRPr="00C75975">
        <w:rPr>
          <w:color w:val="C00000"/>
          <w:u w:val="single"/>
        </w:rPr>
        <w:t xml:space="preserve"> configuration</w:t>
      </w:r>
      <w:r w:rsidR="00922336" w:rsidRPr="00C75975">
        <w:rPr>
          <w:color w:val="C00000"/>
          <w:u w:val="single"/>
        </w:rPr>
        <w:t xml:space="preserve"> available or stored </w:t>
      </w:r>
      <w:r w:rsidR="00B82422" w:rsidRPr="00C75975">
        <w:rPr>
          <w:color w:val="C00000"/>
          <w:u w:val="single"/>
        </w:rPr>
        <w:t>due to</w:t>
      </w:r>
      <w:r w:rsidR="00CD151C" w:rsidRPr="00C75975">
        <w:rPr>
          <w:color w:val="C00000"/>
          <w:u w:val="single"/>
        </w:rPr>
        <w:t xml:space="preserve"> any un-supported feature in current cell upon cell reselection</w:t>
      </w:r>
      <w:r w:rsidR="00A12849">
        <w:rPr>
          <w:color w:val="C00000"/>
          <w:u w:val="single"/>
        </w:rPr>
        <w:t xml:space="preserve"> between TN and NTN</w:t>
      </w:r>
      <w:r w:rsidRPr="00C75975">
        <w:rPr>
          <w:color w:val="C00000"/>
          <w:u w:val="single"/>
        </w:rPr>
        <w:t xml:space="preserve">; </w:t>
      </w:r>
    </w:p>
    <w:p w14:paraId="07E3CE53" w14:textId="021DF6A4" w:rsidR="005E159D" w:rsidRPr="00C75975" w:rsidRDefault="005E159D" w:rsidP="00C75975">
      <w:pPr>
        <w:ind w:left="1440"/>
        <w:rPr>
          <w:color w:val="C00000"/>
          <w:u w:val="single"/>
        </w:rPr>
      </w:pPr>
      <w:r w:rsidRPr="00C75975">
        <w:rPr>
          <w:color w:val="C00000"/>
          <w:u w:val="single"/>
        </w:rPr>
        <w:t xml:space="preserve">2&gt; </w:t>
      </w:r>
      <w:r w:rsidR="00BC6100" w:rsidRPr="00C75975">
        <w:rPr>
          <w:color w:val="C00000"/>
          <w:u w:val="single"/>
        </w:rPr>
        <w:t xml:space="preserve">the corresponding configuration is ignored </w:t>
      </w:r>
      <w:r w:rsidR="00A5023E">
        <w:rPr>
          <w:color w:val="C00000"/>
          <w:u w:val="single"/>
        </w:rPr>
        <w:t xml:space="preserve">(i.e., </w:t>
      </w:r>
      <w:r w:rsidR="002C2966">
        <w:rPr>
          <w:color w:val="C00000"/>
          <w:u w:val="single"/>
        </w:rPr>
        <w:t xml:space="preserve">is </w:t>
      </w:r>
      <w:r w:rsidR="00A5023E">
        <w:rPr>
          <w:color w:val="C00000"/>
          <w:u w:val="single"/>
        </w:rPr>
        <w:t>considered as not configured)</w:t>
      </w:r>
      <w:r w:rsidR="00BC6100" w:rsidRPr="00C75975">
        <w:rPr>
          <w:color w:val="C00000"/>
          <w:u w:val="single"/>
        </w:rPr>
        <w:t xml:space="preserve"> in current cell</w:t>
      </w:r>
      <w:r w:rsidRPr="00C75975">
        <w:rPr>
          <w:color w:val="C00000"/>
          <w:u w:val="single"/>
        </w:rPr>
        <w:t xml:space="preserve">. </w:t>
      </w:r>
    </w:p>
    <w:p w14:paraId="0C032559" w14:textId="74656476" w:rsidR="00FE3B68" w:rsidRDefault="00FE3B68" w:rsidP="00EB410E">
      <w:pPr>
        <w:jc w:val="both"/>
      </w:pPr>
      <w:r>
        <w:t xml:space="preserve">The above </w:t>
      </w:r>
      <w:r w:rsidR="00CB662A">
        <w:t>suggest</w:t>
      </w:r>
      <w:r w:rsidR="00C4300D">
        <w:t>ed TP</w:t>
      </w:r>
      <w:r w:rsidR="00CB662A">
        <w:t xml:space="preserve"> is aligned to the latest version suggested for the NOTE during the </w:t>
      </w:r>
      <w:r w:rsidR="008C1B96">
        <w:t xml:space="preserve">POST </w:t>
      </w:r>
      <w:r w:rsidR="00CB662A">
        <w:t>email discussion</w:t>
      </w:r>
      <w:r w:rsidR="008C1B96">
        <w:t xml:space="preserve"> (with some minor clarifications)</w:t>
      </w:r>
      <w:r>
        <w:t xml:space="preserve"> </w:t>
      </w:r>
      <w:r w:rsidR="00330E5D">
        <w:t xml:space="preserve">considering </w:t>
      </w:r>
      <w:r>
        <w:t>some company</w:t>
      </w:r>
      <w:r w:rsidR="00330E5D">
        <w:t>’s</w:t>
      </w:r>
      <w:r>
        <w:t xml:space="preserve"> preference to have normative text</w:t>
      </w:r>
      <w:r w:rsidR="00CB662A">
        <w:t>.</w:t>
      </w:r>
      <w:r w:rsidR="00E60572">
        <w:t xml:space="preserve"> </w:t>
      </w:r>
    </w:p>
    <w:p w14:paraId="198DBE10" w14:textId="4415776E" w:rsidR="00596403" w:rsidRDefault="00232D38" w:rsidP="00EB410E">
      <w:pPr>
        <w:jc w:val="both"/>
      </w:pPr>
      <w:r>
        <w:t xml:space="preserve">In addition, RAN2 should discuss which section of TS 38.331 </w:t>
      </w:r>
      <w:r w:rsidR="00EC1240">
        <w:t>c</w:t>
      </w:r>
      <w:r>
        <w:t>ould better capture this</w:t>
      </w:r>
      <w:r w:rsidR="00EC1240">
        <w:t xml:space="preserve"> new</w:t>
      </w:r>
      <w:r>
        <w:t xml:space="preserve"> behaviour understanding that it is related to</w:t>
      </w:r>
      <w:r w:rsidR="00A15C3A">
        <w:t xml:space="preserve"> multiple aspects:</w:t>
      </w:r>
      <w:r w:rsidR="0074294B">
        <w:t xml:space="preserve"> a configuration provided via </w:t>
      </w:r>
      <w:r w:rsidR="0074294B" w:rsidRPr="00562570">
        <w:rPr>
          <w:i/>
          <w:iCs/>
        </w:rPr>
        <w:t>RRCRelease</w:t>
      </w:r>
      <w:r w:rsidR="00AC1F75">
        <w:t xml:space="preserve"> msg</w:t>
      </w:r>
      <w:r w:rsidR="0074294B">
        <w:t xml:space="preserve">, </w:t>
      </w:r>
      <w:r w:rsidR="00A15C3A">
        <w:t>a</w:t>
      </w:r>
      <w:r w:rsidR="0074294B">
        <w:t xml:space="preserve"> UE </w:t>
      </w:r>
      <w:r w:rsidR="00A15C3A">
        <w:t xml:space="preserve">supporting different UE capabilities between TN and NTN, UE </w:t>
      </w:r>
      <w:r w:rsidR="0074294B">
        <w:t>in</w:t>
      </w:r>
      <w:r>
        <w:t xml:space="preserve"> RRC_INACTIVE </w:t>
      </w:r>
      <w:r w:rsidR="0074294B">
        <w:t xml:space="preserve">moving between TN and NTN cell </w:t>
      </w:r>
      <w:r>
        <w:t>and</w:t>
      </w:r>
      <w:r w:rsidR="00CE2503">
        <w:t xml:space="preserve"> potentially even</w:t>
      </w:r>
      <w:r>
        <w:t xml:space="preserve"> </w:t>
      </w:r>
      <w:r w:rsidR="00443231">
        <w:t xml:space="preserve">next </w:t>
      </w:r>
      <w:r>
        <w:t xml:space="preserve">RRC Resume procedure. </w:t>
      </w:r>
      <w:r w:rsidR="00443231">
        <w:t xml:space="preserve">Based on </w:t>
      </w:r>
      <w:r w:rsidR="00CE2503">
        <w:t>that RAN2</w:t>
      </w:r>
      <w:r>
        <w:t xml:space="preserve"> could </w:t>
      </w:r>
      <w:r w:rsidR="00CE2503">
        <w:t>consider</w:t>
      </w:r>
      <w:r>
        <w:t xml:space="preserve"> add</w:t>
      </w:r>
      <w:r w:rsidR="00CE2503">
        <w:t>ing this new section</w:t>
      </w:r>
      <w:r>
        <w:t xml:space="preserve"> as part of</w:t>
      </w:r>
      <w:r w:rsidR="001D756B">
        <w:t xml:space="preserve"> </w:t>
      </w:r>
      <w:r w:rsidR="00AC1F75">
        <w:t>§</w:t>
      </w:r>
      <w:r w:rsidR="001D756B" w:rsidRPr="001D756B">
        <w:t>5.2.2 System information acquisition</w:t>
      </w:r>
      <w:r w:rsidR="0035734A">
        <w:t xml:space="preserve">, </w:t>
      </w:r>
      <w:r w:rsidR="00AC1F75">
        <w:t>§</w:t>
      </w:r>
      <w:r w:rsidR="0035734A" w:rsidRPr="0035734A">
        <w:t>5.3.</w:t>
      </w:r>
      <w:r w:rsidR="00744408">
        <w:t>8</w:t>
      </w:r>
      <w:r w:rsidR="0035734A" w:rsidRPr="0035734A">
        <w:t xml:space="preserve"> RRC </w:t>
      </w:r>
      <w:r w:rsidR="00744408">
        <w:t>release</w:t>
      </w:r>
      <w:r w:rsidR="00A608D5">
        <w:t xml:space="preserve">, </w:t>
      </w:r>
      <w:r w:rsidR="00AC1F75">
        <w:t>§</w:t>
      </w:r>
      <w:r w:rsidR="00A608D5" w:rsidRPr="00A608D5">
        <w:t>5.3.13 RRC connection resume</w:t>
      </w:r>
      <w:r w:rsidR="00DF42EF">
        <w:t>,</w:t>
      </w:r>
      <w:r w:rsidR="007535C7">
        <w:t xml:space="preserve"> or</w:t>
      </w:r>
      <w:r w:rsidR="00DF42EF">
        <w:t xml:space="preserve"> </w:t>
      </w:r>
      <w:r w:rsidR="00AC1F75">
        <w:t>§</w:t>
      </w:r>
      <w:r w:rsidR="00DF42EF" w:rsidRPr="00DF42EF">
        <w:t>5.6 UE capabilities</w:t>
      </w:r>
      <w:r w:rsidR="007535C7">
        <w:t>.</w:t>
      </w:r>
      <w:r w:rsidR="00955AA6">
        <w:t xml:space="preserve"> In our understanding, section </w:t>
      </w:r>
      <w:r w:rsidR="007303DA">
        <w:t>§</w:t>
      </w:r>
      <w:r w:rsidR="00955AA6" w:rsidRPr="0035734A">
        <w:t>5.3.</w:t>
      </w:r>
      <w:r w:rsidR="00955AA6">
        <w:t>8</w:t>
      </w:r>
      <w:r w:rsidR="00955AA6" w:rsidRPr="0035734A">
        <w:t xml:space="preserve"> RRC </w:t>
      </w:r>
      <w:r w:rsidR="00955AA6">
        <w:t xml:space="preserve">release might be the most appropriate as it is </w:t>
      </w:r>
      <w:r w:rsidR="00443231">
        <w:t xml:space="preserve">the </w:t>
      </w:r>
      <w:r w:rsidR="00955AA6" w:rsidRPr="00562570">
        <w:rPr>
          <w:i/>
          <w:iCs/>
        </w:rPr>
        <w:t>RRCRelease</w:t>
      </w:r>
      <w:r w:rsidR="00955AA6">
        <w:t xml:space="preserve"> message the one that convey</w:t>
      </w:r>
      <w:r w:rsidR="00443231">
        <w:t>s</w:t>
      </w:r>
      <w:r w:rsidR="00955AA6">
        <w:t xml:space="preserve"> the actual configurations used in RRC_INACTIVE that later become invalid</w:t>
      </w:r>
      <w:r w:rsidR="00443231">
        <w:t xml:space="preserve"> in the new cell</w:t>
      </w:r>
      <w:r w:rsidR="00955AA6">
        <w:t>.</w:t>
      </w:r>
    </w:p>
    <w:p w14:paraId="4F961B68" w14:textId="2F86DD74" w:rsidR="00852A9F" w:rsidRDefault="00AB0ABE" w:rsidP="00852A9F">
      <w:pPr>
        <w:pStyle w:val="Proposal"/>
        <w:numPr>
          <w:ilvl w:val="0"/>
          <w:numId w:val="4"/>
        </w:numPr>
      </w:pPr>
      <w:bookmarkStart w:id="33" w:name="_Toc131197834"/>
      <w:bookmarkStart w:id="34" w:name="_Toc131454481"/>
      <w:bookmarkStart w:id="35" w:name="_Toc131501534"/>
      <w:bookmarkStart w:id="36" w:name="_Toc131496723"/>
      <w:bookmarkStart w:id="37" w:name="_Toc131709569"/>
      <w:r>
        <w:t xml:space="preserve">A new section is created in TS 38.331 </w:t>
      </w:r>
      <w:r w:rsidR="007535C7">
        <w:t>to explain UE behaviour when it is un</w:t>
      </w:r>
      <w:r w:rsidRPr="00AB0ABE">
        <w:t>ab</w:t>
      </w:r>
      <w:r w:rsidR="004844FE">
        <w:t xml:space="preserve">le </w:t>
      </w:r>
      <w:r w:rsidRPr="00AB0ABE">
        <w:t xml:space="preserve">to comply with a configuration available </w:t>
      </w:r>
      <w:r w:rsidR="00702F10">
        <w:t xml:space="preserve">while </w:t>
      </w:r>
      <w:r w:rsidRPr="00AB0ABE">
        <w:t>in RRC_INACTIVE</w:t>
      </w:r>
      <w:r w:rsidR="00702F10">
        <w:t xml:space="preserve">. The following points </w:t>
      </w:r>
      <w:r w:rsidR="00443231">
        <w:t>are proposed for agreements</w:t>
      </w:r>
      <w:r w:rsidR="00702F10">
        <w:t>:</w:t>
      </w:r>
      <w:bookmarkEnd w:id="33"/>
      <w:bookmarkEnd w:id="34"/>
      <w:bookmarkEnd w:id="35"/>
      <w:bookmarkEnd w:id="37"/>
    </w:p>
    <w:p w14:paraId="1F0C96AD" w14:textId="4A2D2F0B" w:rsidR="00FF3B21" w:rsidRDefault="001354D3" w:rsidP="00C910F7">
      <w:pPr>
        <w:pStyle w:val="Proposal"/>
        <w:numPr>
          <w:ilvl w:val="1"/>
          <w:numId w:val="4"/>
        </w:numPr>
      </w:pPr>
      <w:bookmarkStart w:id="38" w:name="_Toc131496724"/>
      <w:bookmarkStart w:id="39" w:name="_Toc131501535"/>
      <w:bookmarkStart w:id="40" w:name="_Toc131197835"/>
      <w:bookmarkStart w:id="41" w:name="_Toc131709570"/>
      <w:bookmarkEnd w:id="36"/>
      <w:r>
        <w:t>N</w:t>
      </w:r>
      <w:r w:rsidR="00FF3B21">
        <w:t xml:space="preserve">ormative </w:t>
      </w:r>
      <w:r w:rsidR="00E03BF7">
        <w:t>TP</w:t>
      </w:r>
      <w:r w:rsidR="00FF3B21">
        <w:t xml:space="preserve"> to capture </w:t>
      </w:r>
      <w:bookmarkStart w:id="42" w:name="_Toc131454482"/>
      <w:r w:rsidR="00702F10">
        <w:t>UE</w:t>
      </w:r>
      <w:r w:rsidR="00E03BF7">
        <w:t>’s</w:t>
      </w:r>
      <w:r w:rsidR="00702F10">
        <w:t xml:space="preserve"> </w:t>
      </w:r>
      <w:r w:rsidR="00AF6A4B">
        <w:t>behaviour</w:t>
      </w:r>
      <w:r w:rsidR="00CE52AA">
        <w:t xml:space="preserve"> </w:t>
      </w:r>
      <w:r w:rsidR="00E03BF7">
        <w:t xml:space="preserve">is </w:t>
      </w:r>
      <w:r w:rsidR="00CE52AA">
        <w:t>as follow</w:t>
      </w:r>
      <w:r w:rsidR="004844FE">
        <w:t>s</w:t>
      </w:r>
      <w:r w:rsidR="00AA5FB7">
        <w:t>:</w:t>
      </w:r>
      <w:bookmarkEnd w:id="38"/>
      <w:bookmarkEnd w:id="39"/>
      <w:bookmarkEnd w:id="41"/>
      <w:r w:rsidR="00702F10">
        <w:t xml:space="preserve"> </w:t>
      </w:r>
    </w:p>
    <w:p w14:paraId="64B8595D" w14:textId="06937D53" w:rsidR="001354D3" w:rsidRDefault="001354D3" w:rsidP="001354D3">
      <w:pPr>
        <w:pStyle w:val="Proposal"/>
        <w:ind w:left="720"/>
      </w:pPr>
      <w:bookmarkStart w:id="43" w:name="_Toc131496725"/>
      <w:bookmarkStart w:id="44" w:name="_Toc131501536"/>
      <w:bookmarkStart w:id="45" w:name="_Toc131709571"/>
      <w:r w:rsidRPr="00562570">
        <w:rPr>
          <w:b/>
          <w:bCs/>
        </w:rPr>
        <w:t>x.y.z Inability to comply with a configuration available in RRC_INACTIVE</w:t>
      </w:r>
      <w:bookmarkEnd w:id="43"/>
      <w:bookmarkEnd w:id="44"/>
      <w:bookmarkEnd w:id="45"/>
      <w:r>
        <w:t xml:space="preserve"> </w:t>
      </w:r>
    </w:p>
    <w:p w14:paraId="22BA28CF" w14:textId="0F4930AF" w:rsidR="001354D3" w:rsidRDefault="001354D3" w:rsidP="00562570">
      <w:pPr>
        <w:pStyle w:val="Proposal"/>
        <w:ind w:left="720"/>
      </w:pPr>
      <w:bookmarkStart w:id="46" w:name="_Toc131496726"/>
      <w:bookmarkStart w:id="47" w:name="_Toc131501537"/>
      <w:bookmarkStart w:id="48" w:name="_Toc131709572"/>
      <w:r>
        <w:t>The UE shall:</w:t>
      </w:r>
      <w:bookmarkEnd w:id="46"/>
      <w:bookmarkEnd w:id="47"/>
      <w:bookmarkEnd w:id="48"/>
    </w:p>
    <w:p w14:paraId="4F8EA6FF" w14:textId="3C6EFBE4" w:rsidR="00FF3B21" w:rsidRDefault="008A5E53" w:rsidP="00562570">
      <w:pPr>
        <w:pStyle w:val="Proposal"/>
        <w:numPr>
          <w:ilvl w:val="0"/>
          <w:numId w:val="17"/>
        </w:numPr>
      </w:pPr>
      <w:bookmarkStart w:id="49" w:name="_Toc131496727"/>
      <w:bookmarkStart w:id="50" w:name="_Toc131501538"/>
      <w:bookmarkStart w:id="51" w:name="_Toc131709573"/>
      <w:r>
        <w:t xml:space="preserve">if the UE in RRC_INACTIVE is unable to comply with a configuration available or stored due to any un-supported feature in current cell upon </w:t>
      </w:r>
      <w:r w:rsidR="00AA5FB7">
        <w:t xml:space="preserve">cell reselection between </w:t>
      </w:r>
      <w:r>
        <w:t>TN</w:t>
      </w:r>
      <w:r w:rsidR="00AA5FB7">
        <w:t xml:space="preserve"> and </w:t>
      </w:r>
      <w:r>
        <w:t>NTN</w:t>
      </w:r>
      <w:r w:rsidR="00AA5FB7">
        <w:t>;</w:t>
      </w:r>
      <w:bookmarkEnd w:id="49"/>
      <w:bookmarkEnd w:id="50"/>
      <w:bookmarkEnd w:id="51"/>
      <w:r w:rsidR="00702F10">
        <w:t xml:space="preserve"> </w:t>
      </w:r>
    </w:p>
    <w:p w14:paraId="629C80EA" w14:textId="1D89EE7B" w:rsidR="008A5E53" w:rsidRDefault="00AF6A4B" w:rsidP="00562570">
      <w:pPr>
        <w:pStyle w:val="Proposal"/>
        <w:ind w:left="1872"/>
      </w:pPr>
      <w:bookmarkStart w:id="52" w:name="_Toc131496728"/>
      <w:bookmarkStart w:id="53" w:name="_Toc131501539"/>
      <w:bookmarkStart w:id="54" w:name="_Toc131709574"/>
      <w:r>
        <w:t xml:space="preserve">2&gt; </w:t>
      </w:r>
      <w:r w:rsidR="008A5E53">
        <w:t xml:space="preserve">the corresponding configuration is ignored </w:t>
      </w:r>
      <w:r w:rsidR="00AA5FB7">
        <w:t xml:space="preserve">(i.e., is considered as not configured) </w:t>
      </w:r>
      <w:r w:rsidR="008A5E53">
        <w:t>in current cell</w:t>
      </w:r>
      <w:r>
        <w:t>.</w:t>
      </w:r>
      <w:bookmarkEnd w:id="40"/>
      <w:bookmarkEnd w:id="42"/>
      <w:bookmarkEnd w:id="52"/>
      <w:bookmarkEnd w:id="53"/>
      <w:bookmarkEnd w:id="54"/>
    </w:p>
    <w:p w14:paraId="259E0E03" w14:textId="633B7BC4" w:rsidR="00AF6A4B" w:rsidRPr="00A517B5" w:rsidRDefault="00AA5FB7" w:rsidP="00C910F7">
      <w:pPr>
        <w:pStyle w:val="Proposal"/>
        <w:numPr>
          <w:ilvl w:val="1"/>
          <w:numId w:val="4"/>
        </w:numPr>
      </w:pPr>
      <w:bookmarkStart w:id="55" w:name="_Toc131197836"/>
      <w:bookmarkStart w:id="56" w:name="_Toc131454483"/>
      <w:bookmarkStart w:id="57" w:name="_Toc131496729"/>
      <w:bookmarkStart w:id="58" w:name="_Toc131501540"/>
      <w:bookmarkStart w:id="59" w:name="_Toc131709575"/>
      <w:r>
        <w:t>This new section is defined</w:t>
      </w:r>
      <w:r w:rsidR="00744408">
        <w:t xml:space="preserve"> as part of</w:t>
      </w:r>
      <w:r>
        <w:t xml:space="preserve"> §</w:t>
      </w:r>
      <w:r w:rsidR="00744408" w:rsidRPr="0035734A">
        <w:t>5.3.</w:t>
      </w:r>
      <w:r w:rsidR="00744408">
        <w:t>8</w:t>
      </w:r>
      <w:r w:rsidR="00744408" w:rsidRPr="0035734A">
        <w:t xml:space="preserve"> RRC </w:t>
      </w:r>
      <w:r w:rsidR="00744408">
        <w:t>release</w:t>
      </w:r>
      <w:r w:rsidR="00AC1F75">
        <w:t xml:space="preserve"> in TS 38.331</w:t>
      </w:r>
      <w:r w:rsidR="00CE52AA">
        <w:t>.</w:t>
      </w:r>
      <w:bookmarkEnd w:id="55"/>
      <w:bookmarkEnd w:id="56"/>
      <w:bookmarkEnd w:id="57"/>
      <w:bookmarkEnd w:id="58"/>
      <w:bookmarkEnd w:id="59"/>
    </w:p>
    <w:p w14:paraId="314141FD" w14:textId="77777777" w:rsidR="001D136B" w:rsidRDefault="001D136B" w:rsidP="001D136B">
      <w:bookmarkStart w:id="60" w:name="_Toc465993148"/>
      <w:bookmarkStart w:id="61" w:name="_Toc465993084"/>
      <w:bookmarkEnd w:id="60"/>
      <w:bookmarkEnd w:id="61"/>
    </w:p>
    <w:p w14:paraId="2F8D4C4C" w14:textId="77777777" w:rsidR="00EB410E" w:rsidRPr="00083BE4" w:rsidRDefault="00EB410E" w:rsidP="00EB410E">
      <w:pPr>
        <w:jc w:val="both"/>
        <w:rPr>
          <w:lang w:val="en-GB"/>
        </w:rPr>
      </w:pPr>
    </w:p>
    <w:p w14:paraId="5AB4BABA" w14:textId="77777777" w:rsidR="00EB410E" w:rsidRDefault="00EB410E" w:rsidP="00562570">
      <w:pPr>
        <w:pStyle w:val="Heading1"/>
        <w:numPr>
          <w:ilvl w:val="0"/>
          <w:numId w:val="2"/>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08CE85F" w14:textId="77777777" w:rsidR="005D305F"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5D305F" w:rsidRPr="00772F08">
        <w:rPr>
          <w:b/>
          <w:noProof/>
        </w:rPr>
        <w:t>Observation 1.</w:t>
      </w:r>
      <w:r w:rsidR="005D305F">
        <w:rPr>
          <w:rFonts w:asciiTheme="minorHAnsi" w:eastAsiaTheme="minorEastAsia" w:hAnsiTheme="minorHAnsi" w:cstheme="minorBidi"/>
          <w:noProof/>
          <w:sz w:val="22"/>
        </w:rPr>
        <w:tab/>
      </w:r>
      <w:r w:rsidR="005D305F">
        <w:rPr>
          <w:noProof/>
        </w:rPr>
        <w:t>In current specification, the UE in RRC_INACTIVE is expected to initiate SDT or operate in eDRX in the same way – that is, when UE is configured with SDT/eDRX and the conditions for SDT/eDRX are met. There is no check in the current specification on whether UE supports SDT/eDRX  in current cell.</w:t>
      </w:r>
    </w:p>
    <w:p w14:paraId="48BB5CDA" w14:textId="77777777" w:rsidR="005D305F" w:rsidRDefault="005D305F">
      <w:pPr>
        <w:pStyle w:val="TOC1"/>
        <w:rPr>
          <w:rFonts w:asciiTheme="minorHAnsi" w:eastAsiaTheme="minorEastAsia" w:hAnsiTheme="minorHAnsi" w:cstheme="minorBidi"/>
          <w:noProof/>
          <w:sz w:val="22"/>
        </w:rPr>
      </w:pPr>
      <w:r w:rsidRPr="00772F08">
        <w:rPr>
          <w:b/>
          <w:noProof/>
        </w:rPr>
        <w:t>Observation 2.</w:t>
      </w:r>
      <w:r>
        <w:rPr>
          <w:rFonts w:asciiTheme="minorHAnsi" w:eastAsiaTheme="minorEastAsia" w:hAnsiTheme="minorHAnsi" w:cstheme="minorBidi"/>
          <w:noProof/>
          <w:sz w:val="22"/>
        </w:rPr>
        <w:tab/>
      </w:r>
      <w:r>
        <w:rPr>
          <w:noProof/>
        </w:rPr>
        <w:t>When a UE in RRC_INACTIVE is configured with SDT and eDRX and moves to a new cell in which the UE does not support the corresponding features, RAN2 specification should be updated to ignore (i.e., consider as not configured) the corresponding configuration already available in UE (i.e., previously configured to the UE in a different cell in which UE supported the corresponding feature).</w:t>
      </w:r>
    </w:p>
    <w:p w14:paraId="56E5F6F4" w14:textId="77777777" w:rsidR="005D305F" w:rsidRDefault="005D305F">
      <w:pPr>
        <w:pStyle w:val="TOC1"/>
        <w:rPr>
          <w:rFonts w:asciiTheme="minorHAnsi" w:eastAsiaTheme="minorEastAsia" w:hAnsiTheme="minorHAnsi" w:cstheme="minorBidi"/>
          <w:noProof/>
          <w:sz w:val="22"/>
        </w:rPr>
      </w:pPr>
      <w:r w:rsidRPr="00772F08">
        <w:rPr>
          <w:b/>
          <w:noProof/>
        </w:rPr>
        <w:t>Observation 3.</w:t>
      </w:r>
      <w:r>
        <w:rPr>
          <w:rFonts w:asciiTheme="minorHAnsi" w:eastAsiaTheme="minorEastAsia" w:hAnsiTheme="minorHAnsi" w:cstheme="minorBidi"/>
          <w:noProof/>
          <w:sz w:val="22"/>
        </w:rPr>
        <w:tab/>
      </w:r>
      <w:r>
        <w:rPr>
          <w:noProof/>
        </w:rPr>
        <w:t xml:space="preserve">Legacy 38.331 already defines the following UE’s behaviour if UE cannot comply with a configuration provided to UE for: case 1) during reconfiguration (defined as a failure in Reconfiguration message), UE shall initiate reestablishment procedure and case 2) upon reception of </w:t>
      </w:r>
      <w:r w:rsidRPr="00772F08">
        <w:rPr>
          <w:i/>
          <w:iCs/>
          <w:noProof/>
        </w:rPr>
        <w:t>RRCResume</w:t>
      </w:r>
      <w:r>
        <w:rPr>
          <w:noProof/>
        </w:rPr>
        <w:t xml:space="preserve"> (defined as the inability to comply with </w:t>
      </w:r>
      <w:r w:rsidRPr="00772F08">
        <w:rPr>
          <w:i/>
          <w:iCs/>
          <w:noProof/>
        </w:rPr>
        <w:t xml:space="preserve">RRCResume </w:t>
      </w:r>
      <w:r>
        <w:rPr>
          <w:noProof/>
        </w:rPr>
        <w:t>configuration), UE shall transition into RRC_IDLE and trigger a failure of the resume</w:t>
      </w:r>
    </w:p>
    <w:p w14:paraId="4F3FCDB9" w14:textId="77777777" w:rsidR="005D305F" w:rsidRDefault="005D305F">
      <w:pPr>
        <w:pStyle w:val="TOC1"/>
        <w:rPr>
          <w:rFonts w:asciiTheme="minorHAnsi" w:eastAsiaTheme="minorEastAsia" w:hAnsiTheme="minorHAnsi" w:cstheme="minorBidi"/>
          <w:noProof/>
          <w:sz w:val="22"/>
        </w:rPr>
      </w:pPr>
      <w:r w:rsidRPr="00772F08">
        <w:rPr>
          <w:b/>
          <w:noProof/>
        </w:rPr>
        <w:t>Observation 4.</w:t>
      </w:r>
      <w:r>
        <w:rPr>
          <w:rFonts w:asciiTheme="minorHAnsi" w:eastAsiaTheme="minorEastAsia" w:hAnsiTheme="minorHAnsi" w:cstheme="minorBidi"/>
          <w:noProof/>
          <w:sz w:val="22"/>
        </w:rPr>
        <w:tab/>
      </w:r>
      <w:r>
        <w:rPr>
          <w:noProof/>
        </w:rPr>
        <w:t xml:space="preserve">For the new TN/NTN failure scenarios (due to UE mobility between TN and NTN while in RRC_INACTIVE configured with eDRX/SDT and with different UE capability support for them between TN and NTN), RAN2 preference was </w:t>
      </w:r>
      <w:r w:rsidRPr="00772F08">
        <w:rPr>
          <w:noProof/>
          <w:u w:val="single"/>
        </w:rPr>
        <w:t>not</w:t>
      </w:r>
      <w:r>
        <w:rPr>
          <w:noProof/>
        </w:rPr>
        <w:t xml:space="preserve"> to handle them similarly to legacy failure when a UE to comply with a new configuration provided via RRCReconfiguration or RRCResume as these eDRX/SDT configurations were used by UE in RRC_INACTIVE at least in the last cell UE was RRC_CONNECTED (i.e. in which UE received the last RRCRelease msg with the corresponding eDRX/SDT configurations).</w:t>
      </w:r>
    </w:p>
    <w:p w14:paraId="5239C8EE" w14:textId="4CEDF2E5"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AFB1530" w14:textId="77777777" w:rsidR="005D305F"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5D305F" w:rsidRPr="00BA5742">
        <w:rPr>
          <w:b/>
          <w:noProof/>
        </w:rPr>
        <w:t>Proposal 1.</w:t>
      </w:r>
      <w:r w:rsidR="005D305F">
        <w:rPr>
          <w:rFonts w:asciiTheme="minorHAnsi" w:eastAsiaTheme="minorEastAsia" w:hAnsiTheme="minorHAnsi" w:cstheme="minorBidi"/>
          <w:noProof/>
          <w:sz w:val="22"/>
        </w:rPr>
        <w:tab/>
      </w:r>
      <w:r w:rsidR="005D305F">
        <w:rPr>
          <w:noProof/>
        </w:rPr>
        <w:t>A new section is created in TS 38.331 to explain UE behaviour when it is unable to comply with a configuration available while in RRC_INACTIVE. The following points are proposed for agreements:</w:t>
      </w:r>
    </w:p>
    <w:p w14:paraId="0D68CE4C" w14:textId="77777777" w:rsidR="005D305F" w:rsidRDefault="005D305F">
      <w:pPr>
        <w:pStyle w:val="TOC1"/>
        <w:rPr>
          <w:rFonts w:asciiTheme="minorHAnsi" w:eastAsiaTheme="minorEastAsia" w:hAnsiTheme="minorHAnsi" w:cstheme="minorBidi"/>
          <w:noProof/>
          <w:sz w:val="22"/>
        </w:rPr>
      </w:pPr>
      <w:r w:rsidRPr="00BA5742">
        <w:rPr>
          <w:b/>
          <w:noProof/>
        </w:rPr>
        <w:t>Proposal 1.1.</w:t>
      </w:r>
      <w:r>
        <w:rPr>
          <w:rFonts w:asciiTheme="minorHAnsi" w:eastAsiaTheme="minorEastAsia" w:hAnsiTheme="minorHAnsi" w:cstheme="minorBidi"/>
          <w:noProof/>
          <w:sz w:val="22"/>
        </w:rPr>
        <w:tab/>
      </w:r>
      <w:r>
        <w:rPr>
          <w:noProof/>
        </w:rPr>
        <w:t>Normative TP to capture UE’s behaviour is as follows:</w:t>
      </w:r>
    </w:p>
    <w:p w14:paraId="08BEF6D4" w14:textId="77777777" w:rsidR="005D305F" w:rsidRDefault="005D305F">
      <w:pPr>
        <w:pStyle w:val="TOC1"/>
        <w:rPr>
          <w:rFonts w:asciiTheme="minorHAnsi" w:eastAsiaTheme="minorEastAsia" w:hAnsiTheme="minorHAnsi" w:cstheme="minorBidi"/>
          <w:noProof/>
          <w:sz w:val="22"/>
        </w:rPr>
      </w:pPr>
      <w:r w:rsidRPr="00BA5742">
        <w:rPr>
          <w:b/>
          <w:bCs/>
          <w:noProof/>
        </w:rPr>
        <w:t>x.y.z Inability to comply with a configuration available in RRC_INACTIVE</w:t>
      </w:r>
    </w:p>
    <w:p w14:paraId="210FE5DB" w14:textId="77777777" w:rsidR="005D305F" w:rsidRDefault="005D305F">
      <w:pPr>
        <w:pStyle w:val="TOC1"/>
        <w:rPr>
          <w:rFonts w:asciiTheme="minorHAnsi" w:eastAsiaTheme="minorEastAsia" w:hAnsiTheme="minorHAnsi" w:cstheme="minorBidi"/>
          <w:noProof/>
          <w:sz w:val="22"/>
        </w:rPr>
      </w:pPr>
      <w:r>
        <w:rPr>
          <w:noProof/>
        </w:rPr>
        <w:t>The UE shall:</w:t>
      </w:r>
    </w:p>
    <w:p w14:paraId="79F1B6EE" w14:textId="77777777" w:rsidR="005D305F" w:rsidRDefault="005D305F">
      <w:pPr>
        <w:pStyle w:val="TOC1"/>
        <w:rPr>
          <w:rFonts w:asciiTheme="minorHAnsi" w:eastAsiaTheme="minorEastAsia" w:hAnsiTheme="minorHAnsi" w:cstheme="minorBidi"/>
          <w:noProof/>
          <w:sz w:val="22"/>
        </w:rPr>
      </w:pPr>
      <w:r>
        <w:rPr>
          <w:noProof/>
        </w:rPr>
        <w:t>1&gt;</w:t>
      </w:r>
      <w:r>
        <w:rPr>
          <w:rFonts w:asciiTheme="minorHAnsi" w:eastAsiaTheme="minorEastAsia" w:hAnsiTheme="minorHAnsi" w:cstheme="minorBidi"/>
          <w:noProof/>
          <w:sz w:val="22"/>
        </w:rPr>
        <w:tab/>
      </w:r>
      <w:r>
        <w:rPr>
          <w:noProof/>
        </w:rPr>
        <w:t>if the UE in RRC_INACTIVE is unable to comply with a configuration available or stored due to any un-supported feature in current cell upon cell reselection between TN and NTN;</w:t>
      </w:r>
    </w:p>
    <w:p w14:paraId="4903C764" w14:textId="77777777" w:rsidR="005D305F" w:rsidRDefault="005D305F">
      <w:pPr>
        <w:pStyle w:val="TOC1"/>
        <w:rPr>
          <w:rFonts w:asciiTheme="minorHAnsi" w:eastAsiaTheme="minorEastAsia" w:hAnsiTheme="minorHAnsi" w:cstheme="minorBidi"/>
          <w:noProof/>
          <w:sz w:val="22"/>
        </w:rPr>
      </w:pPr>
      <w:r>
        <w:rPr>
          <w:noProof/>
        </w:rPr>
        <w:t>2&gt; the corresponding configuration is ignored (i.e., is considered as not configured) in current cell.</w:t>
      </w:r>
    </w:p>
    <w:p w14:paraId="310515C7" w14:textId="77777777" w:rsidR="005D305F" w:rsidRDefault="005D305F">
      <w:pPr>
        <w:pStyle w:val="TOC1"/>
        <w:rPr>
          <w:rFonts w:asciiTheme="minorHAnsi" w:eastAsiaTheme="minorEastAsia" w:hAnsiTheme="minorHAnsi" w:cstheme="minorBidi"/>
          <w:noProof/>
          <w:sz w:val="22"/>
        </w:rPr>
      </w:pPr>
      <w:r w:rsidRPr="00BA5742">
        <w:rPr>
          <w:b/>
          <w:noProof/>
        </w:rPr>
        <w:t>Proposal 1.2.</w:t>
      </w:r>
      <w:r>
        <w:rPr>
          <w:rFonts w:asciiTheme="minorHAnsi" w:eastAsiaTheme="minorEastAsia" w:hAnsiTheme="minorHAnsi" w:cstheme="minorBidi"/>
          <w:noProof/>
          <w:sz w:val="22"/>
        </w:rPr>
        <w:tab/>
      </w:r>
      <w:r>
        <w:rPr>
          <w:noProof/>
        </w:rPr>
        <w:t>This new section is defined as part of §5.3.8 RRC release in TS 38.331.</w:t>
      </w:r>
    </w:p>
    <w:p w14:paraId="0580D4BA" w14:textId="354A841E"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562570">
      <w:pPr>
        <w:pStyle w:val="Heading1"/>
        <w:numPr>
          <w:ilvl w:val="0"/>
          <w:numId w:val="2"/>
        </w:numPr>
      </w:pPr>
      <w:bookmarkStart w:id="62" w:name="_Ref434066290"/>
      <w:r>
        <w:t>Reference</w:t>
      </w:r>
      <w:bookmarkEnd w:id="62"/>
    </w:p>
    <w:p w14:paraId="0F6E75C8" w14:textId="214487F9" w:rsidR="00B23776" w:rsidRDefault="00B23776" w:rsidP="00EB410E">
      <w:pPr>
        <w:pStyle w:val="Doc-title"/>
        <w:numPr>
          <w:ilvl w:val="0"/>
          <w:numId w:val="3"/>
        </w:numPr>
        <w:spacing w:before="0" w:after="60"/>
        <w:rPr>
          <w:rFonts w:ascii="Times New Roman" w:hAnsi="Times New Roman" w:cs="Times New Roman"/>
          <w:sz w:val="20"/>
        </w:rPr>
      </w:pPr>
      <w:bookmarkStart w:id="63" w:name="_Ref131190901"/>
      <w:bookmarkStart w:id="64" w:name="_Ref478150265"/>
      <w:bookmarkEnd w:id="1"/>
      <w:r w:rsidRPr="00B23776">
        <w:rPr>
          <w:rFonts w:ascii="Times New Roman" w:hAnsi="Times New Roman" w:cs="Times New Roman"/>
          <w:sz w:val="20"/>
        </w:rPr>
        <w:t>R2-2300614 Handling of features with different UE support in TN and NTN</w:t>
      </w:r>
      <w:r w:rsidR="00713F63">
        <w:rPr>
          <w:rFonts w:ascii="Times New Roman" w:hAnsi="Times New Roman" w:cs="Times New Roman"/>
          <w:sz w:val="20"/>
        </w:rPr>
        <w:t xml:space="preserve">, </w:t>
      </w:r>
      <w:r w:rsidRPr="00B23776">
        <w:rPr>
          <w:rFonts w:ascii="Times New Roman" w:hAnsi="Times New Roman" w:cs="Times New Roman"/>
          <w:sz w:val="20"/>
        </w:rPr>
        <w:t>Intel Corp</w:t>
      </w:r>
      <w:r w:rsidR="00713F63">
        <w:rPr>
          <w:rFonts w:ascii="Times New Roman" w:hAnsi="Times New Roman" w:cs="Times New Roman"/>
          <w:sz w:val="20"/>
        </w:rPr>
        <w:t>., February 2023</w:t>
      </w:r>
      <w:r>
        <w:rPr>
          <w:rFonts w:ascii="Times New Roman" w:hAnsi="Times New Roman" w:cs="Times New Roman"/>
          <w:sz w:val="20"/>
        </w:rPr>
        <w:t>.</w:t>
      </w:r>
      <w:bookmarkEnd w:id="63"/>
    </w:p>
    <w:bookmarkEnd w:id="64"/>
    <w:p w14:paraId="434C09F6" w14:textId="075A9054" w:rsidR="00A4565C" w:rsidRDefault="00A4565C">
      <w:pPr>
        <w:rPr>
          <w:lang w:val="en-GB"/>
        </w:rPr>
      </w:pPr>
    </w:p>
    <w:sectPr w:rsidR="00A4565C"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732E7"/>
    <w:multiLevelType w:val="hybridMultilevel"/>
    <w:tmpl w:val="42204016"/>
    <w:lvl w:ilvl="0" w:tplc="196480C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54294C"/>
    <w:multiLevelType w:val="hybridMultilevel"/>
    <w:tmpl w:val="608C64AA"/>
    <w:lvl w:ilvl="0" w:tplc="67C426C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88521E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B5A39"/>
    <w:multiLevelType w:val="hybridMultilevel"/>
    <w:tmpl w:val="B85E8594"/>
    <w:lvl w:ilvl="0" w:tplc="8E5E56A0">
      <w:start w:val="1"/>
      <w:numFmt w:val="decimal"/>
      <w:lvlText w:val="%1&gt;"/>
      <w:lvlJc w:val="left"/>
      <w:pPr>
        <w:ind w:left="1152" w:hanging="360"/>
      </w:pPr>
      <w:rPr>
        <w:rFonts w:hint="default"/>
      </w:r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8"/>
  </w:num>
  <w:num w:numId="2" w16cid:durableId="4450012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13"/>
  </w:num>
  <w:num w:numId="4" w16cid:durableId="136804226">
    <w:abstractNumId w:val="6"/>
  </w:num>
  <w:num w:numId="5" w16cid:durableId="1886870302">
    <w:abstractNumId w:val="9"/>
  </w:num>
  <w:num w:numId="6" w16cid:durableId="756942600">
    <w:abstractNumId w:val="11"/>
  </w:num>
  <w:num w:numId="7" w16cid:durableId="526020091">
    <w:abstractNumId w:val="0"/>
  </w:num>
  <w:num w:numId="8" w16cid:durableId="1157039508">
    <w:abstractNumId w:val="10"/>
  </w:num>
  <w:num w:numId="9" w16cid:durableId="128516923">
    <w:abstractNumId w:val="1"/>
  </w:num>
  <w:num w:numId="10" w16cid:durableId="1104108046">
    <w:abstractNumId w:val="5"/>
  </w:num>
  <w:num w:numId="11" w16cid:durableId="1148398545">
    <w:abstractNumId w:val="4"/>
  </w:num>
  <w:num w:numId="12" w16cid:durableId="946160576">
    <w:abstractNumId w:val="14"/>
  </w:num>
  <w:num w:numId="13" w16cid:durableId="1523081911">
    <w:abstractNumId w:val="3"/>
  </w:num>
  <w:num w:numId="14" w16cid:durableId="1308049185">
    <w:abstractNumId w:val="2"/>
  </w:num>
  <w:num w:numId="15" w16cid:durableId="1035615410">
    <w:abstractNumId w:val="7"/>
  </w:num>
  <w:num w:numId="16" w16cid:durableId="1261645657">
    <w:abstractNumId w:val="9"/>
  </w:num>
  <w:num w:numId="17" w16cid:durableId="21035314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5197E"/>
    <w:rsid w:val="00054827"/>
    <w:rsid w:val="000571DA"/>
    <w:rsid w:val="00061456"/>
    <w:rsid w:val="00071943"/>
    <w:rsid w:val="00072ED8"/>
    <w:rsid w:val="00085B41"/>
    <w:rsid w:val="000B3587"/>
    <w:rsid w:val="000C0CFB"/>
    <w:rsid w:val="000E5052"/>
    <w:rsid w:val="001056A6"/>
    <w:rsid w:val="001069E2"/>
    <w:rsid w:val="00125CE0"/>
    <w:rsid w:val="001354D3"/>
    <w:rsid w:val="00146689"/>
    <w:rsid w:val="001558B7"/>
    <w:rsid w:val="00175810"/>
    <w:rsid w:val="00184C28"/>
    <w:rsid w:val="00186243"/>
    <w:rsid w:val="001B7C84"/>
    <w:rsid w:val="001D136B"/>
    <w:rsid w:val="001D756B"/>
    <w:rsid w:val="002137A8"/>
    <w:rsid w:val="00221AFA"/>
    <w:rsid w:val="00224788"/>
    <w:rsid w:val="00224F74"/>
    <w:rsid w:val="00232D38"/>
    <w:rsid w:val="002418B0"/>
    <w:rsid w:val="00243A40"/>
    <w:rsid w:val="00247B1D"/>
    <w:rsid w:val="00263BCC"/>
    <w:rsid w:val="00266953"/>
    <w:rsid w:val="0027349A"/>
    <w:rsid w:val="00275713"/>
    <w:rsid w:val="002922D2"/>
    <w:rsid w:val="00294FE8"/>
    <w:rsid w:val="0029508A"/>
    <w:rsid w:val="002971E3"/>
    <w:rsid w:val="002B43E1"/>
    <w:rsid w:val="002C0087"/>
    <w:rsid w:val="002C2966"/>
    <w:rsid w:val="002E3E14"/>
    <w:rsid w:val="002F1C7B"/>
    <w:rsid w:val="00303C52"/>
    <w:rsid w:val="00320B6C"/>
    <w:rsid w:val="003239F2"/>
    <w:rsid w:val="00330E5D"/>
    <w:rsid w:val="00345023"/>
    <w:rsid w:val="0035734A"/>
    <w:rsid w:val="003573B9"/>
    <w:rsid w:val="00361CBE"/>
    <w:rsid w:val="00375BAF"/>
    <w:rsid w:val="00393786"/>
    <w:rsid w:val="00393F1E"/>
    <w:rsid w:val="00395E4E"/>
    <w:rsid w:val="003A1167"/>
    <w:rsid w:val="003A6AE5"/>
    <w:rsid w:val="00414436"/>
    <w:rsid w:val="0042215A"/>
    <w:rsid w:val="004235BF"/>
    <w:rsid w:val="00433797"/>
    <w:rsid w:val="00443231"/>
    <w:rsid w:val="00443666"/>
    <w:rsid w:val="00466831"/>
    <w:rsid w:val="00480D4E"/>
    <w:rsid w:val="004844FE"/>
    <w:rsid w:val="004B257B"/>
    <w:rsid w:val="004C5F75"/>
    <w:rsid w:val="004C6014"/>
    <w:rsid w:val="005079BD"/>
    <w:rsid w:val="0051416A"/>
    <w:rsid w:val="005369D5"/>
    <w:rsid w:val="00542D3F"/>
    <w:rsid w:val="0055636B"/>
    <w:rsid w:val="00561AD7"/>
    <w:rsid w:val="00562570"/>
    <w:rsid w:val="00576836"/>
    <w:rsid w:val="00596403"/>
    <w:rsid w:val="0059642A"/>
    <w:rsid w:val="00596960"/>
    <w:rsid w:val="005C195E"/>
    <w:rsid w:val="005C3DCA"/>
    <w:rsid w:val="005D0F19"/>
    <w:rsid w:val="005D11BF"/>
    <w:rsid w:val="005D305F"/>
    <w:rsid w:val="005E159D"/>
    <w:rsid w:val="005E4EFC"/>
    <w:rsid w:val="005E5E8D"/>
    <w:rsid w:val="005F599D"/>
    <w:rsid w:val="006016C5"/>
    <w:rsid w:val="00615282"/>
    <w:rsid w:val="0062571F"/>
    <w:rsid w:val="00652173"/>
    <w:rsid w:val="00684BA3"/>
    <w:rsid w:val="006A1C9E"/>
    <w:rsid w:val="006B0F27"/>
    <w:rsid w:val="006B5F3C"/>
    <w:rsid w:val="006C6D8B"/>
    <w:rsid w:val="006F15E1"/>
    <w:rsid w:val="00702959"/>
    <w:rsid w:val="00702F10"/>
    <w:rsid w:val="00713F63"/>
    <w:rsid w:val="00723F24"/>
    <w:rsid w:val="007303DA"/>
    <w:rsid w:val="007342AA"/>
    <w:rsid w:val="0074294B"/>
    <w:rsid w:val="00744408"/>
    <w:rsid w:val="007535C7"/>
    <w:rsid w:val="00763DB3"/>
    <w:rsid w:val="00772B59"/>
    <w:rsid w:val="00774E34"/>
    <w:rsid w:val="00776D76"/>
    <w:rsid w:val="00793F05"/>
    <w:rsid w:val="007C6038"/>
    <w:rsid w:val="007F4E67"/>
    <w:rsid w:val="0081277A"/>
    <w:rsid w:val="00822DBB"/>
    <w:rsid w:val="00825886"/>
    <w:rsid w:val="0083530D"/>
    <w:rsid w:val="008359E9"/>
    <w:rsid w:val="00847B05"/>
    <w:rsid w:val="00850382"/>
    <w:rsid w:val="00852485"/>
    <w:rsid w:val="00852A9F"/>
    <w:rsid w:val="008742E4"/>
    <w:rsid w:val="008807C4"/>
    <w:rsid w:val="00890FC8"/>
    <w:rsid w:val="00892ADF"/>
    <w:rsid w:val="008A183B"/>
    <w:rsid w:val="008A1B17"/>
    <w:rsid w:val="008A5E53"/>
    <w:rsid w:val="008B0D28"/>
    <w:rsid w:val="008B56A6"/>
    <w:rsid w:val="008B7AE8"/>
    <w:rsid w:val="008C1B96"/>
    <w:rsid w:val="008C1D7F"/>
    <w:rsid w:val="008D0C43"/>
    <w:rsid w:val="008D7E51"/>
    <w:rsid w:val="008E1CE6"/>
    <w:rsid w:val="00922336"/>
    <w:rsid w:val="00942316"/>
    <w:rsid w:val="00951BB4"/>
    <w:rsid w:val="00955AA6"/>
    <w:rsid w:val="00977F57"/>
    <w:rsid w:val="00990389"/>
    <w:rsid w:val="00993A9E"/>
    <w:rsid w:val="009968D7"/>
    <w:rsid w:val="009B5BFC"/>
    <w:rsid w:val="009D4067"/>
    <w:rsid w:val="009E41ED"/>
    <w:rsid w:val="009E5938"/>
    <w:rsid w:val="009E66A4"/>
    <w:rsid w:val="009F505E"/>
    <w:rsid w:val="00A03B5C"/>
    <w:rsid w:val="00A12849"/>
    <w:rsid w:val="00A13A36"/>
    <w:rsid w:val="00A15C3A"/>
    <w:rsid w:val="00A257E8"/>
    <w:rsid w:val="00A311C6"/>
    <w:rsid w:val="00A333A5"/>
    <w:rsid w:val="00A4565C"/>
    <w:rsid w:val="00A5023E"/>
    <w:rsid w:val="00A517B5"/>
    <w:rsid w:val="00A53F84"/>
    <w:rsid w:val="00A608D5"/>
    <w:rsid w:val="00A707AD"/>
    <w:rsid w:val="00A72DC4"/>
    <w:rsid w:val="00A73E6C"/>
    <w:rsid w:val="00A839CE"/>
    <w:rsid w:val="00AA5FB7"/>
    <w:rsid w:val="00AB0ABE"/>
    <w:rsid w:val="00AB741D"/>
    <w:rsid w:val="00AC1F75"/>
    <w:rsid w:val="00AC5E63"/>
    <w:rsid w:val="00AD0208"/>
    <w:rsid w:val="00AD139B"/>
    <w:rsid w:val="00AD7900"/>
    <w:rsid w:val="00AE31A0"/>
    <w:rsid w:val="00AF4688"/>
    <w:rsid w:val="00AF67B8"/>
    <w:rsid w:val="00AF6A4B"/>
    <w:rsid w:val="00B23776"/>
    <w:rsid w:val="00B304C9"/>
    <w:rsid w:val="00B50217"/>
    <w:rsid w:val="00B810D6"/>
    <w:rsid w:val="00B82422"/>
    <w:rsid w:val="00BB1674"/>
    <w:rsid w:val="00BB4DF2"/>
    <w:rsid w:val="00BC4A9F"/>
    <w:rsid w:val="00BC6100"/>
    <w:rsid w:val="00BE6A5C"/>
    <w:rsid w:val="00BF0562"/>
    <w:rsid w:val="00C058D9"/>
    <w:rsid w:val="00C4300D"/>
    <w:rsid w:val="00C500E6"/>
    <w:rsid w:val="00C51C63"/>
    <w:rsid w:val="00C608CE"/>
    <w:rsid w:val="00C643E9"/>
    <w:rsid w:val="00C67049"/>
    <w:rsid w:val="00C75975"/>
    <w:rsid w:val="00C83D98"/>
    <w:rsid w:val="00C91463"/>
    <w:rsid w:val="00CB662A"/>
    <w:rsid w:val="00CC4ECE"/>
    <w:rsid w:val="00CD151C"/>
    <w:rsid w:val="00CD60ED"/>
    <w:rsid w:val="00CE0952"/>
    <w:rsid w:val="00CE2503"/>
    <w:rsid w:val="00CE3634"/>
    <w:rsid w:val="00CE52AA"/>
    <w:rsid w:val="00D02B8C"/>
    <w:rsid w:val="00D16713"/>
    <w:rsid w:val="00D17296"/>
    <w:rsid w:val="00D276EC"/>
    <w:rsid w:val="00D27EE2"/>
    <w:rsid w:val="00D37A93"/>
    <w:rsid w:val="00D45132"/>
    <w:rsid w:val="00D4726A"/>
    <w:rsid w:val="00D61E2C"/>
    <w:rsid w:val="00D71204"/>
    <w:rsid w:val="00DA1D7D"/>
    <w:rsid w:val="00DB032D"/>
    <w:rsid w:val="00DB4503"/>
    <w:rsid w:val="00DB614A"/>
    <w:rsid w:val="00DC0D33"/>
    <w:rsid w:val="00DD0AAF"/>
    <w:rsid w:val="00DF41C4"/>
    <w:rsid w:val="00DF42EF"/>
    <w:rsid w:val="00DF463D"/>
    <w:rsid w:val="00DF7E0D"/>
    <w:rsid w:val="00E03BF7"/>
    <w:rsid w:val="00E10AED"/>
    <w:rsid w:val="00E2790E"/>
    <w:rsid w:val="00E333E0"/>
    <w:rsid w:val="00E356B5"/>
    <w:rsid w:val="00E60572"/>
    <w:rsid w:val="00E67755"/>
    <w:rsid w:val="00E86072"/>
    <w:rsid w:val="00E872FB"/>
    <w:rsid w:val="00EB410E"/>
    <w:rsid w:val="00EC1240"/>
    <w:rsid w:val="00EC3001"/>
    <w:rsid w:val="00EC3444"/>
    <w:rsid w:val="00EC4E79"/>
    <w:rsid w:val="00ED7D99"/>
    <w:rsid w:val="00EE4BA3"/>
    <w:rsid w:val="00F03478"/>
    <w:rsid w:val="00F03C36"/>
    <w:rsid w:val="00F36278"/>
    <w:rsid w:val="00F41882"/>
    <w:rsid w:val="00F67062"/>
    <w:rsid w:val="00F67BF3"/>
    <w:rsid w:val="00F73A55"/>
    <w:rsid w:val="00F75996"/>
    <w:rsid w:val="00F809F3"/>
    <w:rsid w:val="00F841B0"/>
    <w:rsid w:val="00F84281"/>
    <w:rsid w:val="00F8626F"/>
    <w:rsid w:val="00FD5B6A"/>
    <w:rsid w:val="00FE3B68"/>
    <w:rsid w:val="00FE4D83"/>
    <w:rsid w:val="00FF3B21"/>
    <w:rsid w:val="00FF6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9D"/>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562570"/>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562570"/>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character" w:styleId="CommentReference">
    <w:name w:val="annotation reference"/>
    <w:basedOn w:val="DefaultParagraphFont"/>
    <w:uiPriority w:val="99"/>
    <w:semiHidden/>
    <w:unhideWhenUsed/>
    <w:rsid w:val="00C75975"/>
    <w:rPr>
      <w:sz w:val="16"/>
      <w:szCs w:val="16"/>
    </w:rPr>
  </w:style>
  <w:style w:type="paragraph" w:styleId="CommentText">
    <w:name w:val="annotation text"/>
    <w:basedOn w:val="Normal"/>
    <w:link w:val="CommentTextChar"/>
    <w:uiPriority w:val="99"/>
    <w:unhideWhenUsed/>
    <w:rsid w:val="00C75975"/>
  </w:style>
  <w:style w:type="character" w:customStyle="1" w:styleId="CommentTextChar">
    <w:name w:val="Comment Text Char"/>
    <w:basedOn w:val="DefaultParagraphFont"/>
    <w:link w:val="CommentText"/>
    <w:uiPriority w:val="99"/>
    <w:rsid w:val="00C75975"/>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C75975"/>
    <w:rPr>
      <w:b/>
      <w:bCs/>
    </w:rPr>
  </w:style>
  <w:style w:type="character" w:customStyle="1" w:styleId="CommentSubjectChar">
    <w:name w:val="Comment Subject Char"/>
    <w:basedOn w:val="CommentTextChar"/>
    <w:link w:val="CommentSubject"/>
    <w:uiPriority w:val="99"/>
    <w:semiHidden/>
    <w:rsid w:val="00C75975"/>
    <w:rPr>
      <w:rFonts w:ascii="Times New Roman" w:eastAsia="SimSun" w:hAnsi="Times New Roman"/>
      <w:b/>
      <w:bCs/>
    </w:rPr>
  </w:style>
  <w:style w:type="paragraph" w:styleId="Revision">
    <w:name w:val="Revision"/>
    <w:hidden/>
    <w:uiPriority w:val="99"/>
    <w:semiHidden/>
    <w:rsid w:val="00393786"/>
    <w:rPr>
      <w:rFonts w:ascii="Times New Roman" w:eastAsia="SimSun" w:hAnsi="Times New Roman"/>
    </w:rPr>
  </w:style>
  <w:style w:type="character" w:styleId="UnresolvedMention">
    <w:name w:val="Unresolved Mention"/>
    <w:basedOn w:val="DefaultParagraphFont"/>
    <w:uiPriority w:val="99"/>
    <w:unhideWhenUsed/>
    <w:rsid w:val="00AF4688"/>
    <w:rPr>
      <w:color w:val="605E5C"/>
      <w:shd w:val="clear" w:color="auto" w:fill="E1DFDD"/>
    </w:rPr>
  </w:style>
  <w:style w:type="character" w:styleId="Mention">
    <w:name w:val="Mention"/>
    <w:basedOn w:val="DefaultParagraphFont"/>
    <w:uiPriority w:val="99"/>
    <w:unhideWhenUsed/>
    <w:rsid w:val="00AF46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36428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38310-A5FA-49CE-83D2-510FAB46F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949B9-442B-4645-BC3B-58BEC8EC7AA0}">
  <ds:schemaRefs>
    <ds:schemaRef ds:uri="http://schemas.openxmlformats.org/officeDocument/2006/bibliography"/>
  </ds:schemaRefs>
</ds:datastoreItem>
</file>

<file path=customXml/itemProps3.xml><?xml version="1.0" encoding="utf-8"?>
<ds:datastoreItem xmlns:ds="http://schemas.openxmlformats.org/officeDocument/2006/customXml" ds:itemID="{7D493F27-A47D-42FA-BDF5-65CA45EC7C48}">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99E80108-1336-495B-9520-CB5753F5D0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4</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120</cp:revision>
  <dcterms:created xsi:type="dcterms:W3CDTF">2022-08-25T20:42:00Z</dcterms:created>
  <dcterms:modified xsi:type="dcterms:W3CDTF">2023-04-07T04:39:00Z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