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569F3B5"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377800">
        <w:rPr>
          <w:sz w:val="24"/>
          <w:lang w:eastAsia="zh-CN"/>
        </w:rPr>
        <w:t>bis-e</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7F7D65" w:rsidRPr="007F7D65">
        <w:rPr>
          <w:bCs/>
          <w:noProof w:val="0"/>
          <w:sz w:val="24"/>
        </w:rPr>
        <w:t>R2-2302735</w:t>
      </w:r>
    </w:p>
    <w:p w14:paraId="2B60AF3C" w14:textId="4EBC6929" w:rsidR="00EB410E" w:rsidRDefault="009C520A" w:rsidP="00ED7D99">
      <w:pPr>
        <w:pStyle w:val="CRCoverPage"/>
        <w:spacing w:after="240"/>
        <w:outlineLvl w:val="0"/>
        <w:rPr>
          <w:b/>
          <w:sz w:val="24"/>
        </w:rPr>
      </w:pPr>
      <w:r w:rsidRPr="0079250F">
        <w:rPr>
          <w:b/>
          <w:sz w:val="24"/>
        </w:rPr>
        <w:t>Electronic meeting, April 17th – 2</w:t>
      </w:r>
      <w:r w:rsidR="008C492B">
        <w:rPr>
          <w:b/>
          <w:sz w:val="24"/>
        </w:rPr>
        <w:t>6th</w:t>
      </w:r>
      <w:r w:rsidRPr="0079250F">
        <w:rPr>
          <w:b/>
          <w:sz w:val="24"/>
        </w:rPr>
        <w:t xml:space="preserve"> 2023</w:t>
      </w:r>
    </w:p>
    <w:p w14:paraId="012E2D7F" w14:textId="3D8F1FDD" w:rsidR="00C643E9" w:rsidRPr="007F16F8" w:rsidRDefault="00C643E9" w:rsidP="7295EF2C">
      <w:pPr>
        <w:tabs>
          <w:tab w:val="left" w:pos="2160"/>
          <w:tab w:val="left" w:pos="3880"/>
        </w:tabs>
        <w:spacing w:after="120"/>
        <w:ind w:left="2070" w:hanging="2070"/>
        <w:rPr>
          <w:rFonts w:ascii="Arial" w:eastAsia="Malgun Gothic" w:hAnsi="Arial" w:cs="Arial"/>
          <w:sz w:val="24"/>
          <w:szCs w:val="24"/>
          <w:lang w:eastAsia="ko-KR"/>
        </w:rPr>
      </w:pPr>
      <w:r w:rsidRPr="7295EF2C">
        <w:rPr>
          <w:rFonts w:ascii="Arial" w:hAnsi="Arial" w:cs="Arial"/>
          <w:b/>
          <w:bCs/>
          <w:sz w:val="24"/>
          <w:szCs w:val="24"/>
        </w:rPr>
        <w:t>Agenda item:</w:t>
      </w:r>
      <w:r>
        <w:tab/>
      </w:r>
      <w:r w:rsidR="5BB8BCC5" w:rsidRPr="7295EF2C">
        <w:rPr>
          <w:rFonts w:ascii="Arial" w:hAnsi="Arial" w:cs="Arial"/>
          <w:sz w:val="24"/>
          <w:szCs w:val="24"/>
        </w:rPr>
        <w:t>7</w:t>
      </w:r>
      <w:r w:rsidR="00776432" w:rsidRPr="7295EF2C">
        <w:rPr>
          <w:rFonts w:ascii="Arial" w:hAnsi="Arial" w:cs="Arial"/>
          <w:sz w:val="24"/>
          <w:szCs w:val="24"/>
        </w:rPr>
        <w:t>.19.2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304F1427" w:rsidR="00F03C36" w:rsidRPr="007F16F8" w:rsidRDefault="00F03C36" w:rsidP="7295EF2C">
      <w:pPr>
        <w:tabs>
          <w:tab w:val="left" w:pos="2160"/>
          <w:tab w:val="left" w:pos="3880"/>
        </w:tabs>
        <w:spacing w:after="120"/>
        <w:ind w:left="2070" w:hanging="2070"/>
        <w:rPr>
          <w:rFonts w:ascii="Arial" w:eastAsia="Malgun Gothic" w:hAnsi="Arial" w:cs="Arial"/>
          <w:sz w:val="24"/>
          <w:szCs w:val="24"/>
          <w:lang w:eastAsia="ko-KR"/>
        </w:rPr>
      </w:pPr>
      <w:r w:rsidRPr="7295EF2C">
        <w:rPr>
          <w:rFonts w:ascii="Arial" w:hAnsi="Arial" w:cs="Arial"/>
          <w:b/>
          <w:bCs/>
          <w:sz w:val="24"/>
          <w:szCs w:val="24"/>
        </w:rPr>
        <w:t>Title:</w:t>
      </w:r>
      <w:r>
        <w:tab/>
      </w:r>
      <w:r w:rsidR="003A40AD" w:rsidRPr="7295EF2C">
        <w:rPr>
          <w:rFonts w:ascii="Arial" w:hAnsi="Arial" w:cs="Arial"/>
          <w:sz w:val="24"/>
          <w:szCs w:val="24"/>
        </w:rPr>
        <w:t>RAN2 impact to support eDRX in RRC_INACTIVE above 10.24</w:t>
      </w:r>
      <w:r w:rsidR="02E29472" w:rsidRPr="7295EF2C">
        <w:rPr>
          <w:rFonts w:ascii="Arial" w:hAnsi="Arial" w:cs="Arial"/>
          <w:sz w:val="24"/>
          <w:szCs w:val="24"/>
        </w:rPr>
        <w:t xml:space="preserve"> </w:t>
      </w:r>
      <w:r w:rsidR="003A40AD" w:rsidRPr="7295EF2C">
        <w:rPr>
          <w:rFonts w:ascii="Arial" w:hAnsi="Arial" w:cs="Arial"/>
          <w:sz w:val="24"/>
          <w:szCs w:val="24"/>
        </w:rPr>
        <w:t>sec</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5D0784F" w14:textId="73DA14B2" w:rsidR="00EB410E" w:rsidRPr="00787EB3" w:rsidRDefault="00020182" w:rsidP="007D5C12">
      <w:pPr>
        <w:jc w:val="both"/>
        <w:rPr>
          <w:lang w:val="en-GB"/>
        </w:rPr>
      </w:pPr>
      <w:bookmarkStart w:id="1" w:name="Proposal_Pattern_Length"/>
      <w:r>
        <w:rPr>
          <w:lang w:val="en-GB"/>
        </w:rPr>
        <w:t xml:space="preserve">This document discusses </w:t>
      </w:r>
      <w:r w:rsidR="00AB24F5">
        <w:rPr>
          <w:lang w:val="en-GB"/>
        </w:rPr>
        <w:t xml:space="preserve">additional </w:t>
      </w:r>
      <w:r>
        <w:rPr>
          <w:lang w:val="en-GB"/>
        </w:rPr>
        <w:t xml:space="preserve">RAN2 impacts to support </w:t>
      </w:r>
      <w:r w:rsidR="003A40AD">
        <w:rPr>
          <w:lang w:val="en-GB"/>
        </w:rPr>
        <w:t>extended DRX (eDRX) in RRC_INACTIVE above 10.24 sec</w:t>
      </w:r>
      <w:r w:rsidR="00AB24F5">
        <w:rPr>
          <w:lang w:val="en-GB"/>
        </w:rPr>
        <w:t xml:space="preserve"> considering latest RAN2#121 agreements and open topics left</w:t>
      </w:r>
      <w:r w:rsidR="007D5C12">
        <w:rPr>
          <w:lang w:val="en-GB"/>
        </w:rPr>
        <w:t>.</w:t>
      </w:r>
    </w:p>
    <w:p w14:paraId="79A42B9D" w14:textId="77777777" w:rsidR="00EB410E" w:rsidRDefault="00EB410E" w:rsidP="00EB410E">
      <w:pPr>
        <w:pStyle w:val="Heading1"/>
        <w:numPr>
          <w:ilvl w:val="0"/>
          <w:numId w:val="2"/>
        </w:numPr>
      </w:pPr>
      <w:r>
        <w:t>Discussion</w:t>
      </w:r>
    </w:p>
    <w:p w14:paraId="73B75274" w14:textId="77777777" w:rsidR="00962B16" w:rsidRDefault="00962B16" w:rsidP="00962B16">
      <w:pPr>
        <w:pStyle w:val="Heading2"/>
      </w:pPr>
      <w:r>
        <w:t>UE capabilities for eDRX &gt; 10.24sec in RRC_INACTIVE</w:t>
      </w:r>
    </w:p>
    <w:p w14:paraId="2EE23E83" w14:textId="17CCDCD8" w:rsidR="00F00DFF" w:rsidRDefault="00F00DFF" w:rsidP="0080166F">
      <w:pPr>
        <w:spacing w:after="120"/>
        <w:jc w:val="both"/>
      </w:pPr>
      <w:r>
        <w:t>RAN2 agreements related to UE’s capability</w:t>
      </w:r>
      <w:r w:rsidRPr="00BE432D">
        <w:t xml:space="preserve"> of eDRX &gt; 10.24sec in RRC_INACTIVE</w:t>
      </w:r>
      <w:r>
        <w:t>:</w:t>
      </w:r>
    </w:p>
    <w:p w14:paraId="70FD7AB2" w14:textId="77777777" w:rsidR="00CC7FF7" w:rsidRPr="00450FFD" w:rsidRDefault="00CC7FF7" w:rsidP="00FE0EA3">
      <w:pPr>
        <w:pStyle w:val="Agreement"/>
        <w:tabs>
          <w:tab w:val="num" w:pos="720"/>
        </w:tabs>
        <w:spacing w:after="240"/>
        <w:ind w:left="720"/>
        <w:rPr>
          <w:b w:val="0"/>
          <w:bCs/>
          <w:i/>
          <w:iCs/>
          <w:lang w:eastAsia="ja-JP"/>
        </w:rPr>
      </w:pPr>
      <w:r w:rsidRPr="00450FFD">
        <w:rPr>
          <w:b w:val="0"/>
          <w:bCs/>
          <w:i/>
          <w:iCs/>
          <w:lang w:eastAsia="ja-JP"/>
        </w:rPr>
        <w:t xml:space="preserve">RAN2 confirms the enhanced INACTIVE eDRX can be applied to all R18 UEs. </w:t>
      </w:r>
      <w:r w:rsidRPr="00CC7FF7">
        <w:rPr>
          <w:b w:val="0"/>
          <w:bCs/>
          <w:i/>
          <w:iCs/>
          <w:u w:val="single"/>
          <w:lang w:eastAsia="ja-JP"/>
        </w:rPr>
        <w:t>FFS if it can only be supported by UEs which support R17 eDRX.</w:t>
      </w:r>
    </w:p>
    <w:p w14:paraId="7BA4BD66" w14:textId="5CB7410B" w:rsidR="00450858" w:rsidRDefault="006C6B54" w:rsidP="00FB31A8">
      <w:pPr>
        <w:jc w:val="both"/>
      </w:pPr>
      <w:r>
        <w:t>A new UE capability is required for Rel-18</w:t>
      </w:r>
      <w:r w:rsidR="006F45D8">
        <w:t xml:space="preserve"> UE supporting</w:t>
      </w:r>
      <w:r>
        <w:t xml:space="preserve"> RRC_INACTIVE configured with eDRX &gt; 10.24sec </w:t>
      </w:r>
      <w:r w:rsidR="006F45D8">
        <w:t xml:space="preserve">to know when it can provide the corresponding configuration. </w:t>
      </w:r>
      <w:r w:rsidR="006F77D2">
        <w:t>A</w:t>
      </w:r>
      <w:r>
        <w:t xml:space="preserve"> new optional</w:t>
      </w:r>
      <w:r w:rsidR="00FB31A8">
        <w:t xml:space="preserve"> and per UE</w:t>
      </w:r>
      <w:r>
        <w:t xml:space="preserve"> capability </w:t>
      </w:r>
      <w:r w:rsidR="006F77D2">
        <w:t>should th</w:t>
      </w:r>
      <w:r w:rsidR="008F60B6">
        <w:t>e</w:t>
      </w:r>
      <w:r w:rsidR="006F77D2">
        <w:t>n be</w:t>
      </w:r>
      <w:r>
        <w:t xml:space="preserve"> defined for eDRX in RRC_INACTIVE </w:t>
      </w:r>
      <w:r w:rsidR="006F77D2">
        <w:t>&gt;</w:t>
      </w:r>
      <w:r>
        <w:t xml:space="preserve"> 10.24sec</w:t>
      </w:r>
      <w:r w:rsidR="006F77D2">
        <w:t xml:space="preserve"> similarly as it was done for Rel-17 INACTIVE eDRX ≤ 10.24sec, </w:t>
      </w:r>
      <w:r>
        <w:t xml:space="preserve"> (i.e., </w:t>
      </w:r>
      <w:r w:rsidRPr="00A3753A">
        <w:rPr>
          <w:i/>
          <w:iCs/>
        </w:rPr>
        <w:t>extendedDRX-CycleInactive-r17</w:t>
      </w:r>
      <w:r>
        <w:t xml:space="preserve">). </w:t>
      </w:r>
    </w:p>
    <w:p w14:paraId="758723D4" w14:textId="00355087" w:rsidR="00FB31A8" w:rsidRDefault="008E7225" w:rsidP="0080166F">
      <w:pPr>
        <w:spacing w:after="120"/>
        <w:jc w:val="both"/>
      </w:pPr>
      <w:r>
        <w:t xml:space="preserve">RAN2 left an FFS on whether there is any dependency required with Rel-17 eDRX. </w:t>
      </w:r>
      <w:r w:rsidR="00FE1D7F">
        <w:t>On this regard, it is important to keep in mind that a</w:t>
      </w:r>
      <w:r w:rsidR="00FB31A8">
        <w:t xml:space="preserve"> UE supporting Rel-17 INACTIVE eDRX requires to also support Rel-17 IDLE eDRX as captured in TS 38.306:</w:t>
      </w:r>
    </w:p>
    <w:p w14:paraId="5C768475" w14:textId="77777777" w:rsidR="00FB31A8" w:rsidRPr="00765093" w:rsidRDefault="00FB31A8" w:rsidP="00FE1D7F">
      <w:pPr>
        <w:ind w:left="720"/>
        <w:rPr>
          <w:b/>
          <w:bCs/>
          <w:i/>
          <w:iCs/>
          <w:u w:val="single"/>
        </w:rPr>
      </w:pPr>
      <w:r w:rsidRPr="00964B24">
        <w:rPr>
          <w:b/>
          <w:bCs/>
          <w:i/>
          <w:iCs/>
        </w:rPr>
        <w:t>extendedDRX-CycleInactive-r17</w:t>
      </w:r>
      <w:r w:rsidRPr="00964B24">
        <w:rPr>
          <w:i/>
          <w:iCs/>
        </w:rPr>
        <w:t xml:space="preserve"> </w:t>
      </w:r>
      <w:r w:rsidRPr="00964B24">
        <w:rPr>
          <w:rFonts w:ascii="Wingdings" w:eastAsia="Wingdings" w:hAnsi="Wingdings" w:cs="Wingdings"/>
          <w:i/>
          <w:iCs/>
        </w:rPr>
        <w:t>à</w:t>
      </w:r>
      <w:r>
        <w:rPr>
          <w:i/>
          <w:iCs/>
        </w:rPr>
        <w:t xml:space="preserve"> </w:t>
      </w:r>
      <w:r w:rsidRPr="00964B24">
        <w:rPr>
          <w:i/>
          <w:iCs/>
        </w:rPr>
        <w:t>Indicates whether UE supports the extended DRX in RRC_INACTIVE with values of 256, 512 and 1024 radio frames as specified in TS 38.331 [9</w:t>
      </w:r>
      <w:r w:rsidRPr="00765093">
        <w:rPr>
          <w:i/>
          <w:iCs/>
        </w:rPr>
        <w:t xml:space="preserve">]. </w:t>
      </w:r>
      <w:bookmarkStart w:id="2" w:name="_Hlk130988115"/>
      <w:r w:rsidRPr="00765093">
        <w:rPr>
          <w:i/>
          <w:iCs/>
        </w:rPr>
        <w:t xml:space="preserve">The UE may indicate support for extended DRX in RRC_INACTIVE </w:t>
      </w:r>
      <w:r w:rsidRPr="00765093">
        <w:rPr>
          <w:b/>
          <w:bCs/>
          <w:i/>
          <w:iCs/>
          <w:u w:val="single"/>
        </w:rPr>
        <w:t>only if it supports extended DRX in RRC_IDLE</w:t>
      </w:r>
      <w:bookmarkEnd w:id="2"/>
      <w:r w:rsidRPr="00765093">
        <w:rPr>
          <w:b/>
          <w:bCs/>
          <w:i/>
          <w:iCs/>
          <w:u w:val="single"/>
        </w:rPr>
        <w:t>.</w:t>
      </w:r>
    </w:p>
    <w:p w14:paraId="7C278EAA" w14:textId="215A9A7E" w:rsidR="006C6B54" w:rsidRDefault="00FE1D7F" w:rsidP="006C6B54">
      <w:pPr>
        <w:jc w:val="both"/>
      </w:pPr>
      <w:r>
        <w:t>This behavior was agreed to guarantee UE’s reachability if there were any issue in the network and CN-initiated paging were used (instead of RAN-initiated paging). In our understanding, similar behaviour seems required now.</w:t>
      </w:r>
      <w:r w:rsidR="00D06D4D">
        <w:t xml:space="preserve"> </w:t>
      </w:r>
      <w:r w:rsidR="0030750C">
        <w:t>One</w:t>
      </w:r>
      <w:r w:rsidR="00D06D4D">
        <w:t xml:space="preserve"> point to keep in mind is that Rel-17 IDLE eDRX feature refers to UE’s support of IDLE eDRX above and below 10.24</w:t>
      </w:r>
      <w:r w:rsidR="0030750C">
        <w:t xml:space="preserve"> </w:t>
      </w:r>
      <w:r w:rsidR="00D06D4D">
        <w:t>sec.</w:t>
      </w:r>
      <w:r w:rsidR="0030750C">
        <w:t xml:space="preserve"> On other hand, there </w:t>
      </w:r>
      <w:r w:rsidR="00F97D8E">
        <w:t xml:space="preserve">is no motivation </w:t>
      </w:r>
      <w:r w:rsidR="0030750C">
        <w:t xml:space="preserve">to </w:t>
      </w:r>
      <w:r w:rsidR="00F97D8E">
        <w:t>have</w:t>
      </w:r>
      <w:r w:rsidR="0030750C">
        <w:t xml:space="preserve"> any dependency between Rel-17 INACTIVE eDRX ≤ 10.24 sec and Rel-18 INACTIVE eDRX &gt; 10.24 sec.</w:t>
      </w:r>
    </w:p>
    <w:p w14:paraId="043751E4" w14:textId="4C4D938C" w:rsidR="00F97D8E" w:rsidRDefault="00F97D8E" w:rsidP="00F97D8E">
      <w:pPr>
        <w:pStyle w:val="observ"/>
        <w:ind w:left="360"/>
      </w:pPr>
      <w:bookmarkStart w:id="3" w:name="_Toc131025438"/>
      <w:bookmarkStart w:id="4" w:name="_Toc131712563"/>
      <w:bookmarkStart w:id="5" w:name="_Toc131712576"/>
      <w:r>
        <w:t xml:space="preserve">No dependency </w:t>
      </w:r>
      <w:r w:rsidR="003E751C">
        <w:t xml:space="preserve">for support required </w:t>
      </w:r>
      <w:r>
        <w:t xml:space="preserve">between </w:t>
      </w:r>
      <w:r w:rsidR="003E751C">
        <w:t>Rel-17 INACTIVE eDRX ≤ 10.24 sec and Rel-18 INACTIVE eDRX &gt; 10.24 sec</w:t>
      </w:r>
      <w:r w:rsidRPr="00A517B5">
        <w:t>.</w:t>
      </w:r>
      <w:bookmarkEnd w:id="3"/>
      <w:bookmarkEnd w:id="4"/>
      <w:bookmarkEnd w:id="5"/>
    </w:p>
    <w:p w14:paraId="1498FF08" w14:textId="0AF36756" w:rsidR="006C6B54" w:rsidRPr="00A517B5" w:rsidRDefault="006C6B54" w:rsidP="006C6B54">
      <w:pPr>
        <w:pStyle w:val="Proposal"/>
        <w:numPr>
          <w:ilvl w:val="0"/>
          <w:numId w:val="4"/>
        </w:numPr>
      </w:pPr>
      <w:bookmarkStart w:id="6" w:name="_Toc126848885"/>
      <w:bookmarkStart w:id="7" w:name="_Toc126913050"/>
      <w:bookmarkStart w:id="8" w:name="_Toc127174028"/>
      <w:bookmarkStart w:id="9" w:name="_Toc127196802"/>
      <w:bookmarkStart w:id="10" w:name="_Toc127370950"/>
      <w:bookmarkStart w:id="11" w:name="_Toc127432730"/>
      <w:bookmarkStart w:id="12" w:name="_Toc127454487"/>
      <w:bookmarkStart w:id="13" w:name="_Toc127465489"/>
      <w:bookmarkStart w:id="14" w:name="_Toc127465684"/>
      <w:bookmarkStart w:id="15" w:name="_Toc131025424"/>
      <w:bookmarkStart w:id="16" w:name="_Toc131685976"/>
      <w:bookmarkStart w:id="17" w:name="_Ref131712239"/>
      <w:bookmarkStart w:id="18" w:name="_Toc131712548"/>
      <w:bookmarkStart w:id="19" w:name="_Toc131712579"/>
      <w:r>
        <w:t>A new optional capability with signaling and per UE is defined for Rel-18 UEs in RRC_INACTIVE configured with eDRX &gt; 10.24sec.</w:t>
      </w:r>
      <w:bookmarkEnd w:id="6"/>
      <w:bookmarkEnd w:id="7"/>
      <w:bookmarkEnd w:id="8"/>
      <w:bookmarkEnd w:id="9"/>
      <w:bookmarkEnd w:id="10"/>
      <w:bookmarkEnd w:id="11"/>
      <w:bookmarkEnd w:id="12"/>
      <w:bookmarkEnd w:id="13"/>
      <w:bookmarkEnd w:id="14"/>
      <w:r>
        <w:t xml:space="preserve"> </w:t>
      </w:r>
      <w:r w:rsidR="00D06D4D">
        <w:t xml:space="preserve">A </w:t>
      </w:r>
      <w:r w:rsidR="007B502D">
        <w:t xml:space="preserve">Rel-18 </w:t>
      </w:r>
      <w:r w:rsidR="007B502D" w:rsidRPr="007B502D">
        <w:t xml:space="preserve">UE may indicate support for extended DRX in RRC_INACTIVE </w:t>
      </w:r>
      <w:r w:rsidR="00D06D4D">
        <w:t xml:space="preserve">&gt; 10.24sec </w:t>
      </w:r>
      <w:r w:rsidR="007B502D" w:rsidRPr="007B502D">
        <w:t>only if it supports extended DRX in RRC_IDLE</w:t>
      </w:r>
      <w:r w:rsidR="00D06D4D">
        <w:t>.</w:t>
      </w:r>
      <w:bookmarkEnd w:id="15"/>
      <w:bookmarkEnd w:id="16"/>
      <w:bookmarkEnd w:id="17"/>
      <w:bookmarkEnd w:id="18"/>
      <w:bookmarkEnd w:id="19"/>
    </w:p>
    <w:p w14:paraId="14D2F5AC" w14:textId="77777777" w:rsidR="006C6B54" w:rsidRDefault="006C6B54" w:rsidP="00962B16">
      <w:pPr>
        <w:jc w:val="both"/>
      </w:pPr>
    </w:p>
    <w:p w14:paraId="06CFEA99" w14:textId="77777777" w:rsidR="00765093" w:rsidRDefault="00765093" w:rsidP="00962B16">
      <w:pPr>
        <w:jc w:val="both"/>
      </w:pPr>
    </w:p>
    <w:p w14:paraId="7D71041A" w14:textId="77777777" w:rsidR="00962B16" w:rsidRPr="00962B16" w:rsidRDefault="00962B16" w:rsidP="00962B16">
      <w:pPr>
        <w:rPr>
          <w:lang w:val="en-GB" w:eastAsia="x-none"/>
        </w:rPr>
      </w:pPr>
    </w:p>
    <w:p w14:paraId="7A17BCA7" w14:textId="5D1F24A9" w:rsidR="00AD025B" w:rsidRDefault="00AD025B" w:rsidP="00AD025B">
      <w:pPr>
        <w:pStyle w:val="Heading2"/>
      </w:pPr>
      <w:r>
        <w:lastRenderedPageBreak/>
        <w:t>Configuration of eDRX &gt; 10.24sec in RRC_INACTIVE</w:t>
      </w:r>
    </w:p>
    <w:p w14:paraId="7844F7C1" w14:textId="27DA23BC" w:rsidR="00E65118" w:rsidRDefault="00E65118" w:rsidP="00E65118">
      <w:pPr>
        <w:spacing w:before="240" w:after="120"/>
        <w:jc w:val="both"/>
      </w:pPr>
      <w:r>
        <w:t>RAN2 agreement related to the c</w:t>
      </w:r>
      <w:r w:rsidRPr="00BE432D">
        <w:t>onfiguration of eDRX &gt; 10.24sec in RRC_INACTIVE</w:t>
      </w:r>
      <w:r>
        <w:t>:</w:t>
      </w:r>
    </w:p>
    <w:p w14:paraId="01D9C67E" w14:textId="77777777" w:rsidR="000E6934" w:rsidRPr="00962B16" w:rsidRDefault="000E6934" w:rsidP="000E6934">
      <w:pPr>
        <w:pStyle w:val="Agreement"/>
        <w:tabs>
          <w:tab w:val="num" w:pos="720"/>
        </w:tabs>
        <w:ind w:left="720"/>
        <w:rPr>
          <w:b w:val="0"/>
          <w:bCs/>
          <w:i/>
          <w:iCs/>
          <w:lang w:eastAsia="ja-JP"/>
        </w:rPr>
      </w:pPr>
      <w:r w:rsidRPr="00962B16">
        <w:rPr>
          <w:b w:val="0"/>
          <w:bCs/>
          <w:i/>
          <w:iCs/>
          <w:lang w:eastAsia="ja-JP"/>
        </w:rPr>
        <w:t>Long eDRX cycle (&gt;10.24 s) value range of enhanced INACTIVE eDRX is same as IDLE eDRX from 20.48s to 10485.76s, i.e. hf2, hf4, hf8, hf16, hf32, hf64, hf128, hf256, hf512, hf1024</w:t>
      </w:r>
    </w:p>
    <w:p w14:paraId="1AA08AE5" w14:textId="77777777" w:rsidR="000E6934" w:rsidRPr="00962B16" w:rsidRDefault="000E6934" w:rsidP="000E6934">
      <w:pPr>
        <w:pStyle w:val="Agreement"/>
        <w:tabs>
          <w:tab w:val="num" w:pos="720"/>
        </w:tabs>
        <w:ind w:left="720"/>
        <w:rPr>
          <w:b w:val="0"/>
          <w:bCs/>
          <w:i/>
          <w:iCs/>
          <w:lang w:eastAsia="ja-JP"/>
        </w:rPr>
      </w:pPr>
      <w:r w:rsidRPr="00962B16">
        <w:rPr>
          <w:b w:val="0"/>
          <w:bCs/>
          <w:i/>
          <w:iCs/>
          <w:lang w:eastAsia="ja-JP"/>
        </w:rPr>
        <w:t>Add the configuration of eDRX cycle (&gt;10.24 s) and PTW length for enhanced INACTIVE eDRX in the RRCRelease message</w:t>
      </w:r>
    </w:p>
    <w:p w14:paraId="1BFD32BC" w14:textId="77777777" w:rsidR="000E6934" w:rsidRPr="00962B16" w:rsidRDefault="000E6934" w:rsidP="000E6934">
      <w:pPr>
        <w:pStyle w:val="Agreement"/>
        <w:tabs>
          <w:tab w:val="num" w:pos="720"/>
        </w:tabs>
        <w:spacing w:after="120"/>
        <w:ind w:left="720"/>
        <w:rPr>
          <w:b w:val="0"/>
          <w:bCs/>
          <w:i/>
          <w:iCs/>
          <w:lang w:eastAsia="ja-JP"/>
        </w:rPr>
      </w:pPr>
      <w:r w:rsidRPr="00962B16">
        <w:rPr>
          <w:b w:val="0"/>
          <w:bCs/>
          <w:i/>
          <w:iCs/>
          <w:lang w:eastAsia="ja-JP"/>
        </w:rPr>
        <w:t>Introduce 1 bit indication in SIB1 whether UEs are allowed to use the enhanced INACTIVE eDRX cycle.</w:t>
      </w:r>
    </w:p>
    <w:p w14:paraId="3518779E" w14:textId="1948BEC1" w:rsidR="00AE0E06" w:rsidRDefault="00A4601A" w:rsidP="009D6BC6">
      <w:pPr>
        <w:tabs>
          <w:tab w:val="left" w:pos="2339"/>
        </w:tabs>
        <w:spacing w:after="120"/>
        <w:jc w:val="both"/>
      </w:pPr>
      <w:r>
        <w:t xml:space="preserve">RAN2 </w:t>
      </w:r>
      <w:r w:rsidR="007D4899">
        <w:t xml:space="preserve">defined as invalid scenarios when </w:t>
      </w:r>
      <w:r w:rsidR="003D6E10">
        <w:t>Rel-17</w:t>
      </w:r>
      <w:r>
        <w:t xml:space="preserve"> </w:t>
      </w:r>
      <w:r w:rsidR="007D4899">
        <w:t>INACTIVE</w:t>
      </w:r>
      <w:r w:rsidR="003D6E10">
        <w:t xml:space="preserve"> eDRX </w:t>
      </w:r>
      <w:r>
        <w:t>cycle</w:t>
      </w:r>
      <w:r w:rsidR="007D4899">
        <w:t xml:space="preserve"> is configured and Rel-17 IDLE eDRX cycle is not configured or is configured with a smaller value</w:t>
      </w:r>
      <w:r w:rsidR="003E504E">
        <w:t xml:space="preserve"> than for Rel-17 INACTIVE eDRX cycle (corresponding </w:t>
      </w:r>
      <w:r w:rsidR="007F7CA7">
        <w:t xml:space="preserve">RAN2#115e </w:t>
      </w:r>
      <w:r w:rsidR="003E504E">
        <w:t>agreement copied below).</w:t>
      </w:r>
    </w:p>
    <w:p w14:paraId="6C714D12" w14:textId="5D592AE6" w:rsidR="003D6E10" w:rsidRPr="003D6E10" w:rsidRDefault="003D6E10" w:rsidP="003D6E10">
      <w:pPr>
        <w:pStyle w:val="Agreement"/>
        <w:tabs>
          <w:tab w:val="num" w:pos="720"/>
        </w:tabs>
        <w:ind w:left="720"/>
        <w:rPr>
          <w:b w:val="0"/>
          <w:bCs/>
          <w:i/>
          <w:iCs/>
          <w:lang w:eastAsia="ja-JP"/>
        </w:rPr>
      </w:pPr>
      <w:bookmarkStart w:id="20" w:name="_Hlk130990153"/>
      <w:r w:rsidRPr="003D6E10">
        <w:rPr>
          <w:b w:val="0"/>
          <w:bCs/>
          <w:i/>
          <w:iCs/>
          <w:lang w:eastAsia="ja-JP"/>
        </w:rPr>
        <w:t xml:space="preserve">RAN2 considers the configuration as an </w:t>
      </w:r>
      <w:r w:rsidRPr="0006126D">
        <w:rPr>
          <w:b w:val="0"/>
          <w:bCs/>
          <w:i/>
          <w:iCs/>
          <w:u w:val="single"/>
          <w:lang w:eastAsia="ja-JP"/>
        </w:rPr>
        <w:t>invalid case</w:t>
      </w:r>
      <w:r w:rsidRPr="003D6E10">
        <w:rPr>
          <w:b w:val="0"/>
          <w:bCs/>
          <w:i/>
          <w:iCs/>
          <w:lang w:eastAsia="ja-JP"/>
        </w:rPr>
        <w:t xml:space="preserve">, where INACTIVE eDRX cycle is configured but IDLE eDRX cycle is not configured. </w:t>
      </w:r>
    </w:p>
    <w:p w14:paraId="51A69D48" w14:textId="5B95442E" w:rsidR="003D6E10" w:rsidRPr="003D6E10" w:rsidRDefault="003D6E10" w:rsidP="009D6BC6">
      <w:pPr>
        <w:pStyle w:val="Agreement"/>
        <w:tabs>
          <w:tab w:val="num" w:pos="720"/>
        </w:tabs>
        <w:spacing w:after="120"/>
        <w:ind w:left="720"/>
        <w:rPr>
          <w:b w:val="0"/>
          <w:bCs/>
          <w:i/>
          <w:iCs/>
          <w:lang w:eastAsia="ja-JP"/>
        </w:rPr>
      </w:pPr>
      <w:bookmarkStart w:id="21" w:name="_Hlk130989705"/>
      <w:bookmarkEnd w:id="20"/>
      <w:r w:rsidRPr="003D6E10">
        <w:rPr>
          <w:b w:val="0"/>
          <w:bCs/>
          <w:i/>
          <w:iCs/>
          <w:lang w:eastAsia="ja-JP"/>
        </w:rPr>
        <w:t xml:space="preserve">RAN2 considers the configuration as </w:t>
      </w:r>
      <w:r w:rsidRPr="0006126D">
        <w:rPr>
          <w:b w:val="0"/>
          <w:bCs/>
          <w:i/>
          <w:iCs/>
          <w:u w:val="single"/>
          <w:lang w:eastAsia="ja-JP"/>
        </w:rPr>
        <w:t>invalid case</w:t>
      </w:r>
      <w:r w:rsidRPr="003D6E10">
        <w:rPr>
          <w:b w:val="0"/>
          <w:bCs/>
          <w:i/>
          <w:iCs/>
          <w:lang w:eastAsia="ja-JP"/>
        </w:rPr>
        <w:t>, where INACTIVE eDRX cycle is longer than IDLE eDRX cycle</w:t>
      </w:r>
      <w:bookmarkEnd w:id="21"/>
      <w:r w:rsidRPr="003D6E10">
        <w:rPr>
          <w:b w:val="0"/>
          <w:bCs/>
          <w:i/>
          <w:iCs/>
          <w:lang w:eastAsia="ja-JP"/>
        </w:rPr>
        <w:t>.</w:t>
      </w:r>
    </w:p>
    <w:p w14:paraId="4E960602" w14:textId="40AB60EF" w:rsidR="003D6E10" w:rsidRDefault="0006126D" w:rsidP="00AD025B">
      <w:pPr>
        <w:spacing w:after="120"/>
        <w:jc w:val="both"/>
      </w:pPr>
      <w:r>
        <w:t>On top of</w:t>
      </w:r>
      <w:r w:rsidR="0078718E">
        <w:t xml:space="preserve"> previous</w:t>
      </w:r>
      <w:r>
        <w:t xml:space="preserve"> </w:t>
      </w:r>
      <w:r w:rsidR="0078718E">
        <w:t xml:space="preserve">proposal on the </w:t>
      </w:r>
      <w:r w:rsidR="00B421A3">
        <w:t xml:space="preserve">support </w:t>
      </w:r>
      <w:r w:rsidR="0078718E">
        <w:t>pre-requirement</w:t>
      </w:r>
      <w:r w:rsidR="00B421A3">
        <w:t xml:space="preserve">, it seems reasonable to also </w:t>
      </w:r>
      <w:r w:rsidR="000E6934">
        <w:t>clarify that Rel-17 agreement on which cases is considered invalid</w:t>
      </w:r>
      <w:r w:rsidR="00B421A3">
        <w:t xml:space="preserve"> similar agreement.</w:t>
      </w:r>
      <w:r w:rsidR="00F250A4">
        <w:t xml:space="preserve"> </w:t>
      </w:r>
    </w:p>
    <w:p w14:paraId="5F74D0E0" w14:textId="77777777" w:rsidR="00C958B1" w:rsidRDefault="00C958B1" w:rsidP="004D5DF6">
      <w:pPr>
        <w:pStyle w:val="Proposal"/>
        <w:numPr>
          <w:ilvl w:val="0"/>
          <w:numId w:val="4"/>
        </w:numPr>
        <w:spacing w:after="120"/>
      </w:pPr>
      <w:bookmarkStart w:id="22" w:name="_Toc131685977"/>
      <w:bookmarkStart w:id="23" w:name="_Toc131685978"/>
      <w:bookmarkStart w:id="24" w:name="_Toc131685979"/>
      <w:bookmarkStart w:id="25" w:name="_Toc131712549"/>
      <w:bookmarkStart w:id="26" w:name="_Toc131712580"/>
      <w:bookmarkStart w:id="27" w:name="_Toc131025426"/>
      <w:bookmarkEnd w:id="22"/>
      <w:bookmarkEnd w:id="23"/>
      <w:r>
        <w:t>For Rel-18 UEs in RRC_INACTIVE configured with eDRX &gt; 10.24sec, Rel-17 eDRX agreements of the invalid cases are also applicable for Rel-18 INACTIVE eDRX &gt; 10.24 sec, i.e.:</w:t>
      </w:r>
      <w:bookmarkEnd w:id="24"/>
      <w:bookmarkEnd w:id="25"/>
      <w:bookmarkEnd w:id="26"/>
      <w:r>
        <w:t xml:space="preserve"> </w:t>
      </w:r>
    </w:p>
    <w:p w14:paraId="761ADA88" w14:textId="66D6149B" w:rsidR="00C958B1" w:rsidRDefault="00C958B1" w:rsidP="00602B7D">
      <w:pPr>
        <w:pStyle w:val="Proposal"/>
        <w:numPr>
          <w:ilvl w:val="1"/>
          <w:numId w:val="4"/>
        </w:numPr>
        <w:spacing w:after="120"/>
      </w:pPr>
      <w:bookmarkStart w:id="28" w:name="_Toc131685980"/>
      <w:bookmarkStart w:id="29" w:name="_Toc131712550"/>
      <w:bookmarkStart w:id="30" w:name="_Toc131712581"/>
      <w:r>
        <w:t>“</w:t>
      </w:r>
      <w:r w:rsidRPr="000A490D">
        <w:rPr>
          <w:i/>
          <w:iCs/>
        </w:rPr>
        <w:t>RAN2 considers the configuration as an invalid case, where INACTIVE eDRX cycle is configured but IDLE eDRX cycle is not configured</w:t>
      </w:r>
      <w:r>
        <w:t>”</w:t>
      </w:r>
      <w:r w:rsidRPr="00602B7D">
        <w:t>.</w:t>
      </w:r>
      <w:bookmarkEnd w:id="28"/>
      <w:bookmarkEnd w:id="29"/>
      <w:bookmarkEnd w:id="30"/>
    </w:p>
    <w:p w14:paraId="6A4AA8CA" w14:textId="7DF5F2E9" w:rsidR="00AE0E06" w:rsidRDefault="000A490D" w:rsidP="00602B7D">
      <w:pPr>
        <w:pStyle w:val="Proposal"/>
        <w:numPr>
          <w:ilvl w:val="1"/>
          <w:numId w:val="4"/>
        </w:numPr>
        <w:spacing w:after="120"/>
      </w:pPr>
      <w:bookmarkStart w:id="31" w:name="_Toc131685981"/>
      <w:bookmarkStart w:id="32" w:name="_Toc131712551"/>
      <w:bookmarkStart w:id="33" w:name="_Toc131712582"/>
      <w:r>
        <w:t>“</w:t>
      </w:r>
      <w:r w:rsidR="00F83391" w:rsidRPr="000A490D">
        <w:rPr>
          <w:i/>
          <w:iCs/>
        </w:rPr>
        <w:t>RAN2 considers the configuration as invalid case whe</w:t>
      </w:r>
      <w:r w:rsidR="00510B6B" w:rsidRPr="000A490D">
        <w:rPr>
          <w:i/>
          <w:iCs/>
        </w:rPr>
        <w:t xml:space="preserve">n </w:t>
      </w:r>
      <w:r w:rsidR="00F83391" w:rsidRPr="000A490D">
        <w:rPr>
          <w:i/>
          <w:iCs/>
        </w:rPr>
        <w:t>INACTIVE eDRX cycle is longer than IDLE eDRX cycle</w:t>
      </w:r>
      <w:r>
        <w:t>”</w:t>
      </w:r>
      <w:r w:rsidR="00483FF5">
        <w:t>.</w:t>
      </w:r>
      <w:bookmarkEnd w:id="27"/>
      <w:bookmarkEnd w:id="31"/>
      <w:bookmarkEnd w:id="32"/>
      <w:bookmarkEnd w:id="33"/>
      <w:r w:rsidR="00F250A4">
        <w:t xml:space="preserve"> </w:t>
      </w:r>
    </w:p>
    <w:p w14:paraId="5A06A458" w14:textId="72E8EB0B" w:rsidR="00DC2586" w:rsidRDefault="00DC2586" w:rsidP="005215D0">
      <w:pPr>
        <w:spacing w:before="360" w:after="120"/>
        <w:jc w:val="both"/>
      </w:pPr>
      <w:r>
        <w:t xml:space="preserve">RAN2 </w:t>
      </w:r>
      <w:r w:rsidR="000A490D">
        <w:t>captured an open point on whether any fallback behaviour should be enabled when the cell does not allow the usage of Rel-18</w:t>
      </w:r>
      <w:r w:rsidRPr="00BE432D">
        <w:t xml:space="preserve"> eDRX &gt; 10.24sec in RRC_INACTIVE</w:t>
      </w:r>
      <w:r w:rsidR="004A3C77">
        <w:t>.</w:t>
      </w:r>
    </w:p>
    <w:p w14:paraId="694F8DB7" w14:textId="77777777" w:rsidR="00DC2586" w:rsidRPr="00962B16" w:rsidRDefault="00DC2586" w:rsidP="00DC2586">
      <w:pPr>
        <w:pStyle w:val="Agreement"/>
        <w:tabs>
          <w:tab w:val="num" w:pos="720"/>
        </w:tabs>
        <w:spacing w:after="120"/>
        <w:ind w:left="720"/>
        <w:rPr>
          <w:b w:val="0"/>
          <w:bCs/>
          <w:i/>
          <w:iCs/>
          <w:lang w:eastAsia="ja-JP"/>
        </w:rPr>
      </w:pPr>
      <w:r w:rsidRPr="00962B16">
        <w:rPr>
          <w:b w:val="0"/>
          <w:bCs/>
          <w:i/>
          <w:iCs/>
          <w:lang w:eastAsia="ja-JP"/>
        </w:rPr>
        <w:t>FFS if/how to fallback for a UE which is configured with R18 eDRX but the gNB doesn’t indicate support for this.</w:t>
      </w:r>
    </w:p>
    <w:p w14:paraId="66A3F7E2" w14:textId="22AB6F38" w:rsidR="00E26261" w:rsidRDefault="004A3C77" w:rsidP="00AD025B">
      <w:pPr>
        <w:spacing w:after="120"/>
        <w:jc w:val="both"/>
      </w:pPr>
      <w:r>
        <w:t>Firstly</w:t>
      </w:r>
      <w:r w:rsidR="00147AAD">
        <w:t>,</w:t>
      </w:r>
      <w:r>
        <w:t xml:space="preserve"> it should be discuss</w:t>
      </w:r>
      <w:r w:rsidR="0080166F">
        <w:t>ed</w:t>
      </w:r>
      <w:r>
        <w:t xml:space="preserve"> whether a UE can be configured at the same time with both Rel-17 INACTIVE eDRX ≤ 10.24 sec and Rel-18 INACTIVE eDRX &gt; 10.24 sec. From signaling point of view, it does not seem essential to preclude this behaviour although UE corresponding behaviour should clearly specify. </w:t>
      </w:r>
      <w:r w:rsidR="00147AAD">
        <w:t xml:space="preserve">From deployment point of view, companies </w:t>
      </w:r>
      <w:r w:rsidR="00D577D3">
        <w:t xml:space="preserve">explained that it is possible that Rel-18 INACTIVE eDRX &gt; 10.24 sec is only supported on specific cells (considering </w:t>
      </w:r>
      <w:r w:rsidR="0080166F">
        <w:t>network</w:t>
      </w:r>
      <w:r w:rsidR="00D577D3">
        <w:t xml:space="preserve"> impacts</w:t>
      </w:r>
      <w:r w:rsidR="0080166F">
        <w:t>,</w:t>
      </w:r>
      <w:r w:rsidR="00D577D3">
        <w:t xml:space="preserve"> e.g.</w:t>
      </w:r>
      <w:r w:rsidR="0080166F">
        <w:t>,</w:t>
      </w:r>
      <w:r w:rsidR="00D577D3">
        <w:t xml:space="preserve"> longer buffering </w:t>
      </w:r>
      <w:r w:rsidR="00790D08">
        <w:t>requirements</w:t>
      </w:r>
      <w:r w:rsidR="0080166F">
        <w:t>)</w:t>
      </w:r>
      <w:r w:rsidR="00E26261">
        <w:t xml:space="preserve"> and therefore, RAN2 agreed to </w:t>
      </w:r>
      <w:r w:rsidR="007907C5">
        <w:t>enable an indication</w:t>
      </w:r>
      <w:r w:rsidR="00E26261" w:rsidRPr="00E26261">
        <w:t xml:space="preserve"> in SIB1 </w:t>
      </w:r>
      <w:r w:rsidR="007907C5">
        <w:t>to</w:t>
      </w:r>
      <w:r w:rsidR="00E26261" w:rsidRPr="00E26261">
        <w:t xml:space="preserve"> allow</w:t>
      </w:r>
      <w:r w:rsidR="007907C5">
        <w:t xml:space="preserve"> or not the</w:t>
      </w:r>
      <w:r w:rsidR="00E26261" w:rsidRPr="00E26261">
        <w:t xml:space="preserve"> us</w:t>
      </w:r>
      <w:r w:rsidR="007907C5">
        <w:t>age of</w:t>
      </w:r>
      <w:r w:rsidR="00E26261" w:rsidRPr="00E26261">
        <w:t xml:space="preserve"> the </w:t>
      </w:r>
      <w:r w:rsidR="007907C5">
        <w:t>Rel-18 INACTIVE eDRX &gt; 10.24 sec similarly as it was done in Rel-17</w:t>
      </w:r>
      <w:r w:rsidR="0080166F">
        <w:t>.</w:t>
      </w:r>
      <w:r w:rsidR="00B9612D">
        <w:t xml:space="preserve"> </w:t>
      </w:r>
    </w:p>
    <w:p w14:paraId="7F0FF9C9" w14:textId="5EA184F6" w:rsidR="002849E5" w:rsidRPr="00FE752B" w:rsidRDefault="002849E5" w:rsidP="00CD7016">
      <w:pPr>
        <w:pStyle w:val="ListParagraph"/>
        <w:spacing w:before="120" w:after="120"/>
        <w:contextualSpacing w:val="0"/>
        <w:jc w:val="both"/>
        <w:rPr>
          <w:i/>
          <w:iCs/>
        </w:rPr>
      </w:pPr>
      <w:r w:rsidRPr="00FE752B">
        <w:rPr>
          <w:b/>
          <w:bCs/>
          <w:i/>
          <w:iCs/>
        </w:rPr>
        <w:t>eDRX-AllowedInactive</w:t>
      </w:r>
      <w:r>
        <w:rPr>
          <w:b/>
          <w:bCs/>
          <w:i/>
          <w:iCs/>
        </w:rPr>
        <w:t>-r17</w:t>
      </w:r>
      <w:r w:rsidRPr="00FE752B">
        <w:rPr>
          <w:b/>
          <w:bCs/>
          <w:i/>
          <w:iCs/>
        </w:rPr>
        <w:t xml:space="preserve"> </w:t>
      </w:r>
      <w:r w:rsidRPr="002849E5">
        <w:rPr>
          <w:rFonts w:ascii="Wingdings" w:eastAsia="Wingdings" w:hAnsi="Wingdings" w:cs="Wingdings"/>
          <w:b/>
          <w:bCs/>
          <w:i/>
          <w:iCs/>
        </w:rPr>
        <w:t>à</w:t>
      </w:r>
      <w:r>
        <w:rPr>
          <w:b/>
          <w:bCs/>
          <w:i/>
          <w:iCs/>
        </w:rPr>
        <w:t xml:space="preserve">  </w:t>
      </w:r>
      <w:r w:rsidRPr="00FE752B">
        <w:rPr>
          <w:i/>
          <w:iCs/>
        </w:rPr>
        <w:t xml:space="preserve">The presence of this field indicates that extended </w:t>
      </w:r>
      <w:r w:rsidRPr="002849E5">
        <w:rPr>
          <w:i/>
          <w:iCs/>
        </w:rPr>
        <w:t xml:space="preserve">DRX for RAN paging is </w:t>
      </w:r>
      <w:r w:rsidRPr="002849E5">
        <w:rPr>
          <w:b/>
          <w:bCs/>
          <w:i/>
          <w:iCs/>
          <w:u w:val="single"/>
        </w:rPr>
        <w:t>allowed</w:t>
      </w:r>
      <w:r w:rsidRPr="002849E5">
        <w:rPr>
          <w:i/>
          <w:iCs/>
        </w:rPr>
        <w:t xml:space="preserve"> in the cell for UEs in RRC_INACTIVE. The UE shall </w:t>
      </w:r>
      <w:r w:rsidRPr="002849E5">
        <w:rPr>
          <w:b/>
          <w:bCs/>
          <w:i/>
          <w:iCs/>
          <w:u w:val="single"/>
        </w:rPr>
        <w:t xml:space="preserve">stop using extended DRX </w:t>
      </w:r>
      <w:r w:rsidRPr="002849E5">
        <w:rPr>
          <w:i/>
          <w:iCs/>
        </w:rPr>
        <w:t xml:space="preserve">for RAN paging in RRC_INACTIVE if eDRX-AllowedInactive is </w:t>
      </w:r>
      <w:r w:rsidRPr="002849E5">
        <w:rPr>
          <w:b/>
          <w:bCs/>
          <w:i/>
          <w:iCs/>
          <w:u w:val="single"/>
        </w:rPr>
        <w:t>not present</w:t>
      </w:r>
      <w:r w:rsidRPr="002849E5">
        <w:rPr>
          <w:i/>
          <w:iCs/>
        </w:rPr>
        <w:t>.</w:t>
      </w:r>
    </w:p>
    <w:p w14:paraId="2CFB652A" w14:textId="0D81E365" w:rsidR="00483FF5" w:rsidRDefault="00CD7016" w:rsidP="00AD025B">
      <w:pPr>
        <w:spacing w:after="120"/>
        <w:jc w:val="both"/>
      </w:pPr>
      <w:r>
        <w:t>Considering above ex</w:t>
      </w:r>
      <w:r w:rsidR="00DE500C">
        <w:t>planation, t</w:t>
      </w:r>
      <w:r w:rsidR="00B9612D">
        <w:t>h</w:t>
      </w:r>
      <w:r w:rsidR="004533FB">
        <w:t>e following table summarize</w:t>
      </w:r>
      <w:r w:rsidR="00146B68">
        <w:t>s</w:t>
      </w:r>
      <w:r w:rsidR="004533FB">
        <w:t xml:space="preserve"> possible scenarios that a UE </w:t>
      </w:r>
      <w:r w:rsidR="00146B68">
        <w:t xml:space="preserve">might </w:t>
      </w:r>
      <w:r w:rsidR="00EC126E">
        <w:t xml:space="preserve">encounter when </w:t>
      </w:r>
      <w:r w:rsidR="004533FB">
        <w:t>configured with Rel-17 INACTIVE eDRX ≤ 10.24 sec and Rel-18 INACTIVE eDRX &gt; 10.24 sec</w:t>
      </w:r>
      <w:r w:rsidR="00146B68" w:rsidRPr="00146B68">
        <w:t xml:space="preserve"> </w:t>
      </w:r>
      <w:r w:rsidR="00146B68">
        <w:t>at the same time</w:t>
      </w:r>
      <w:r w:rsidR="00EC126E">
        <w:t>:</w:t>
      </w:r>
    </w:p>
    <w:tbl>
      <w:tblPr>
        <w:tblStyle w:val="TableGrid"/>
        <w:tblW w:w="0" w:type="auto"/>
        <w:jc w:val="center"/>
        <w:tblLook w:val="04A0" w:firstRow="1" w:lastRow="0" w:firstColumn="1" w:lastColumn="0" w:noHBand="0" w:noVBand="1"/>
      </w:tblPr>
      <w:tblGrid>
        <w:gridCol w:w="961"/>
        <w:gridCol w:w="1728"/>
        <w:gridCol w:w="1728"/>
        <w:gridCol w:w="4320"/>
      </w:tblGrid>
      <w:tr w:rsidR="00CA184C" w14:paraId="61CA2D1F" w14:textId="77777777" w:rsidTr="00CA184C">
        <w:trPr>
          <w:jc w:val="center"/>
        </w:trPr>
        <w:tc>
          <w:tcPr>
            <w:tcW w:w="961" w:type="dxa"/>
            <w:shd w:val="clear" w:color="auto" w:fill="BFBFBF" w:themeFill="background1" w:themeFillShade="BF"/>
            <w:vAlign w:val="center"/>
          </w:tcPr>
          <w:p w14:paraId="07DEB812" w14:textId="52A94CE6" w:rsidR="00484A7A" w:rsidRPr="00CA184C" w:rsidRDefault="00484A7A" w:rsidP="00484A7A">
            <w:pPr>
              <w:spacing w:after="0"/>
              <w:jc w:val="center"/>
              <w:rPr>
                <w:b/>
                <w:bCs/>
              </w:rPr>
            </w:pPr>
            <w:r w:rsidRPr="00CA184C">
              <w:rPr>
                <w:b/>
                <w:bCs/>
              </w:rPr>
              <w:t>Scenario</w:t>
            </w:r>
          </w:p>
        </w:tc>
        <w:tc>
          <w:tcPr>
            <w:tcW w:w="1728" w:type="dxa"/>
            <w:shd w:val="clear" w:color="auto" w:fill="BFBFBF" w:themeFill="background1" w:themeFillShade="BF"/>
            <w:vAlign w:val="center"/>
          </w:tcPr>
          <w:p w14:paraId="758E8FA9" w14:textId="53971B1D" w:rsidR="00484A7A" w:rsidRPr="00CA184C" w:rsidRDefault="00484A7A" w:rsidP="00484A7A">
            <w:pPr>
              <w:spacing w:after="0"/>
              <w:jc w:val="center"/>
              <w:rPr>
                <w:b/>
                <w:bCs/>
              </w:rPr>
            </w:pPr>
            <w:r w:rsidRPr="00CA184C">
              <w:rPr>
                <w:b/>
                <w:bCs/>
              </w:rPr>
              <w:t>R17</w:t>
            </w:r>
            <w:r w:rsidR="00CA184C" w:rsidRPr="00CA184C">
              <w:rPr>
                <w:b/>
                <w:bCs/>
              </w:rPr>
              <w:t xml:space="preserve"> </w:t>
            </w:r>
            <w:r w:rsidRPr="00CA184C">
              <w:rPr>
                <w:b/>
                <w:bCs/>
              </w:rPr>
              <w:t>INACTIVE eDRX</w:t>
            </w:r>
            <w:r w:rsidR="00C55351" w:rsidRPr="00CA184C">
              <w:rPr>
                <w:b/>
                <w:bCs/>
              </w:rPr>
              <w:t xml:space="preserve"> </w:t>
            </w:r>
            <w:r w:rsidRPr="00CA184C">
              <w:rPr>
                <w:b/>
                <w:bCs/>
              </w:rPr>
              <w:t>≤</w:t>
            </w:r>
            <w:r w:rsidR="00C55351" w:rsidRPr="00CA184C">
              <w:rPr>
                <w:b/>
                <w:bCs/>
              </w:rPr>
              <w:t xml:space="preserve"> </w:t>
            </w:r>
            <w:r w:rsidRPr="00CA184C">
              <w:rPr>
                <w:b/>
                <w:bCs/>
              </w:rPr>
              <w:t>10.24s</w:t>
            </w:r>
          </w:p>
        </w:tc>
        <w:tc>
          <w:tcPr>
            <w:tcW w:w="1728" w:type="dxa"/>
            <w:shd w:val="clear" w:color="auto" w:fill="BFBFBF" w:themeFill="background1" w:themeFillShade="BF"/>
            <w:vAlign w:val="center"/>
          </w:tcPr>
          <w:p w14:paraId="792A2D1E" w14:textId="66F80352" w:rsidR="00484A7A" w:rsidRPr="00CA184C" w:rsidRDefault="00484A7A" w:rsidP="00484A7A">
            <w:pPr>
              <w:spacing w:after="0"/>
              <w:jc w:val="center"/>
              <w:rPr>
                <w:b/>
                <w:bCs/>
              </w:rPr>
            </w:pPr>
            <w:r w:rsidRPr="00CA184C">
              <w:rPr>
                <w:b/>
                <w:bCs/>
              </w:rPr>
              <w:t>R18 INACTIVE eDRX</w:t>
            </w:r>
            <w:r w:rsidR="00C55351" w:rsidRPr="00CA184C">
              <w:rPr>
                <w:b/>
                <w:bCs/>
              </w:rPr>
              <w:t xml:space="preserve"> &gt; </w:t>
            </w:r>
            <w:r w:rsidRPr="00CA184C">
              <w:rPr>
                <w:b/>
                <w:bCs/>
              </w:rPr>
              <w:t>10.24s</w:t>
            </w:r>
          </w:p>
        </w:tc>
        <w:tc>
          <w:tcPr>
            <w:tcW w:w="4320" w:type="dxa"/>
            <w:shd w:val="clear" w:color="auto" w:fill="BFBFBF" w:themeFill="background1" w:themeFillShade="BF"/>
            <w:vAlign w:val="center"/>
          </w:tcPr>
          <w:p w14:paraId="6211D94C" w14:textId="242D2E40" w:rsidR="00484A7A" w:rsidRPr="00CA184C" w:rsidRDefault="00C43501" w:rsidP="00484A7A">
            <w:pPr>
              <w:spacing w:after="0"/>
              <w:jc w:val="center"/>
              <w:rPr>
                <w:b/>
                <w:bCs/>
              </w:rPr>
            </w:pPr>
            <w:r>
              <w:rPr>
                <w:b/>
                <w:bCs/>
              </w:rPr>
              <w:t xml:space="preserve">eDRX is used by UE (when UE is configured with </w:t>
            </w:r>
            <w:r w:rsidRPr="00C43501">
              <w:rPr>
                <w:rFonts w:hint="eastAsia"/>
                <w:b/>
                <w:bCs/>
              </w:rPr>
              <w:t xml:space="preserve">INACTIVE eDRX </w:t>
            </w:r>
            <w:r w:rsidRPr="00C43501">
              <w:rPr>
                <w:rFonts w:hint="eastAsia"/>
                <w:b/>
                <w:bCs/>
              </w:rPr>
              <w:t>≤</w:t>
            </w:r>
            <w:r w:rsidRPr="00C43501">
              <w:rPr>
                <w:rFonts w:hint="eastAsia"/>
                <w:b/>
                <w:bCs/>
              </w:rPr>
              <w:t xml:space="preserve"> 10.24 s </w:t>
            </w:r>
            <w:r>
              <w:rPr>
                <w:b/>
                <w:bCs/>
              </w:rPr>
              <w:t>&amp;</w:t>
            </w:r>
            <w:r w:rsidRPr="00C43501">
              <w:rPr>
                <w:rFonts w:hint="eastAsia"/>
                <w:b/>
                <w:bCs/>
              </w:rPr>
              <w:t xml:space="preserve"> &gt; 10.24</w:t>
            </w:r>
            <w:r>
              <w:rPr>
                <w:b/>
                <w:bCs/>
              </w:rPr>
              <w:t>s)</w:t>
            </w:r>
          </w:p>
        </w:tc>
      </w:tr>
      <w:tr w:rsidR="00CA184C" w14:paraId="4B4522F2" w14:textId="77777777" w:rsidTr="00C43501">
        <w:trPr>
          <w:jc w:val="center"/>
        </w:trPr>
        <w:tc>
          <w:tcPr>
            <w:tcW w:w="961" w:type="dxa"/>
            <w:shd w:val="clear" w:color="auto" w:fill="F2F2F2" w:themeFill="background1" w:themeFillShade="F2"/>
          </w:tcPr>
          <w:p w14:paraId="7FFC36E9" w14:textId="28A7A50C" w:rsidR="00484A7A" w:rsidRPr="00CA184C" w:rsidRDefault="00484A7A" w:rsidP="00CA184C">
            <w:pPr>
              <w:spacing w:after="0"/>
              <w:jc w:val="center"/>
              <w:rPr>
                <w:b/>
                <w:bCs/>
              </w:rPr>
            </w:pPr>
            <w:r w:rsidRPr="00CA184C">
              <w:rPr>
                <w:b/>
                <w:bCs/>
              </w:rPr>
              <w:t>(A)</w:t>
            </w:r>
          </w:p>
        </w:tc>
        <w:tc>
          <w:tcPr>
            <w:tcW w:w="1728" w:type="dxa"/>
            <w:shd w:val="clear" w:color="auto" w:fill="F2F2F2" w:themeFill="background1" w:themeFillShade="F2"/>
          </w:tcPr>
          <w:p w14:paraId="2431E969" w14:textId="044C914A" w:rsidR="00484A7A" w:rsidRDefault="00CA184C" w:rsidP="00484A7A">
            <w:pPr>
              <w:spacing w:after="0"/>
              <w:jc w:val="both"/>
            </w:pPr>
            <w:r>
              <w:t>Allowed</w:t>
            </w:r>
          </w:p>
        </w:tc>
        <w:tc>
          <w:tcPr>
            <w:tcW w:w="1728" w:type="dxa"/>
            <w:shd w:val="clear" w:color="auto" w:fill="F2F2F2" w:themeFill="background1" w:themeFillShade="F2"/>
          </w:tcPr>
          <w:p w14:paraId="29D4313F" w14:textId="396AE2F3" w:rsidR="00484A7A" w:rsidRDefault="00CA184C" w:rsidP="00484A7A">
            <w:pPr>
              <w:spacing w:after="0"/>
              <w:jc w:val="both"/>
            </w:pPr>
            <w:r>
              <w:t>Allowed</w:t>
            </w:r>
          </w:p>
        </w:tc>
        <w:tc>
          <w:tcPr>
            <w:tcW w:w="4320" w:type="dxa"/>
          </w:tcPr>
          <w:p w14:paraId="4C71F808" w14:textId="61A9D0E7" w:rsidR="00484A7A" w:rsidRDefault="00C514EF" w:rsidP="00484A7A">
            <w:pPr>
              <w:spacing w:after="0"/>
              <w:jc w:val="both"/>
            </w:pPr>
            <w:r>
              <w:t>Rel-18 INACTIVE eDRX &gt; 10.24 sec</w:t>
            </w:r>
          </w:p>
        </w:tc>
      </w:tr>
      <w:tr w:rsidR="00C514EF" w14:paraId="25DBF6C7" w14:textId="77777777" w:rsidTr="00C43501">
        <w:trPr>
          <w:jc w:val="center"/>
        </w:trPr>
        <w:tc>
          <w:tcPr>
            <w:tcW w:w="961" w:type="dxa"/>
            <w:shd w:val="clear" w:color="auto" w:fill="F2F2F2" w:themeFill="background1" w:themeFillShade="F2"/>
          </w:tcPr>
          <w:p w14:paraId="0931BFC7" w14:textId="009E881C" w:rsidR="00C514EF" w:rsidRPr="00CA184C" w:rsidRDefault="00C514EF" w:rsidP="00C514EF">
            <w:pPr>
              <w:spacing w:after="0"/>
              <w:jc w:val="center"/>
              <w:rPr>
                <w:b/>
                <w:bCs/>
              </w:rPr>
            </w:pPr>
            <w:r w:rsidRPr="00CA184C">
              <w:rPr>
                <w:b/>
                <w:bCs/>
              </w:rPr>
              <w:t>(B)</w:t>
            </w:r>
          </w:p>
        </w:tc>
        <w:tc>
          <w:tcPr>
            <w:tcW w:w="1728" w:type="dxa"/>
            <w:shd w:val="clear" w:color="auto" w:fill="F2F2F2" w:themeFill="background1" w:themeFillShade="F2"/>
          </w:tcPr>
          <w:p w14:paraId="365A882A" w14:textId="5978D7CA" w:rsidR="00C514EF" w:rsidRDefault="00C514EF" w:rsidP="00C514EF">
            <w:pPr>
              <w:spacing w:after="0"/>
              <w:jc w:val="both"/>
            </w:pPr>
            <w:r w:rsidRPr="00CA184C">
              <w:rPr>
                <w:b/>
                <w:bCs/>
              </w:rPr>
              <w:t>Not</w:t>
            </w:r>
            <w:r>
              <w:t xml:space="preserve"> allowed</w:t>
            </w:r>
          </w:p>
        </w:tc>
        <w:tc>
          <w:tcPr>
            <w:tcW w:w="1728" w:type="dxa"/>
            <w:shd w:val="clear" w:color="auto" w:fill="F2F2F2" w:themeFill="background1" w:themeFillShade="F2"/>
          </w:tcPr>
          <w:p w14:paraId="4A267C76" w14:textId="235A301F" w:rsidR="00C514EF" w:rsidRDefault="00C514EF" w:rsidP="00C514EF">
            <w:pPr>
              <w:spacing w:after="0"/>
              <w:jc w:val="both"/>
            </w:pPr>
            <w:r>
              <w:t>Allowed</w:t>
            </w:r>
          </w:p>
        </w:tc>
        <w:tc>
          <w:tcPr>
            <w:tcW w:w="4320" w:type="dxa"/>
          </w:tcPr>
          <w:p w14:paraId="4181A677" w14:textId="2C171937" w:rsidR="00C514EF" w:rsidRDefault="00C514EF" w:rsidP="00C514EF">
            <w:pPr>
              <w:spacing w:after="0"/>
              <w:jc w:val="both"/>
            </w:pPr>
            <w:r>
              <w:t>Rel-18 INACTIVE eDRX &gt; 10.24 sec</w:t>
            </w:r>
          </w:p>
        </w:tc>
      </w:tr>
      <w:tr w:rsidR="00C514EF" w14:paraId="201BEF96" w14:textId="77777777" w:rsidTr="00C43501">
        <w:trPr>
          <w:jc w:val="center"/>
        </w:trPr>
        <w:tc>
          <w:tcPr>
            <w:tcW w:w="961" w:type="dxa"/>
            <w:shd w:val="clear" w:color="auto" w:fill="F2F2F2" w:themeFill="background1" w:themeFillShade="F2"/>
          </w:tcPr>
          <w:p w14:paraId="13C066EE" w14:textId="474932A4" w:rsidR="00C514EF" w:rsidRPr="00CA184C" w:rsidRDefault="00C514EF" w:rsidP="00C514EF">
            <w:pPr>
              <w:spacing w:after="0"/>
              <w:jc w:val="center"/>
              <w:rPr>
                <w:b/>
                <w:bCs/>
              </w:rPr>
            </w:pPr>
            <w:r w:rsidRPr="00CA184C">
              <w:rPr>
                <w:b/>
                <w:bCs/>
              </w:rPr>
              <w:t>(C)</w:t>
            </w:r>
          </w:p>
        </w:tc>
        <w:tc>
          <w:tcPr>
            <w:tcW w:w="1728" w:type="dxa"/>
            <w:shd w:val="clear" w:color="auto" w:fill="F2F2F2" w:themeFill="background1" w:themeFillShade="F2"/>
          </w:tcPr>
          <w:p w14:paraId="57396917" w14:textId="276364F0" w:rsidR="00C514EF" w:rsidRDefault="00C514EF" w:rsidP="00C514EF">
            <w:pPr>
              <w:spacing w:after="0"/>
              <w:jc w:val="both"/>
            </w:pPr>
            <w:r>
              <w:t>Allowed</w:t>
            </w:r>
          </w:p>
        </w:tc>
        <w:tc>
          <w:tcPr>
            <w:tcW w:w="1728" w:type="dxa"/>
            <w:shd w:val="clear" w:color="auto" w:fill="F2F2F2" w:themeFill="background1" w:themeFillShade="F2"/>
          </w:tcPr>
          <w:p w14:paraId="50816CC6" w14:textId="3CC26743" w:rsidR="00C514EF" w:rsidRDefault="00C514EF" w:rsidP="00C514EF">
            <w:pPr>
              <w:spacing w:after="0"/>
              <w:jc w:val="both"/>
            </w:pPr>
            <w:r w:rsidRPr="00CA184C">
              <w:rPr>
                <w:b/>
                <w:bCs/>
              </w:rPr>
              <w:t>Not</w:t>
            </w:r>
            <w:r>
              <w:t xml:space="preserve"> allowed</w:t>
            </w:r>
          </w:p>
        </w:tc>
        <w:tc>
          <w:tcPr>
            <w:tcW w:w="4320" w:type="dxa"/>
          </w:tcPr>
          <w:p w14:paraId="1036C478" w14:textId="2A69AA7F" w:rsidR="00C514EF" w:rsidRDefault="00C514EF" w:rsidP="00C514EF">
            <w:pPr>
              <w:spacing w:after="0"/>
              <w:jc w:val="both"/>
            </w:pPr>
            <w:r>
              <w:t>Rel-17 INACTIVE eDRX &gt; 10.24 sec</w:t>
            </w:r>
          </w:p>
        </w:tc>
      </w:tr>
    </w:tbl>
    <w:p w14:paraId="5A865EF9" w14:textId="1D9A5946" w:rsidR="00B9612D" w:rsidRDefault="00CE3CAD" w:rsidP="00CE3CAD">
      <w:pPr>
        <w:spacing w:before="240" w:after="120"/>
        <w:jc w:val="both"/>
      </w:pPr>
      <w:r>
        <w:lastRenderedPageBreak/>
        <w:t xml:space="preserve">On </w:t>
      </w:r>
      <w:r w:rsidR="009B228A">
        <w:t>conclusion</w:t>
      </w:r>
      <w:r>
        <w:t>, UE always uses the longest configured eDRX when configured and allowed by the network.</w:t>
      </w:r>
      <w:r w:rsidR="00982CDC">
        <w:t xml:space="preserve"> Moreover RAN2 would also need to </w:t>
      </w:r>
      <w:r w:rsidR="00094BA9">
        <w:t>update</w:t>
      </w:r>
      <w:r w:rsidR="00982CDC">
        <w:t xml:space="preserve"> accordingly the definition capture</w:t>
      </w:r>
      <w:r w:rsidR="00094BA9">
        <w:t>d</w:t>
      </w:r>
      <w:r w:rsidR="00982CDC">
        <w:t xml:space="preserve"> on</w:t>
      </w:r>
      <w:r w:rsidR="009D6EDC">
        <w:t xml:space="preserve"> T</w:t>
      </w:r>
      <w:r w:rsidR="00982CDC">
        <w:t>S 38</w:t>
      </w:r>
      <w:r w:rsidR="00D6001D">
        <w:t>.</w:t>
      </w:r>
      <w:r w:rsidR="00982CDC">
        <w:t xml:space="preserve">304 </w:t>
      </w:r>
      <w:r w:rsidR="003521B2">
        <w:t>section 7</w:t>
      </w:r>
      <w:r w:rsidR="00330D12">
        <w:t>.</w:t>
      </w:r>
      <w:r w:rsidR="003521B2">
        <w:t xml:space="preserve">4 </w:t>
      </w:r>
      <w:r w:rsidR="00982CDC">
        <w:t>t</w:t>
      </w:r>
      <w:r w:rsidR="00094BA9">
        <w:t xml:space="preserve">hat explains </w:t>
      </w:r>
      <w:r w:rsidR="008E3C55">
        <w:t>how a UE is considered to “operate in eDRX”</w:t>
      </w:r>
      <w:r w:rsidR="00CF534F">
        <w:t>, for example as follows:</w:t>
      </w:r>
    </w:p>
    <w:p w14:paraId="5C438CF7" w14:textId="455F8F45" w:rsidR="00EC126E" w:rsidRDefault="003521B2" w:rsidP="00F17EE8">
      <w:pPr>
        <w:ind w:left="720"/>
      </w:pPr>
      <w:r>
        <w:rPr>
          <w:i/>
          <w:iCs/>
        </w:rPr>
        <w:t>“</w:t>
      </w:r>
      <w:r w:rsidRPr="003521B2">
        <w:rPr>
          <w:i/>
          <w:iCs/>
        </w:rPr>
        <w:t xml:space="preserve">The </w:t>
      </w:r>
      <w:r w:rsidRPr="004D5DF6">
        <w:rPr>
          <w:i/>
        </w:rPr>
        <w:t>UE operates in eDRX</w:t>
      </w:r>
      <w:r w:rsidRPr="003521B2">
        <w:rPr>
          <w:i/>
          <w:iCs/>
        </w:rPr>
        <w:t xml:space="preserve"> for CN paging in RRC_IDLE or RRC_INACTIVE states if the UE is configured for eDRX by upper layers and eDRX-AllowedIdle is signalled in SIB1. </w:t>
      </w:r>
      <w:r w:rsidR="00FA41DE" w:rsidRPr="004D5DF6">
        <w:rPr>
          <w:i/>
          <w:iCs/>
          <w:color w:val="FF0000"/>
          <w:u w:val="single"/>
        </w:rPr>
        <w:t>For eDRX cycle no greater than 10.24 sec, t</w:t>
      </w:r>
      <w:r w:rsidRPr="003521B2">
        <w:rPr>
          <w:i/>
          <w:iCs/>
        </w:rPr>
        <w:t xml:space="preserve">he </w:t>
      </w:r>
      <w:r w:rsidRPr="004D5DF6">
        <w:rPr>
          <w:i/>
        </w:rPr>
        <w:t>UE operates in eDRX</w:t>
      </w:r>
      <w:r w:rsidRPr="003521B2">
        <w:rPr>
          <w:i/>
          <w:iCs/>
        </w:rPr>
        <w:t xml:space="preserve"> for RAN paging in RRC_INACTIVE state if the UE is configured for eDRX by RAN and eDRX-AllowedInactive is signalled in SIB1.</w:t>
      </w:r>
      <w:r w:rsidR="00FA41DE">
        <w:rPr>
          <w:i/>
          <w:iCs/>
        </w:rPr>
        <w:t xml:space="preserve"> </w:t>
      </w:r>
      <w:r w:rsidR="00FA41DE" w:rsidRPr="003918D7">
        <w:rPr>
          <w:i/>
          <w:iCs/>
          <w:color w:val="FF0000"/>
          <w:u w:val="single"/>
        </w:rPr>
        <w:t>For eDRX cycle greater than 10.24 sec, t</w:t>
      </w:r>
      <w:r w:rsidR="00FA41DE" w:rsidRPr="004D5DF6">
        <w:rPr>
          <w:i/>
          <w:iCs/>
          <w:color w:val="FF0000"/>
          <w:u w:val="single"/>
        </w:rPr>
        <w:t>he UE operates in eDRX for RAN paging in RRC_INACTIVE state if the UE is configured for eDRX by RAN and eDRX-AllowedInactive</w:t>
      </w:r>
      <w:r w:rsidR="00D02D65" w:rsidRPr="004D5DF6">
        <w:rPr>
          <w:i/>
          <w:iCs/>
          <w:color w:val="FF0000"/>
          <w:u w:val="single"/>
        </w:rPr>
        <w:t>Above1024</w:t>
      </w:r>
      <w:r w:rsidR="00FA41DE" w:rsidRPr="004D5DF6">
        <w:rPr>
          <w:i/>
          <w:iCs/>
          <w:color w:val="FF0000"/>
          <w:u w:val="single"/>
        </w:rPr>
        <w:t xml:space="preserve"> is signalled in SIB1</w:t>
      </w:r>
      <w:r w:rsidRPr="004D5DF6">
        <w:rPr>
          <w:i/>
          <w:color w:val="FF0000"/>
          <w:u w:val="single"/>
        </w:rPr>
        <w:t>.</w:t>
      </w:r>
      <w:r w:rsidRPr="004D5DF6">
        <w:rPr>
          <w:color w:val="FF0000"/>
          <w:u w:val="single"/>
        </w:rPr>
        <w:t>”</w:t>
      </w:r>
    </w:p>
    <w:p w14:paraId="0ED38437" w14:textId="269F7598" w:rsidR="008E3C55" w:rsidRDefault="009B228A" w:rsidP="00AD025B">
      <w:pPr>
        <w:spacing w:after="120"/>
        <w:jc w:val="both"/>
      </w:pPr>
      <w:r>
        <w:t>Above behaviors can be summarized as followed for discussion:</w:t>
      </w:r>
    </w:p>
    <w:p w14:paraId="70E025E9" w14:textId="77777777" w:rsidR="00E05785" w:rsidRDefault="000849F1" w:rsidP="0080166F">
      <w:pPr>
        <w:pStyle w:val="Proposal"/>
        <w:numPr>
          <w:ilvl w:val="0"/>
          <w:numId w:val="4"/>
        </w:numPr>
        <w:spacing w:after="120"/>
      </w:pPr>
      <w:bookmarkStart w:id="34" w:name="_Ref130996277"/>
      <w:bookmarkStart w:id="35" w:name="_Toc131025427"/>
      <w:bookmarkStart w:id="36" w:name="_Toc131685982"/>
      <w:bookmarkStart w:id="37" w:name="_Toc131712552"/>
      <w:bookmarkStart w:id="38" w:name="_Toc131712583"/>
      <w:r>
        <w:t xml:space="preserve">UE </w:t>
      </w:r>
      <w:r w:rsidR="00B9612D">
        <w:t>can be configured at the same time with Rel-17 INACTIVE eDRX ≤ 10.24 sec and Rel-18 INACTIVE eDRX &gt; 10.24 sec</w:t>
      </w:r>
      <w:r w:rsidR="00A947E4">
        <w:t>. If so</w:t>
      </w:r>
      <w:r w:rsidR="00B9612D">
        <w:t xml:space="preserve">, </w:t>
      </w:r>
      <w:r w:rsidR="00CE3CAD">
        <w:t>UE always uses the longest configured eDRX configured and allowed by the network.</w:t>
      </w:r>
      <w:bookmarkEnd w:id="34"/>
      <w:bookmarkEnd w:id="35"/>
      <w:bookmarkEnd w:id="36"/>
      <w:bookmarkEnd w:id="37"/>
      <w:bookmarkEnd w:id="38"/>
      <w:r w:rsidR="006D5E0C">
        <w:t xml:space="preserve">  </w:t>
      </w:r>
    </w:p>
    <w:p w14:paraId="72FC5A3A" w14:textId="12B2BDF3" w:rsidR="0080166F" w:rsidRDefault="00571C00" w:rsidP="00E05785">
      <w:pPr>
        <w:pStyle w:val="Proposal"/>
        <w:numPr>
          <w:ilvl w:val="1"/>
          <w:numId w:val="4"/>
        </w:numPr>
        <w:spacing w:after="120"/>
      </w:pPr>
      <w:bookmarkStart w:id="39" w:name="_Toc131025428"/>
      <w:bookmarkStart w:id="40" w:name="_Toc131685983"/>
      <w:bookmarkStart w:id="41" w:name="_Toc131712553"/>
      <w:bookmarkStart w:id="42" w:name="_Toc131712584"/>
      <w:r>
        <w:t>For further clarification</w:t>
      </w:r>
      <w:r w:rsidR="00BD008C">
        <w:t xml:space="preserve">, </w:t>
      </w:r>
      <w:r w:rsidR="00944AB1">
        <w:fldChar w:fldCharType="begin"/>
      </w:r>
      <w:r w:rsidR="00944AB1">
        <w:instrText xml:space="preserve"> REF _Ref130996277 \r \h </w:instrText>
      </w:r>
      <w:r w:rsidR="00944AB1">
        <w:fldChar w:fldCharType="separate"/>
      </w:r>
      <w:r w:rsidR="00060116">
        <w:t>Proposal 3</w:t>
      </w:r>
      <w:r w:rsidR="00944AB1">
        <w:fldChar w:fldCharType="end"/>
      </w:r>
      <w:r w:rsidR="00BD008C">
        <w:t xml:space="preserve"> mean</w:t>
      </w:r>
      <w:r w:rsidR="00293ED7">
        <w:t>s</w:t>
      </w:r>
      <w:r>
        <w:t>:</w:t>
      </w:r>
      <w:bookmarkEnd w:id="39"/>
      <w:bookmarkEnd w:id="40"/>
      <w:bookmarkEnd w:id="41"/>
      <w:bookmarkEnd w:id="42"/>
    </w:p>
    <w:p w14:paraId="2497891C" w14:textId="7FBE317D" w:rsidR="00A947E4" w:rsidRDefault="00571C00" w:rsidP="00E05785">
      <w:pPr>
        <w:pStyle w:val="Proposal"/>
        <w:numPr>
          <w:ilvl w:val="2"/>
          <w:numId w:val="4"/>
        </w:numPr>
        <w:spacing w:after="120"/>
      </w:pPr>
      <w:bookmarkStart w:id="43" w:name="_Toc131025429"/>
      <w:bookmarkStart w:id="44" w:name="_Toc131685984"/>
      <w:bookmarkStart w:id="45" w:name="_Toc131712554"/>
      <w:bookmarkStart w:id="46" w:name="_Toc131712585"/>
      <w:r>
        <w:t xml:space="preserve">When UE is configured Rel-18 INACTIVE eDRX &gt; 10.24 sec and cell allows </w:t>
      </w:r>
      <w:r w:rsidR="00E14310">
        <w:t>its usage, UE uses it (i.e. UE does not use Rel-17 INACTIVE eDRX ≤ 10.24 sec even if it is configured and allowed in the cell)</w:t>
      </w:r>
      <w:r w:rsidR="00BD008C">
        <w:t xml:space="preserve"> – scenarios (A) &amp; (B)</w:t>
      </w:r>
      <w:r w:rsidR="00664458">
        <w:t>.</w:t>
      </w:r>
      <w:bookmarkEnd w:id="43"/>
      <w:bookmarkEnd w:id="44"/>
      <w:bookmarkEnd w:id="45"/>
      <w:bookmarkEnd w:id="46"/>
    </w:p>
    <w:p w14:paraId="73993D2B" w14:textId="13891A26" w:rsidR="00664458" w:rsidRDefault="00664458" w:rsidP="00E05785">
      <w:pPr>
        <w:pStyle w:val="Proposal"/>
        <w:numPr>
          <w:ilvl w:val="2"/>
          <w:numId w:val="4"/>
        </w:numPr>
        <w:spacing w:after="120"/>
      </w:pPr>
      <w:bookmarkStart w:id="47" w:name="_Toc131025430"/>
      <w:bookmarkStart w:id="48" w:name="_Toc131685985"/>
      <w:bookmarkStart w:id="49" w:name="_Toc131712555"/>
      <w:bookmarkStart w:id="50" w:name="_Toc131712586"/>
      <w:r>
        <w:t xml:space="preserve">When UE is configured Rel-18 INACTIVE eDRX &gt; 10.24 sec and cell does not allow its usage, UE uses use Rel-17 INACTIVE eDRX ≤ 10.24 sec if it </w:t>
      </w:r>
      <w:r w:rsidR="00561E6C">
        <w:t xml:space="preserve">was </w:t>
      </w:r>
      <w:r>
        <w:t>configured and</w:t>
      </w:r>
      <w:r w:rsidR="00561E6C">
        <w:t xml:space="preserve"> is</w:t>
      </w:r>
      <w:r>
        <w:t xml:space="preserve"> allowed by the network</w:t>
      </w:r>
      <w:r w:rsidR="00BD008C">
        <w:t xml:space="preserve"> – scenario (C).</w:t>
      </w:r>
      <w:bookmarkEnd w:id="47"/>
      <w:bookmarkEnd w:id="48"/>
      <w:bookmarkEnd w:id="49"/>
      <w:bookmarkEnd w:id="50"/>
    </w:p>
    <w:p w14:paraId="33212DF4" w14:textId="2C2342A1" w:rsidR="00A013D1" w:rsidRDefault="00A013D1" w:rsidP="00E05785">
      <w:pPr>
        <w:pStyle w:val="Proposal"/>
        <w:numPr>
          <w:ilvl w:val="1"/>
          <w:numId w:val="4"/>
        </w:numPr>
        <w:spacing w:after="120"/>
      </w:pPr>
      <w:bookmarkStart w:id="51" w:name="_Toc131025431"/>
      <w:bookmarkStart w:id="52" w:name="_Toc131685986"/>
      <w:bookmarkStart w:id="53" w:name="_Toc131712556"/>
      <w:bookmarkStart w:id="54" w:name="_Toc131712587"/>
      <w:r>
        <w:t xml:space="preserve">To update </w:t>
      </w:r>
      <w:r w:rsidR="007E0B98">
        <w:t>what means “UE operates in eDRX” in TS 38</w:t>
      </w:r>
      <w:r w:rsidR="003D7C38">
        <w:t>.</w:t>
      </w:r>
      <w:r w:rsidR="007E0B98">
        <w:t xml:space="preserve">304 </w:t>
      </w:r>
      <w:r w:rsidR="00944AB1">
        <w:t>consid</w:t>
      </w:r>
      <w:r w:rsidR="00AF4A56">
        <w:t>ering Rel-18 INACTIVE eDRX 10</w:t>
      </w:r>
      <w:r w:rsidR="003D7C38">
        <w:t>.</w:t>
      </w:r>
      <w:r w:rsidR="00AF4A56">
        <w:t xml:space="preserve">24 sec </w:t>
      </w:r>
      <w:r w:rsidR="00D15CC5">
        <w:t xml:space="preserve">agreed </w:t>
      </w:r>
      <w:r w:rsidR="00AF4A56">
        <w:t>behaviour</w:t>
      </w:r>
      <w:r w:rsidR="00312762">
        <w:t xml:space="preserve"> (e.g. as </w:t>
      </w:r>
      <w:r w:rsidR="00CF534F">
        <w:t>shown in above TP)</w:t>
      </w:r>
      <w:bookmarkEnd w:id="51"/>
      <w:bookmarkEnd w:id="52"/>
      <w:bookmarkEnd w:id="53"/>
      <w:bookmarkEnd w:id="54"/>
    </w:p>
    <w:p w14:paraId="64ADD72B" w14:textId="77777777" w:rsidR="006543A2" w:rsidRDefault="006543A2" w:rsidP="00054827">
      <w:pPr>
        <w:jc w:val="both"/>
      </w:pPr>
    </w:p>
    <w:p w14:paraId="1EC2E8C7" w14:textId="77777777" w:rsidR="006543A2" w:rsidRDefault="006543A2" w:rsidP="00054827">
      <w:pPr>
        <w:jc w:val="both"/>
      </w:pPr>
    </w:p>
    <w:p w14:paraId="0D8AC9BA" w14:textId="4949B799" w:rsidR="00C67038" w:rsidRDefault="00E70136" w:rsidP="00C67038">
      <w:pPr>
        <w:pStyle w:val="Heading2"/>
      </w:pPr>
      <w:r>
        <w:t xml:space="preserve">Paging </w:t>
      </w:r>
      <w:r w:rsidR="00AB6D6A">
        <w:t>for UE in RRC_INACTIVE with</w:t>
      </w:r>
      <w:r>
        <w:t xml:space="preserve"> eDRX &gt; 10.24sec</w:t>
      </w:r>
      <w:r w:rsidR="00AB6D6A">
        <w:t xml:space="preserve"> </w:t>
      </w:r>
    </w:p>
    <w:p w14:paraId="7F03C1AB" w14:textId="77777777" w:rsidR="00AD7943" w:rsidRDefault="00AD7943" w:rsidP="00AD7943">
      <w:pPr>
        <w:spacing w:before="240" w:after="120"/>
        <w:jc w:val="both"/>
      </w:pPr>
      <w:r>
        <w:t>RAN2 agreement related to the c</w:t>
      </w:r>
      <w:r w:rsidRPr="00BE432D">
        <w:t>onfiguration of eDRX &gt; 10.24sec in RRC_INACTIVE</w:t>
      </w:r>
      <w:r>
        <w:t>:</w:t>
      </w:r>
    </w:p>
    <w:p w14:paraId="1B69BE37" w14:textId="77777777" w:rsidR="005F5E41" w:rsidRPr="00450FFD" w:rsidRDefault="005F5E41" w:rsidP="005F5E41">
      <w:pPr>
        <w:pStyle w:val="Agreement"/>
        <w:tabs>
          <w:tab w:val="num" w:pos="720"/>
        </w:tabs>
        <w:ind w:left="720"/>
        <w:rPr>
          <w:b w:val="0"/>
          <w:bCs/>
          <w:i/>
          <w:iCs/>
          <w:lang w:eastAsia="ja-JP"/>
        </w:rPr>
      </w:pPr>
      <w:r w:rsidRPr="00450FFD">
        <w:rPr>
          <w:b w:val="0"/>
          <w:bCs/>
          <w:i/>
          <w:iCs/>
          <w:lang w:eastAsia="ja-JP"/>
        </w:rPr>
        <w:t>The formula of PH/PTW for IDLE eDRX can be reused for enhanced INACTIVE eDRX, for eDRX cycles longer than 10.24s.</w:t>
      </w:r>
    </w:p>
    <w:p w14:paraId="42B31188" w14:textId="77777777" w:rsidR="005F5E41" w:rsidRPr="00450FFD" w:rsidRDefault="005F5E41" w:rsidP="005F5E41">
      <w:pPr>
        <w:pStyle w:val="Agreement"/>
        <w:tabs>
          <w:tab w:val="num" w:pos="720"/>
        </w:tabs>
        <w:ind w:left="720"/>
        <w:rPr>
          <w:b w:val="0"/>
          <w:bCs/>
          <w:i/>
          <w:iCs/>
          <w:lang w:eastAsia="ja-JP"/>
        </w:rPr>
      </w:pPr>
      <w:r w:rsidRPr="00450FFD">
        <w:rPr>
          <w:b w:val="0"/>
          <w:bCs/>
          <w:i/>
          <w:iCs/>
          <w:lang w:eastAsia="ja-JP"/>
        </w:rPr>
        <w:t xml:space="preserve">RAN2 confirms the R17 agreements made at RAN2#114 for enhanced INACTIVE eDRX: </w:t>
      </w:r>
    </w:p>
    <w:p w14:paraId="6AB4682B" w14:textId="01DE7530" w:rsidR="005F5E41" w:rsidRPr="000D55D5" w:rsidRDefault="005F5E41" w:rsidP="005F5E41">
      <w:pPr>
        <w:pStyle w:val="Agreement"/>
        <w:numPr>
          <w:ilvl w:val="1"/>
          <w:numId w:val="31"/>
        </w:numPr>
        <w:ind w:left="1170"/>
        <w:rPr>
          <w:i/>
          <w:iCs/>
          <w:lang w:eastAsia="ja-JP"/>
        </w:rPr>
      </w:pPr>
      <w:r w:rsidRPr="00450FFD">
        <w:rPr>
          <w:b w:val="0"/>
          <w:bCs/>
          <w:i/>
          <w:iCs/>
          <w:lang w:eastAsia="ja-JP"/>
        </w:rPr>
        <w:t xml:space="preserve">It is up to RAN to configure the length for PTW for RAN paging, the </w:t>
      </w:r>
      <w:r w:rsidRPr="000D55D5">
        <w:rPr>
          <w:i/>
          <w:iCs/>
          <w:lang w:eastAsia="ja-JP"/>
        </w:rPr>
        <w:t>RAN PTW length can be different from the CN PTW length.</w:t>
      </w:r>
    </w:p>
    <w:p w14:paraId="260D2AB1" w14:textId="6557E7A7" w:rsidR="005F5E41" w:rsidRPr="00450FFD" w:rsidRDefault="005F5E41" w:rsidP="005F5E41">
      <w:pPr>
        <w:pStyle w:val="Agreement"/>
        <w:numPr>
          <w:ilvl w:val="1"/>
          <w:numId w:val="31"/>
        </w:numPr>
        <w:ind w:left="1170"/>
        <w:rPr>
          <w:b w:val="0"/>
          <w:bCs/>
          <w:i/>
          <w:iCs/>
          <w:lang w:eastAsia="ja-JP"/>
        </w:rPr>
      </w:pPr>
      <w:r w:rsidRPr="00B54C42">
        <w:rPr>
          <w:b w:val="0"/>
          <w:bCs/>
          <w:i/>
          <w:iCs/>
          <w:u w:val="single"/>
          <w:lang w:eastAsia="ja-JP"/>
        </w:rPr>
        <w:t>When RAN and CN paging coincide in the same PH</w:t>
      </w:r>
      <w:r w:rsidRPr="005F5E41">
        <w:rPr>
          <w:b w:val="0"/>
          <w:bCs/>
          <w:i/>
          <w:iCs/>
          <w:lang w:eastAsia="ja-JP"/>
        </w:rPr>
        <w:t>,</w:t>
      </w:r>
      <w:r w:rsidRPr="00450FFD">
        <w:rPr>
          <w:b w:val="0"/>
          <w:bCs/>
          <w:i/>
          <w:iCs/>
          <w:lang w:eastAsia="ja-JP"/>
        </w:rPr>
        <w:t xml:space="preserve"> the actually used </w:t>
      </w:r>
      <w:r w:rsidRPr="005F5E41">
        <w:rPr>
          <w:b w:val="0"/>
          <w:bCs/>
          <w:i/>
          <w:iCs/>
          <w:lang w:eastAsia="ja-JP"/>
        </w:rPr>
        <w:t>PTW starting location is the same for RAN and CN paging.</w:t>
      </w:r>
      <w:r w:rsidRPr="00450FFD">
        <w:rPr>
          <w:b w:val="0"/>
          <w:bCs/>
          <w:i/>
          <w:iCs/>
          <w:lang w:eastAsia="ja-JP"/>
        </w:rPr>
        <w:t xml:space="preserve"> </w:t>
      </w:r>
      <w:r w:rsidRPr="00B54C42">
        <w:rPr>
          <w:b w:val="0"/>
          <w:bCs/>
          <w:i/>
          <w:iCs/>
          <w:u w:val="single"/>
          <w:lang w:eastAsia="ja-JP"/>
        </w:rPr>
        <w:t>FFS how to calculate the PTW starting location so that it is the same for RAN and CN PTW.</w:t>
      </w:r>
    </w:p>
    <w:p w14:paraId="622B7F72" w14:textId="77777777" w:rsidR="005F5E41" w:rsidRPr="00450FFD" w:rsidRDefault="005F5E41" w:rsidP="005F5E41">
      <w:pPr>
        <w:pStyle w:val="Agreement"/>
        <w:tabs>
          <w:tab w:val="num" w:pos="720"/>
        </w:tabs>
        <w:spacing w:after="120"/>
        <w:ind w:left="720"/>
        <w:rPr>
          <w:b w:val="0"/>
          <w:bCs/>
          <w:i/>
          <w:iCs/>
          <w:lang w:eastAsia="ja-JP"/>
        </w:rPr>
      </w:pPr>
      <w:r w:rsidRPr="00450FFD">
        <w:rPr>
          <w:b w:val="0"/>
          <w:bCs/>
          <w:i/>
          <w:iCs/>
          <w:lang w:eastAsia="ja-JP"/>
        </w:rPr>
        <w:t>PTW length value range of enhanced INACTIVE eDRX is same as IDLE eDRX, i.e. from 1.28s to 40.96s in the step of 1.28s.</w:t>
      </w:r>
    </w:p>
    <w:p w14:paraId="53AAE707" w14:textId="27700DB3" w:rsidR="001A322B" w:rsidRDefault="00CC4993" w:rsidP="009B228A">
      <w:pPr>
        <w:spacing w:before="180"/>
        <w:jc w:val="both"/>
      </w:pPr>
      <w:r>
        <w:t>Firstly</w:t>
      </w:r>
      <w:r w:rsidR="00BB3415">
        <w:t>,</w:t>
      </w:r>
      <w:r>
        <w:t xml:space="preserve"> </w:t>
      </w:r>
      <w:r w:rsidR="00001205">
        <w:t xml:space="preserve">we suggest </w:t>
      </w:r>
      <w:r w:rsidR="00BB3415">
        <w:t>discussing</w:t>
      </w:r>
      <w:r>
        <w:t xml:space="preserve"> </w:t>
      </w:r>
      <w:r w:rsidR="00001205">
        <w:t xml:space="preserve">how </w:t>
      </w:r>
      <w:r w:rsidR="00DA6595">
        <w:t xml:space="preserve">UE determines </w:t>
      </w:r>
      <w:r w:rsidR="00B070C6">
        <w:t xml:space="preserve">its DRX cycle (T) under the assumption that </w:t>
      </w:r>
      <w:r w:rsidR="00001205">
        <w:t xml:space="preserve">UE </w:t>
      </w:r>
      <w:r w:rsidR="00B070C6">
        <w:t>would need to consider its behaviour</w:t>
      </w:r>
      <w:r w:rsidR="00985395">
        <w:t xml:space="preserve"> </w:t>
      </w:r>
      <w:r w:rsidR="008926C1">
        <w:t>associated to</w:t>
      </w:r>
      <w:r w:rsidR="00985395">
        <w:t xml:space="preserve"> both RA</w:t>
      </w:r>
      <w:r w:rsidR="00001205">
        <w:t>N PTW and CN PTW</w:t>
      </w:r>
      <w:r w:rsidR="006076EA">
        <w:t xml:space="preserve">.  </w:t>
      </w:r>
      <w:r w:rsidR="008926C1">
        <w:t xml:space="preserve">For this discussion, it is assumed that </w:t>
      </w:r>
      <w:r w:rsidR="006076EA">
        <w:t>CN PTW and RAN PTW may or may not be overlapping</w:t>
      </w:r>
      <w:r w:rsidR="008926C1">
        <w:t xml:space="preserve"> </w:t>
      </w:r>
      <w:r w:rsidR="00985395">
        <w:t xml:space="preserve">understanding that </w:t>
      </w:r>
      <w:r w:rsidR="008926C1">
        <w:t xml:space="preserve">any case is valid as RAN2 agreed that </w:t>
      </w:r>
      <w:r w:rsidR="00985395">
        <w:t xml:space="preserve">at least </w:t>
      </w:r>
      <w:r w:rsidR="00540144">
        <w:t>PTW length</w:t>
      </w:r>
      <w:r w:rsidR="00985395">
        <w:t xml:space="preserve"> </w:t>
      </w:r>
      <w:r w:rsidR="00540144">
        <w:t>could</w:t>
      </w:r>
      <w:r w:rsidR="00985395">
        <w:t xml:space="preserve"> different</w:t>
      </w:r>
      <w:r w:rsidR="008926C1">
        <w:t xml:space="preserve"> between RAN PTW and CN PTW</w:t>
      </w:r>
      <w:r w:rsidR="00CF67F2" w:rsidRPr="00001205">
        <w:t>.</w:t>
      </w:r>
      <w:r w:rsidR="00B070C6">
        <w:t xml:space="preserve"> </w:t>
      </w:r>
      <w:r w:rsidR="007C765E">
        <w:t>On other hand, t</w:t>
      </w:r>
      <w:r w:rsidR="00540144">
        <w:t xml:space="preserve">here is no need to discuss the cases in which </w:t>
      </w:r>
      <w:r w:rsidR="003A7EA3">
        <w:t>CN eDRX</w:t>
      </w:r>
      <w:r w:rsidR="007C765E">
        <w:t xml:space="preserve"> cycle</w:t>
      </w:r>
      <w:r w:rsidR="003A7EA3">
        <w:t xml:space="preserve"> is not configured or is smaller than 10</w:t>
      </w:r>
      <w:r w:rsidR="003D7C38">
        <w:t>.</w:t>
      </w:r>
      <w:r w:rsidR="003A7EA3">
        <w:t xml:space="preserve">24 sec </w:t>
      </w:r>
      <w:r w:rsidR="001A322B">
        <w:t>as these scenarios are considered invalid</w:t>
      </w:r>
      <w:r w:rsidR="007C765E">
        <w:t xml:space="preserve"> in alignment to Rel-17 eDRX operation</w:t>
      </w:r>
      <w:r w:rsidR="001A322B">
        <w:t xml:space="preserve"> as captured in </w:t>
      </w:r>
      <w:r w:rsidR="00C428E4">
        <w:fldChar w:fldCharType="begin"/>
      </w:r>
      <w:r w:rsidR="00C428E4">
        <w:instrText xml:space="preserve"> REF _Ref131712239 \r \h </w:instrText>
      </w:r>
      <w:r w:rsidR="00C428E4">
        <w:fldChar w:fldCharType="separate"/>
      </w:r>
      <w:r w:rsidR="00060116">
        <w:t>Proposal 1</w:t>
      </w:r>
      <w:r w:rsidR="00C428E4">
        <w:fldChar w:fldCharType="end"/>
      </w:r>
      <w:r w:rsidR="00C428E4">
        <w:t xml:space="preserve"> </w:t>
      </w:r>
      <w:r w:rsidR="007C765E">
        <w:t>for confirmation</w:t>
      </w:r>
      <w:r w:rsidR="001A322B" w:rsidRPr="00001205">
        <w:t>.</w:t>
      </w:r>
      <w:r w:rsidR="001A322B">
        <w:t xml:space="preserve">  </w:t>
      </w:r>
    </w:p>
    <w:p w14:paraId="32247C05" w14:textId="226B6588" w:rsidR="008B4601" w:rsidRDefault="00001205" w:rsidP="009B228A">
      <w:pPr>
        <w:spacing w:before="180"/>
        <w:jc w:val="both"/>
      </w:pPr>
      <w:r>
        <w:t>The following table</w:t>
      </w:r>
      <w:r w:rsidR="00CF67F2">
        <w:t xml:space="preserve"> summarizes </w:t>
      </w:r>
      <w:r w:rsidR="0026556A">
        <w:t xml:space="preserve">how </w:t>
      </w:r>
      <w:r w:rsidR="004653C1">
        <w:t>T</w:t>
      </w:r>
      <w:r w:rsidR="00683A46">
        <w:t xml:space="preserve"> is calculated</w:t>
      </w:r>
      <w:r w:rsidR="004653C1">
        <w:t xml:space="preserve"> depending on whether </w:t>
      </w:r>
      <w:r w:rsidR="00B70C27">
        <w:t>UE is monitoring paging</w:t>
      </w:r>
      <w:r w:rsidR="004653C1">
        <w:t xml:space="preserve"> inside or outside of </w:t>
      </w:r>
      <w:r w:rsidR="00526A7C">
        <w:t xml:space="preserve">CN PTW </w:t>
      </w:r>
      <w:r w:rsidR="009B6BCD">
        <w:t>and</w:t>
      </w:r>
      <w:r w:rsidR="00B70C27">
        <w:t>/or RAN PTW</w:t>
      </w:r>
      <w:r w:rsidR="00BB3415" w:rsidRPr="00001205">
        <w:t>.</w:t>
      </w:r>
      <w:r w:rsidR="00BB3415">
        <w:t xml:space="preserve"> It is highlighted with different colors how R</w:t>
      </w:r>
      <w:r w:rsidR="00683A46">
        <w:t>el-18 INACTIVE eDRX</w:t>
      </w:r>
      <w:r w:rsidR="00BB3415">
        <w:t xml:space="preserve"> behaviour </w:t>
      </w:r>
      <w:r w:rsidR="00A1464C">
        <w:t>is</w:t>
      </w:r>
      <w:r w:rsidR="00BB3415">
        <w:t xml:space="preserve"> aligned </w:t>
      </w:r>
      <w:r w:rsidR="00A1464C">
        <w:t>with the corresponding behaviour</w:t>
      </w:r>
      <w:r w:rsidR="005933DC">
        <w:t xml:space="preserve"> </w:t>
      </w:r>
      <w:r w:rsidR="00A1464C">
        <w:t>defined for Rel-17 eDRX</w:t>
      </w:r>
      <w:r w:rsidR="005933DC" w:rsidRPr="00001205">
        <w:t>.</w:t>
      </w:r>
    </w:p>
    <w:tbl>
      <w:tblPr>
        <w:tblStyle w:val="TableGrid"/>
        <w:tblW w:w="5000" w:type="pct"/>
        <w:tblLook w:val="0420" w:firstRow="1" w:lastRow="0" w:firstColumn="0" w:lastColumn="0" w:noHBand="0" w:noVBand="1"/>
      </w:tblPr>
      <w:tblGrid>
        <w:gridCol w:w="769"/>
        <w:gridCol w:w="866"/>
        <w:gridCol w:w="928"/>
        <w:gridCol w:w="3557"/>
        <w:gridCol w:w="3235"/>
      </w:tblGrid>
      <w:tr w:rsidR="009223FB" w:rsidRPr="007E5DE1" w14:paraId="4694A48A" w14:textId="77777777" w:rsidTr="004D5DF6">
        <w:trPr>
          <w:trHeight w:val="584"/>
        </w:trPr>
        <w:tc>
          <w:tcPr>
            <w:tcW w:w="411" w:type="pct"/>
            <w:tcBorders>
              <w:top w:val="nil"/>
              <w:left w:val="nil"/>
              <w:bottom w:val="single" w:sz="4" w:space="0" w:color="auto"/>
              <w:right w:val="single" w:sz="4" w:space="0" w:color="auto"/>
            </w:tcBorders>
            <w:hideMark/>
          </w:tcPr>
          <w:p w14:paraId="19F36402" w14:textId="77777777" w:rsidR="007E5DE1" w:rsidRPr="007E5DE1" w:rsidRDefault="007E5DE1" w:rsidP="00447ED3">
            <w:pPr>
              <w:spacing w:after="0"/>
              <w:rPr>
                <w:rFonts w:ascii="Arial" w:eastAsia="Times New Roman" w:hAnsi="Arial" w:cs="Arial"/>
              </w:rPr>
            </w:pPr>
          </w:p>
        </w:tc>
        <w:tc>
          <w:tcPr>
            <w:tcW w:w="463" w:type="pct"/>
            <w:tcBorders>
              <w:left w:val="single" w:sz="4" w:space="0" w:color="auto"/>
            </w:tcBorders>
            <w:shd w:val="clear" w:color="auto" w:fill="808080" w:themeFill="background1" w:themeFillShade="80"/>
            <w:vAlign w:val="center"/>
            <w:hideMark/>
          </w:tcPr>
          <w:p w14:paraId="2950654A" w14:textId="77777777" w:rsidR="007E5DE1" w:rsidRPr="007E5DE1" w:rsidRDefault="007E5DE1" w:rsidP="0048516C">
            <w:pPr>
              <w:spacing w:after="0"/>
              <w:jc w:val="center"/>
              <w:rPr>
                <w:rFonts w:ascii="Arial" w:eastAsia="Times New Roman" w:hAnsi="Arial" w:cs="Arial"/>
              </w:rPr>
            </w:pPr>
            <w:r w:rsidRPr="007E5DE1">
              <w:rPr>
                <w:rFonts w:ascii="Arial" w:eastAsia="Helvetica Neue" w:hAnsi="Arial" w:cs="Arial"/>
                <w:color w:val="FFFFFF"/>
                <w:kern w:val="24"/>
                <w:lang w:val="en-GB"/>
              </w:rPr>
              <w:t>T</w:t>
            </w:r>
            <w:r w:rsidRPr="007E5DE1">
              <w:rPr>
                <w:rFonts w:ascii="Arial" w:eastAsia="Helvetica Neue" w:hAnsi="Arial" w:cs="Arial"/>
                <w:color w:val="FFFFFF"/>
                <w:kern w:val="24"/>
                <w:position w:val="-8"/>
                <w:vertAlign w:val="subscript"/>
                <w:lang w:val="en-GB"/>
              </w:rPr>
              <w:t>eDRX, CN</w:t>
            </w:r>
          </w:p>
        </w:tc>
        <w:tc>
          <w:tcPr>
            <w:tcW w:w="496" w:type="pct"/>
            <w:shd w:val="clear" w:color="auto" w:fill="808080" w:themeFill="background1" w:themeFillShade="80"/>
            <w:vAlign w:val="center"/>
            <w:hideMark/>
          </w:tcPr>
          <w:p w14:paraId="0C4A8314" w14:textId="77777777" w:rsidR="007E5DE1" w:rsidRPr="007E5DE1" w:rsidRDefault="007E5DE1" w:rsidP="0048516C">
            <w:pPr>
              <w:spacing w:after="0"/>
              <w:jc w:val="center"/>
              <w:rPr>
                <w:rFonts w:ascii="Arial" w:eastAsia="Helvetica Neue" w:hAnsi="Arial" w:cs="Arial"/>
                <w:color w:val="FFFFFF"/>
                <w:kern w:val="24"/>
                <w:position w:val="-8"/>
                <w:vertAlign w:val="subscript"/>
                <w:lang w:val="en-GB"/>
              </w:rPr>
            </w:pPr>
            <w:r w:rsidRPr="007E5DE1">
              <w:rPr>
                <w:rFonts w:ascii="Arial" w:eastAsia="Helvetica Neue" w:hAnsi="Arial" w:cs="Arial"/>
                <w:color w:val="FFFFFF"/>
                <w:kern w:val="24"/>
                <w:lang w:val="en-GB"/>
              </w:rPr>
              <w:t>T</w:t>
            </w:r>
            <w:r w:rsidRPr="007E5DE1">
              <w:rPr>
                <w:rFonts w:ascii="Arial" w:eastAsia="Helvetica Neue" w:hAnsi="Arial" w:cs="Arial"/>
                <w:color w:val="FFFFFF"/>
                <w:kern w:val="24"/>
                <w:position w:val="-8"/>
                <w:vertAlign w:val="subscript"/>
                <w:lang w:val="en-GB"/>
              </w:rPr>
              <w:t>eDRX,</w:t>
            </w:r>
          </w:p>
          <w:p w14:paraId="21935CC6" w14:textId="68F319E2" w:rsidR="007E5DE1" w:rsidRPr="007E5DE1" w:rsidRDefault="007E5DE1" w:rsidP="0048516C">
            <w:pPr>
              <w:spacing w:after="0"/>
              <w:jc w:val="center"/>
              <w:rPr>
                <w:rFonts w:ascii="Arial" w:eastAsia="Times New Roman" w:hAnsi="Arial" w:cs="Arial"/>
              </w:rPr>
            </w:pPr>
            <w:r w:rsidRPr="007E5DE1">
              <w:rPr>
                <w:rFonts w:ascii="Arial" w:eastAsia="Helvetica Neue" w:hAnsi="Arial" w:cs="Arial"/>
                <w:color w:val="FFFFFF"/>
                <w:kern w:val="24"/>
                <w:position w:val="-8"/>
                <w:vertAlign w:val="subscript"/>
                <w:lang w:val="en-GB"/>
              </w:rPr>
              <w:t>RAN</w:t>
            </w:r>
          </w:p>
        </w:tc>
        <w:tc>
          <w:tcPr>
            <w:tcW w:w="1901" w:type="pct"/>
            <w:shd w:val="clear" w:color="auto" w:fill="808080" w:themeFill="background1" w:themeFillShade="80"/>
            <w:vAlign w:val="center"/>
            <w:hideMark/>
          </w:tcPr>
          <w:p w14:paraId="2D5AEED9" w14:textId="45BB024D" w:rsidR="007E5DE1" w:rsidRPr="007E5DE1" w:rsidRDefault="007E5DE1" w:rsidP="0048516C">
            <w:pPr>
              <w:spacing w:after="0"/>
              <w:jc w:val="center"/>
              <w:rPr>
                <w:rFonts w:ascii="Arial" w:eastAsia="Helvetica Neue" w:hAnsi="Arial" w:cs="Arial"/>
                <w:color w:val="FFFFFF"/>
                <w:kern w:val="24"/>
              </w:rPr>
            </w:pPr>
            <w:r w:rsidRPr="007E5DE1">
              <w:rPr>
                <w:rFonts w:ascii="Arial" w:eastAsia="Helvetica Neue" w:hAnsi="Arial" w:cs="Arial"/>
                <w:color w:val="FFFFFF"/>
                <w:kern w:val="24"/>
              </w:rPr>
              <w:t xml:space="preserve">T  to monitor </w:t>
            </w:r>
            <w:r w:rsidR="0091314C">
              <w:rPr>
                <w:rFonts w:ascii="Arial" w:eastAsia="Helvetica Neue" w:hAnsi="Arial" w:cs="Arial"/>
                <w:color w:val="FFFFFF"/>
                <w:kern w:val="24"/>
              </w:rPr>
              <w:t>paging</w:t>
            </w:r>
          </w:p>
          <w:p w14:paraId="1489C949" w14:textId="5134D8C7" w:rsidR="007E5DE1" w:rsidRPr="007E5DE1" w:rsidRDefault="007E5DE1" w:rsidP="0048516C">
            <w:pPr>
              <w:spacing w:after="0"/>
              <w:jc w:val="center"/>
              <w:rPr>
                <w:rFonts w:ascii="Arial" w:eastAsia="Times New Roman" w:hAnsi="Arial" w:cs="Arial"/>
              </w:rPr>
            </w:pPr>
            <w:r w:rsidRPr="007E5DE1">
              <w:rPr>
                <w:rFonts w:ascii="Arial" w:eastAsia="Helvetica Neue" w:hAnsi="Arial" w:cs="Arial"/>
                <w:color w:val="FFFFFF"/>
                <w:kern w:val="24"/>
              </w:rPr>
              <w:t xml:space="preserve">within </w:t>
            </w:r>
            <w:r w:rsidRPr="00EE659E">
              <w:rPr>
                <w:rFonts w:ascii="Arial" w:eastAsia="Helvetica Neue" w:hAnsi="Arial" w:cs="Arial"/>
                <w:color w:val="FFFFFF" w:themeColor="background1"/>
                <w:kern w:val="24"/>
              </w:rPr>
              <w:t>CN PTW</w:t>
            </w:r>
          </w:p>
        </w:tc>
        <w:tc>
          <w:tcPr>
            <w:tcW w:w="1729" w:type="pct"/>
            <w:shd w:val="clear" w:color="auto" w:fill="808080" w:themeFill="background1" w:themeFillShade="80"/>
            <w:vAlign w:val="center"/>
            <w:hideMark/>
          </w:tcPr>
          <w:p w14:paraId="6055F0CC" w14:textId="77777777" w:rsidR="0091314C" w:rsidRDefault="007E5DE1" w:rsidP="0048516C">
            <w:pPr>
              <w:spacing w:after="0"/>
              <w:jc w:val="center"/>
              <w:rPr>
                <w:rFonts w:ascii="Arial" w:eastAsia="Helvetica Neue" w:hAnsi="Arial" w:cs="Arial"/>
                <w:color w:val="FFFFFF"/>
                <w:kern w:val="24"/>
              </w:rPr>
            </w:pPr>
            <w:r w:rsidRPr="007E5DE1">
              <w:rPr>
                <w:rFonts w:ascii="Arial" w:eastAsia="Helvetica Neue" w:hAnsi="Arial" w:cs="Arial"/>
                <w:color w:val="FFFFFF"/>
                <w:kern w:val="24"/>
              </w:rPr>
              <w:t xml:space="preserve">T  to monitor </w:t>
            </w:r>
            <w:r w:rsidR="0091314C">
              <w:rPr>
                <w:rFonts w:ascii="Arial" w:eastAsia="Helvetica Neue" w:hAnsi="Arial" w:cs="Arial"/>
                <w:color w:val="FFFFFF"/>
                <w:kern w:val="24"/>
              </w:rPr>
              <w:t>paging</w:t>
            </w:r>
          </w:p>
          <w:p w14:paraId="04FBAFD1" w14:textId="6879F647" w:rsidR="007E5DE1" w:rsidRPr="007E5DE1" w:rsidRDefault="007E5DE1" w:rsidP="0048516C">
            <w:pPr>
              <w:spacing w:after="0"/>
              <w:jc w:val="center"/>
              <w:rPr>
                <w:rFonts w:ascii="Arial" w:eastAsia="Times New Roman" w:hAnsi="Arial" w:cs="Arial"/>
              </w:rPr>
            </w:pPr>
            <w:r w:rsidRPr="007E5DE1">
              <w:rPr>
                <w:rFonts w:ascii="Arial" w:eastAsia="Helvetica Neue" w:hAnsi="Arial" w:cs="Arial"/>
                <w:color w:val="FFFFFF"/>
                <w:kern w:val="24"/>
              </w:rPr>
              <w:t xml:space="preserve">outside </w:t>
            </w:r>
            <w:r w:rsidRPr="00EE659E">
              <w:rPr>
                <w:rFonts w:ascii="Arial" w:eastAsia="Helvetica Neue" w:hAnsi="Arial" w:cs="Arial"/>
                <w:color w:val="FFFFFF" w:themeColor="background1"/>
                <w:kern w:val="24"/>
              </w:rPr>
              <w:t>CN PTW</w:t>
            </w:r>
          </w:p>
        </w:tc>
      </w:tr>
      <w:tr w:rsidR="00173084" w:rsidRPr="007E5DE1" w14:paraId="1EEF9F31" w14:textId="77777777" w:rsidTr="004D5DF6">
        <w:trPr>
          <w:trHeight w:val="584"/>
        </w:trPr>
        <w:tc>
          <w:tcPr>
            <w:tcW w:w="411" w:type="pct"/>
            <w:vMerge w:val="restart"/>
            <w:tcBorders>
              <w:top w:val="single" w:sz="4" w:space="0" w:color="auto"/>
            </w:tcBorders>
            <w:shd w:val="clear" w:color="auto" w:fill="A6A6A6" w:themeFill="background1" w:themeFillShade="A6"/>
            <w:textDirection w:val="btLr"/>
            <w:hideMark/>
          </w:tcPr>
          <w:p w14:paraId="4F792423" w14:textId="77777777" w:rsidR="00D30149" w:rsidRPr="007E5DE1" w:rsidRDefault="00D30149" w:rsidP="00447ED3">
            <w:pPr>
              <w:spacing w:after="0"/>
              <w:jc w:val="center"/>
              <w:rPr>
                <w:rFonts w:ascii="Arial" w:eastAsia="Times New Roman" w:hAnsi="Arial" w:cs="Arial"/>
              </w:rPr>
            </w:pPr>
            <w:r w:rsidRPr="007E5DE1">
              <w:rPr>
                <w:rFonts w:ascii="Arial" w:eastAsia="Helvetica Neue" w:hAnsi="Arial" w:cs="Arial"/>
                <w:color w:val="FFFFFF"/>
                <w:kern w:val="24"/>
              </w:rPr>
              <w:t>UE in</w:t>
            </w:r>
          </w:p>
          <w:p w14:paraId="756C4308" w14:textId="77777777" w:rsidR="00D30149" w:rsidRPr="007E5DE1" w:rsidRDefault="00D30149" w:rsidP="00447ED3">
            <w:pPr>
              <w:spacing w:after="0"/>
              <w:jc w:val="center"/>
              <w:rPr>
                <w:rFonts w:ascii="Arial" w:eastAsia="Times New Roman" w:hAnsi="Arial" w:cs="Arial"/>
              </w:rPr>
            </w:pPr>
            <w:r w:rsidRPr="007E5DE1">
              <w:rPr>
                <w:rFonts w:ascii="Arial" w:eastAsia="Helvetica Neue" w:hAnsi="Arial" w:cs="Arial"/>
                <w:color w:val="FFFFFF"/>
                <w:kern w:val="24"/>
              </w:rPr>
              <w:t>RRC_IDLE</w:t>
            </w:r>
          </w:p>
        </w:tc>
        <w:tc>
          <w:tcPr>
            <w:tcW w:w="463" w:type="pct"/>
            <w:shd w:val="clear" w:color="auto" w:fill="F2F2F2" w:themeFill="background1" w:themeFillShade="F2"/>
            <w:hideMark/>
          </w:tcPr>
          <w:p w14:paraId="55546E76" w14:textId="4F6FE3ED" w:rsidR="00D30149" w:rsidRPr="00D30149" w:rsidRDefault="00D30149" w:rsidP="00506F13">
            <w:pPr>
              <w:spacing w:after="0"/>
              <w:jc w:val="center"/>
              <w:rPr>
                <w:rFonts w:ascii="Arial" w:eastAsia="Times New Roman" w:hAnsi="Arial" w:cs="Arial"/>
              </w:rPr>
            </w:pPr>
            <w:bookmarkStart w:id="55" w:name="_Hlk131018969"/>
            <w:r w:rsidRPr="00D30149">
              <w:rPr>
                <w:rFonts w:ascii="Arial" w:eastAsia="Helvetica Neue" w:hAnsi="Arial" w:cs="Arial"/>
                <w:kern w:val="24"/>
              </w:rPr>
              <w:t xml:space="preserve">≤ </w:t>
            </w:r>
            <w:bookmarkEnd w:id="55"/>
            <w:r w:rsidRPr="00D30149">
              <w:rPr>
                <w:rFonts w:ascii="Arial" w:eastAsia="Helvetica Neue" w:hAnsi="Arial" w:cs="Arial"/>
                <w:kern w:val="24"/>
              </w:rPr>
              <w:t>10.24</w:t>
            </w:r>
          </w:p>
        </w:tc>
        <w:tc>
          <w:tcPr>
            <w:tcW w:w="496" w:type="pct"/>
            <w:shd w:val="clear" w:color="auto" w:fill="F2F2F2" w:themeFill="background1" w:themeFillShade="F2"/>
            <w:hideMark/>
          </w:tcPr>
          <w:p w14:paraId="6296C6F1" w14:textId="27102377" w:rsidR="00D30149" w:rsidRPr="00D30149" w:rsidRDefault="00D30149" w:rsidP="00506F13">
            <w:pPr>
              <w:spacing w:after="0"/>
              <w:jc w:val="center"/>
              <w:rPr>
                <w:rFonts w:ascii="Arial" w:eastAsia="Helvetica Neue" w:hAnsi="Arial" w:cs="Arial"/>
                <w:kern w:val="24"/>
              </w:rPr>
            </w:pPr>
            <w:r w:rsidRPr="00D30149">
              <w:rPr>
                <w:rFonts w:ascii="Arial" w:eastAsia="Helvetica Neue" w:hAnsi="Arial" w:cs="Arial"/>
                <w:kern w:val="24"/>
              </w:rPr>
              <w:t>None/ any value</w:t>
            </w:r>
          </w:p>
        </w:tc>
        <w:tc>
          <w:tcPr>
            <w:tcW w:w="3630" w:type="pct"/>
            <w:gridSpan w:val="2"/>
            <w:hideMark/>
          </w:tcPr>
          <w:p w14:paraId="382C84CE" w14:textId="313F3B2A" w:rsidR="00D30149" w:rsidRPr="004D5DF6" w:rsidRDefault="00D30149" w:rsidP="00447ED3">
            <w:pPr>
              <w:spacing w:after="0"/>
              <w:rPr>
                <w:rFonts w:ascii="Arial" w:eastAsia="Helvetica Neue" w:hAnsi="Arial" w:cs="Arial"/>
                <w:kern w:val="24"/>
                <w:lang w:val="en-GB"/>
              </w:rPr>
            </w:pPr>
            <w:r w:rsidRPr="00D30149">
              <w:rPr>
                <w:rFonts w:ascii="Arial" w:eastAsia="Helvetica Neue" w:hAnsi="Arial" w:cs="Arial"/>
                <w:kern w:val="24"/>
                <w:lang w:val="en-GB"/>
              </w:rPr>
              <w:t>T</w:t>
            </w:r>
            <w:r w:rsidRPr="00D30149">
              <w:rPr>
                <w:rFonts w:ascii="Arial" w:eastAsia="Helvetica Neue" w:hAnsi="Arial" w:cs="Arial"/>
                <w:kern w:val="24"/>
                <w:position w:val="-8"/>
                <w:vertAlign w:val="subscript"/>
                <w:lang w:val="en-GB"/>
              </w:rPr>
              <w:t>eDRX, CN</w:t>
            </w:r>
            <w:r w:rsidRPr="00D30149">
              <w:rPr>
                <w:rFonts w:ascii="Arial" w:eastAsia="Helvetica Neue" w:hAnsi="Arial" w:cs="Arial"/>
                <w:kern w:val="24"/>
                <w:lang w:val="en-GB"/>
              </w:rPr>
              <w:t xml:space="preserve"> </w:t>
            </w:r>
            <w:r w:rsidR="00057EAD">
              <w:rPr>
                <w:rFonts w:ascii="Arial" w:eastAsia="Helvetica Neue" w:hAnsi="Arial" w:cs="Arial"/>
                <w:kern w:val="24"/>
                <w:lang w:val="en-GB"/>
              </w:rPr>
              <w:t xml:space="preserve">  </w:t>
            </w:r>
            <w:r w:rsidR="001647CB" w:rsidRPr="004D5DF6">
              <w:rPr>
                <w:rFonts w:ascii="Arial" w:eastAsia="Helvetica Neue" w:hAnsi="Arial" w:cs="Arial"/>
                <w:i/>
                <w:iCs/>
                <w:kern w:val="24"/>
                <w:sz w:val="16"/>
                <w:szCs w:val="16"/>
              </w:rPr>
              <w:t>[NOTE-1]</w:t>
            </w:r>
          </w:p>
        </w:tc>
      </w:tr>
      <w:tr w:rsidR="00173084" w:rsidRPr="007E5DE1" w14:paraId="1E5D2471" w14:textId="77777777" w:rsidTr="004D5DF6">
        <w:trPr>
          <w:trHeight w:val="584"/>
        </w:trPr>
        <w:tc>
          <w:tcPr>
            <w:tcW w:w="411" w:type="pct"/>
            <w:vMerge/>
            <w:shd w:val="clear" w:color="auto" w:fill="A6A6A6" w:themeFill="background1" w:themeFillShade="A6"/>
            <w:hideMark/>
          </w:tcPr>
          <w:p w14:paraId="69BAD1CC" w14:textId="77777777" w:rsidR="007E5DE1" w:rsidRPr="007E5DE1" w:rsidRDefault="007E5DE1" w:rsidP="00447ED3">
            <w:pPr>
              <w:spacing w:after="0"/>
              <w:rPr>
                <w:rFonts w:ascii="Arial" w:eastAsia="Times New Roman" w:hAnsi="Arial" w:cs="Arial"/>
              </w:rPr>
            </w:pPr>
          </w:p>
        </w:tc>
        <w:tc>
          <w:tcPr>
            <w:tcW w:w="463" w:type="pct"/>
            <w:shd w:val="clear" w:color="auto" w:fill="F2F2F2" w:themeFill="background1" w:themeFillShade="F2"/>
            <w:hideMark/>
          </w:tcPr>
          <w:p w14:paraId="3F0F6563" w14:textId="00CA03D0" w:rsidR="007E5DE1" w:rsidRPr="00D30149" w:rsidRDefault="007E5DE1" w:rsidP="00506F13">
            <w:pPr>
              <w:spacing w:after="0"/>
              <w:jc w:val="center"/>
              <w:rPr>
                <w:rFonts w:ascii="Arial" w:eastAsia="Times New Roman" w:hAnsi="Arial" w:cs="Arial"/>
              </w:rPr>
            </w:pPr>
            <w:r w:rsidRPr="00D30149">
              <w:rPr>
                <w:rFonts w:ascii="Arial" w:eastAsia="Helvetica Neue" w:hAnsi="Arial" w:cs="Arial"/>
                <w:kern w:val="24"/>
              </w:rPr>
              <w:t>&gt; 10.24</w:t>
            </w:r>
          </w:p>
        </w:tc>
        <w:tc>
          <w:tcPr>
            <w:tcW w:w="496" w:type="pct"/>
            <w:shd w:val="clear" w:color="auto" w:fill="F2F2F2" w:themeFill="background1" w:themeFillShade="F2"/>
            <w:hideMark/>
          </w:tcPr>
          <w:p w14:paraId="4B827484" w14:textId="77777777" w:rsidR="007E5DE1" w:rsidRPr="006003F0" w:rsidRDefault="007E5DE1" w:rsidP="00506F13">
            <w:pPr>
              <w:spacing w:after="0"/>
              <w:jc w:val="center"/>
              <w:rPr>
                <w:rFonts w:ascii="Arial" w:eastAsia="Helvetica Neue" w:hAnsi="Arial" w:cs="Arial"/>
                <w:kern w:val="24"/>
              </w:rPr>
            </w:pPr>
            <w:r w:rsidRPr="006003F0">
              <w:rPr>
                <w:rFonts w:ascii="Arial" w:eastAsia="Helvetica Neue" w:hAnsi="Arial" w:cs="Arial"/>
                <w:kern w:val="24"/>
              </w:rPr>
              <w:t>any value</w:t>
            </w:r>
          </w:p>
        </w:tc>
        <w:tc>
          <w:tcPr>
            <w:tcW w:w="1901" w:type="pct"/>
            <w:hideMark/>
          </w:tcPr>
          <w:p w14:paraId="66BCD201" w14:textId="1DB9DD03" w:rsidR="007E5DE1" w:rsidRPr="006003F0" w:rsidRDefault="007E5DE1" w:rsidP="00447ED3">
            <w:pPr>
              <w:spacing w:after="0"/>
              <w:rPr>
                <w:rFonts w:ascii="Arial" w:eastAsia="Times New Roman" w:hAnsi="Arial" w:cs="Arial"/>
              </w:rPr>
            </w:pPr>
            <w:r w:rsidRPr="006003F0">
              <w:rPr>
                <w:rFonts w:ascii="Arial" w:eastAsia="Helvetica Neue" w:hAnsi="Arial" w:cs="Arial"/>
                <w:kern w:val="24"/>
              </w:rPr>
              <w:t xml:space="preserve">Shortest of UE specific DRX (if configured by </w:t>
            </w:r>
            <w:r w:rsidR="008652C8" w:rsidRPr="006003F0">
              <w:rPr>
                <w:rFonts w:ascii="Arial" w:eastAsia="Helvetica Neue" w:hAnsi="Arial" w:cs="Arial"/>
                <w:kern w:val="24"/>
              </w:rPr>
              <w:t>upper layer</w:t>
            </w:r>
            <w:r w:rsidRPr="006003F0">
              <w:rPr>
                <w:rFonts w:ascii="Arial" w:eastAsia="Helvetica Neue" w:hAnsi="Arial" w:cs="Arial"/>
                <w:kern w:val="24"/>
              </w:rPr>
              <w:t>) and default DRX cycle broadcast in SI</w:t>
            </w:r>
          </w:p>
        </w:tc>
        <w:tc>
          <w:tcPr>
            <w:tcW w:w="1729" w:type="pct"/>
            <w:hideMark/>
          </w:tcPr>
          <w:p w14:paraId="74D15956" w14:textId="54076BC8" w:rsidR="007E5DE1" w:rsidRPr="00D30149" w:rsidRDefault="00A82956" w:rsidP="00447ED3">
            <w:pPr>
              <w:spacing w:after="0"/>
              <w:rPr>
                <w:rFonts w:ascii="Arial" w:eastAsia="Times New Roman" w:hAnsi="Arial" w:cs="Arial"/>
              </w:rPr>
            </w:pPr>
            <w:r w:rsidRPr="00027530">
              <w:rPr>
                <w:rFonts w:ascii="Arial" w:eastAsia="Times New Roman" w:hAnsi="Arial" w:cs="Arial"/>
                <w:highlight w:val="yellow"/>
              </w:rPr>
              <w:t>No monito</w:t>
            </w:r>
            <w:r w:rsidR="00D30149" w:rsidRPr="00027530">
              <w:rPr>
                <w:rFonts w:ascii="Arial" w:eastAsia="Times New Roman" w:hAnsi="Arial" w:cs="Arial"/>
                <w:highlight w:val="yellow"/>
              </w:rPr>
              <w:t>ring</w:t>
            </w:r>
          </w:p>
        </w:tc>
      </w:tr>
      <w:tr w:rsidR="00F67726" w:rsidRPr="007E5DE1" w14:paraId="5AEC30E5" w14:textId="77777777" w:rsidTr="004D5DF6">
        <w:trPr>
          <w:trHeight w:val="584"/>
        </w:trPr>
        <w:tc>
          <w:tcPr>
            <w:tcW w:w="411" w:type="pct"/>
            <w:vMerge w:val="restart"/>
            <w:shd w:val="clear" w:color="auto" w:fill="A6A6A6" w:themeFill="background1" w:themeFillShade="A6"/>
            <w:textDirection w:val="btLr"/>
            <w:hideMark/>
          </w:tcPr>
          <w:p w14:paraId="764BC19D" w14:textId="77777777" w:rsidR="007C07F1" w:rsidRPr="007E5DE1" w:rsidRDefault="007C07F1" w:rsidP="00447ED3">
            <w:pPr>
              <w:spacing w:after="0"/>
              <w:jc w:val="center"/>
              <w:rPr>
                <w:rFonts w:ascii="Arial" w:eastAsia="Times New Roman" w:hAnsi="Arial" w:cs="Arial"/>
              </w:rPr>
            </w:pPr>
            <w:r w:rsidRPr="007E5DE1">
              <w:rPr>
                <w:rFonts w:ascii="Arial" w:eastAsia="Helvetica Neue" w:hAnsi="Arial" w:cs="Arial"/>
                <w:color w:val="FFFFFF"/>
                <w:kern w:val="24"/>
              </w:rPr>
              <w:t>UE in</w:t>
            </w:r>
          </w:p>
          <w:p w14:paraId="534F9793" w14:textId="77777777" w:rsidR="007C07F1" w:rsidRPr="007E5DE1" w:rsidRDefault="007C07F1" w:rsidP="00447ED3">
            <w:pPr>
              <w:spacing w:after="0"/>
              <w:jc w:val="center"/>
              <w:rPr>
                <w:rFonts w:ascii="Arial" w:eastAsia="Times New Roman" w:hAnsi="Arial" w:cs="Arial"/>
              </w:rPr>
            </w:pPr>
            <w:r w:rsidRPr="007E5DE1">
              <w:rPr>
                <w:rFonts w:ascii="Arial" w:eastAsia="Helvetica Neue" w:hAnsi="Arial" w:cs="Arial"/>
                <w:color w:val="FFFFFF"/>
                <w:kern w:val="24"/>
              </w:rPr>
              <w:t>RRC_INACTIVE</w:t>
            </w:r>
          </w:p>
        </w:tc>
        <w:tc>
          <w:tcPr>
            <w:tcW w:w="463" w:type="pct"/>
            <w:shd w:val="clear" w:color="auto" w:fill="F2F2F2" w:themeFill="background1" w:themeFillShade="F2"/>
            <w:hideMark/>
          </w:tcPr>
          <w:p w14:paraId="2F76BFD7" w14:textId="79DDD27B" w:rsidR="007C07F1" w:rsidRPr="00D30149" w:rsidRDefault="007C07F1" w:rsidP="00506F13">
            <w:pPr>
              <w:spacing w:after="0"/>
              <w:jc w:val="center"/>
              <w:rPr>
                <w:rFonts w:ascii="Arial" w:eastAsia="Times New Roman" w:hAnsi="Arial" w:cs="Arial"/>
              </w:rPr>
            </w:pPr>
            <w:r w:rsidRPr="00D30149">
              <w:rPr>
                <w:rFonts w:ascii="Arial" w:eastAsia="Helvetica Neue" w:hAnsi="Arial" w:cs="Arial"/>
                <w:kern w:val="24"/>
              </w:rPr>
              <w:t>≤ 10.24</w:t>
            </w:r>
          </w:p>
        </w:tc>
        <w:tc>
          <w:tcPr>
            <w:tcW w:w="496" w:type="pct"/>
            <w:shd w:val="clear" w:color="auto" w:fill="F2F2F2" w:themeFill="background1" w:themeFillShade="F2"/>
            <w:hideMark/>
          </w:tcPr>
          <w:p w14:paraId="79AA61FC" w14:textId="77777777" w:rsidR="007C07F1" w:rsidRPr="00D30149" w:rsidRDefault="007C07F1" w:rsidP="00506F13">
            <w:pPr>
              <w:spacing w:after="0"/>
              <w:jc w:val="center"/>
              <w:rPr>
                <w:rFonts w:ascii="Arial" w:eastAsia="Times New Roman" w:hAnsi="Arial" w:cs="Arial"/>
              </w:rPr>
            </w:pPr>
            <w:r w:rsidRPr="00D30149">
              <w:rPr>
                <w:rFonts w:ascii="Arial" w:eastAsia="Helvetica Neue" w:hAnsi="Arial" w:cs="Arial"/>
                <w:kern w:val="24"/>
              </w:rPr>
              <w:t>none</w:t>
            </w:r>
          </w:p>
        </w:tc>
        <w:tc>
          <w:tcPr>
            <w:tcW w:w="3630" w:type="pct"/>
            <w:gridSpan w:val="2"/>
            <w:hideMark/>
          </w:tcPr>
          <w:p w14:paraId="33F8629F" w14:textId="5F4CCBDF" w:rsidR="007C07F1" w:rsidRPr="004D5DF6" w:rsidRDefault="007C07F1" w:rsidP="00447ED3">
            <w:pPr>
              <w:spacing w:after="0"/>
              <w:rPr>
                <w:rFonts w:ascii="Arial" w:eastAsia="Helvetica Neue" w:hAnsi="Arial" w:cs="Arial"/>
                <w:kern w:val="24"/>
                <w:position w:val="-8"/>
                <w:vertAlign w:val="subscript"/>
                <w:lang w:val="en-GB"/>
              </w:rPr>
            </w:pPr>
            <w:r w:rsidRPr="00D30149">
              <w:rPr>
                <w:rFonts w:ascii="Arial" w:eastAsia="Helvetica Neue" w:hAnsi="Arial" w:cs="Arial"/>
                <w:kern w:val="24"/>
                <w:lang w:val="en-GB"/>
              </w:rPr>
              <w:t>Shortest of</w:t>
            </w:r>
            <w:r w:rsidR="00ED084F">
              <w:rPr>
                <w:rFonts w:ascii="Arial" w:eastAsia="Helvetica Neue" w:hAnsi="Arial" w:cs="Arial"/>
                <w:kern w:val="24"/>
                <w:lang w:val="en-GB"/>
              </w:rPr>
              <w:t xml:space="preserve"> </w:t>
            </w:r>
            <w:r w:rsidRPr="00D30149">
              <w:rPr>
                <w:rFonts w:ascii="Arial" w:eastAsia="Helvetica Neue" w:hAnsi="Arial" w:cs="Arial"/>
                <w:kern w:val="24"/>
              </w:rPr>
              <w:t>UE specific DRX (if configured by RRC)</w:t>
            </w:r>
            <w:r w:rsidRPr="00D30149">
              <w:rPr>
                <w:rFonts w:ascii="Arial" w:eastAsia="Helvetica Neue" w:hAnsi="Arial" w:cs="Arial"/>
                <w:kern w:val="24"/>
                <w:lang w:val="en-GB"/>
              </w:rPr>
              <w:t xml:space="preserve"> and T</w:t>
            </w:r>
            <w:r w:rsidRPr="00D30149">
              <w:rPr>
                <w:rFonts w:ascii="Arial" w:eastAsia="Helvetica Neue" w:hAnsi="Arial" w:cs="Arial"/>
                <w:kern w:val="24"/>
                <w:position w:val="-8"/>
                <w:vertAlign w:val="subscript"/>
                <w:lang w:val="en-GB"/>
              </w:rPr>
              <w:t xml:space="preserve">eDRX, CN   </w:t>
            </w:r>
            <w:r w:rsidR="00ED084F" w:rsidRPr="004D5DF6">
              <w:rPr>
                <w:rFonts w:ascii="Arial" w:eastAsia="Helvetica Neue" w:hAnsi="Arial" w:cs="Arial"/>
                <w:i/>
                <w:iCs/>
                <w:kern w:val="24"/>
                <w:sz w:val="16"/>
                <w:szCs w:val="16"/>
              </w:rPr>
              <w:t>[NOTE-1]</w:t>
            </w:r>
          </w:p>
        </w:tc>
      </w:tr>
      <w:tr w:rsidR="00173084" w:rsidRPr="007E5DE1" w14:paraId="4485B77C" w14:textId="77777777" w:rsidTr="004D5DF6">
        <w:trPr>
          <w:trHeight w:val="584"/>
        </w:trPr>
        <w:tc>
          <w:tcPr>
            <w:tcW w:w="411" w:type="pct"/>
            <w:vMerge/>
            <w:shd w:val="clear" w:color="auto" w:fill="A6A6A6" w:themeFill="background1" w:themeFillShade="A6"/>
            <w:hideMark/>
          </w:tcPr>
          <w:p w14:paraId="321CB7CE" w14:textId="77777777" w:rsidR="007E5DE1" w:rsidRPr="007E5DE1" w:rsidRDefault="007E5DE1" w:rsidP="00447ED3">
            <w:pPr>
              <w:spacing w:after="0"/>
              <w:rPr>
                <w:rFonts w:ascii="Arial" w:eastAsia="Times New Roman" w:hAnsi="Arial" w:cs="Arial"/>
              </w:rPr>
            </w:pPr>
          </w:p>
        </w:tc>
        <w:tc>
          <w:tcPr>
            <w:tcW w:w="463" w:type="pct"/>
            <w:shd w:val="clear" w:color="auto" w:fill="F2F2F2" w:themeFill="background1" w:themeFillShade="F2"/>
            <w:hideMark/>
          </w:tcPr>
          <w:p w14:paraId="12C421EC" w14:textId="3E4A6F02" w:rsidR="007E5DE1" w:rsidRPr="00D30149" w:rsidRDefault="007E5DE1" w:rsidP="00506F13">
            <w:pPr>
              <w:spacing w:after="0"/>
              <w:jc w:val="center"/>
              <w:rPr>
                <w:rFonts w:ascii="Arial" w:eastAsia="Times New Roman" w:hAnsi="Arial" w:cs="Arial"/>
              </w:rPr>
            </w:pPr>
            <w:r w:rsidRPr="00D30149">
              <w:rPr>
                <w:rFonts w:ascii="Arial" w:eastAsia="Helvetica Neue" w:hAnsi="Arial" w:cs="Arial"/>
                <w:kern w:val="24"/>
              </w:rPr>
              <w:t>≤ 10.24</w:t>
            </w:r>
          </w:p>
        </w:tc>
        <w:tc>
          <w:tcPr>
            <w:tcW w:w="496" w:type="pct"/>
            <w:shd w:val="clear" w:color="auto" w:fill="F2F2F2" w:themeFill="background1" w:themeFillShade="F2"/>
            <w:hideMark/>
          </w:tcPr>
          <w:p w14:paraId="2AC1DD90" w14:textId="57A230DB" w:rsidR="006D4957" w:rsidRPr="00D30149" w:rsidRDefault="007E5DE1" w:rsidP="00506F13">
            <w:pPr>
              <w:spacing w:after="0"/>
              <w:jc w:val="center"/>
              <w:rPr>
                <w:rFonts w:ascii="Arial" w:eastAsia="Helvetica Neue" w:hAnsi="Arial" w:cs="Arial"/>
                <w:kern w:val="24"/>
              </w:rPr>
            </w:pPr>
            <w:r w:rsidRPr="00D30149">
              <w:rPr>
                <w:rFonts w:ascii="Arial" w:eastAsia="Helvetica Neue" w:hAnsi="Arial" w:cs="Arial"/>
                <w:kern w:val="24"/>
              </w:rPr>
              <w:t>≤</w:t>
            </w:r>
          </w:p>
          <w:p w14:paraId="43EAD09E" w14:textId="54BB2687" w:rsidR="007E5DE1" w:rsidRPr="00D30149" w:rsidRDefault="007E5DE1" w:rsidP="00506F13">
            <w:pPr>
              <w:spacing w:after="0"/>
              <w:jc w:val="center"/>
              <w:rPr>
                <w:rFonts w:ascii="Arial" w:eastAsia="Times New Roman" w:hAnsi="Arial" w:cs="Arial"/>
              </w:rPr>
            </w:pPr>
            <w:r w:rsidRPr="00D30149">
              <w:rPr>
                <w:rFonts w:ascii="Arial" w:eastAsia="Helvetica Neue" w:hAnsi="Arial" w:cs="Arial"/>
                <w:kern w:val="24"/>
              </w:rPr>
              <w:t>10.24 s</w:t>
            </w:r>
          </w:p>
        </w:tc>
        <w:tc>
          <w:tcPr>
            <w:tcW w:w="3630" w:type="pct"/>
            <w:gridSpan w:val="2"/>
            <w:hideMark/>
          </w:tcPr>
          <w:p w14:paraId="225225ED" w14:textId="28BE1927" w:rsidR="007E5DE1" w:rsidRPr="00D30149" w:rsidRDefault="007E5DE1" w:rsidP="00447ED3">
            <w:pPr>
              <w:spacing w:after="0"/>
              <w:rPr>
                <w:rFonts w:ascii="Arial" w:eastAsia="Helvetica Neue" w:hAnsi="Arial" w:cs="Arial"/>
                <w:kern w:val="24"/>
                <w:position w:val="-8"/>
                <w:vertAlign w:val="subscript"/>
                <w:lang w:val="en-GB"/>
              </w:rPr>
            </w:pPr>
            <w:r w:rsidRPr="00D30149">
              <w:rPr>
                <w:rFonts w:ascii="Arial" w:eastAsia="Helvetica Neue" w:hAnsi="Arial" w:cs="Arial"/>
                <w:kern w:val="24"/>
                <w:lang w:val="en-GB"/>
              </w:rPr>
              <w:t>Shortest of T</w:t>
            </w:r>
            <w:r w:rsidRPr="00D30149">
              <w:rPr>
                <w:rFonts w:ascii="Arial" w:eastAsia="Helvetica Neue" w:hAnsi="Arial" w:cs="Arial"/>
                <w:kern w:val="24"/>
                <w:position w:val="-8"/>
                <w:vertAlign w:val="subscript"/>
                <w:lang w:val="en-GB"/>
              </w:rPr>
              <w:t>eDRX, RAN</w:t>
            </w:r>
            <w:r w:rsidRPr="00D30149">
              <w:rPr>
                <w:rFonts w:ascii="Arial" w:eastAsia="Helvetica Neue" w:hAnsi="Arial" w:cs="Arial"/>
                <w:kern w:val="24"/>
                <w:lang w:val="en-GB"/>
              </w:rPr>
              <w:t xml:space="preserve"> and T</w:t>
            </w:r>
            <w:r w:rsidRPr="00D30149">
              <w:rPr>
                <w:rFonts w:ascii="Arial" w:eastAsia="Helvetica Neue" w:hAnsi="Arial" w:cs="Arial"/>
                <w:kern w:val="24"/>
                <w:position w:val="-8"/>
                <w:vertAlign w:val="subscript"/>
                <w:lang w:val="en-GB"/>
              </w:rPr>
              <w:t xml:space="preserve">eDRX, CN       </w:t>
            </w:r>
            <w:r w:rsidRPr="004D5DF6">
              <w:rPr>
                <w:rFonts w:ascii="Arial" w:eastAsia="Helvetica Neue" w:hAnsi="Arial" w:cs="Arial"/>
                <w:i/>
                <w:iCs/>
                <w:kern w:val="24"/>
                <w:sz w:val="16"/>
                <w:szCs w:val="16"/>
              </w:rPr>
              <w:t>[NOTE-</w:t>
            </w:r>
            <w:r w:rsidR="001647CB" w:rsidRPr="004D5DF6">
              <w:rPr>
                <w:rFonts w:ascii="Arial" w:eastAsia="Helvetica Neue" w:hAnsi="Arial" w:cs="Arial"/>
                <w:i/>
                <w:iCs/>
                <w:kern w:val="24"/>
                <w:sz w:val="16"/>
                <w:szCs w:val="16"/>
              </w:rPr>
              <w:t>1]</w:t>
            </w:r>
          </w:p>
        </w:tc>
      </w:tr>
      <w:tr w:rsidR="00173084" w:rsidRPr="007E5DE1" w14:paraId="42289DF2" w14:textId="77777777" w:rsidTr="004D5DF6">
        <w:trPr>
          <w:trHeight w:val="584"/>
        </w:trPr>
        <w:tc>
          <w:tcPr>
            <w:tcW w:w="411" w:type="pct"/>
            <w:vMerge/>
            <w:shd w:val="clear" w:color="auto" w:fill="A6A6A6" w:themeFill="background1" w:themeFillShade="A6"/>
            <w:hideMark/>
          </w:tcPr>
          <w:p w14:paraId="58DCE756" w14:textId="77777777" w:rsidR="007E5DE1" w:rsidRPr="007E5DE1" w:rsidRDefault="007E5DE1" w:rsidP="00447ED3">
            <w:pPr>
              <w:spacing w:after="0"/>
              <w:rPr>
                <w:rFonts w:ascii="Arial" w:eastAsia="Times New Roman" w:hAnsi="Arial" w:cs="Arial"/>
              </w:rPr>
            </w:pPr>
          </w:p>
        </w:tc>
        <w:tc>
          <w:tcPr>
            <w:tcW w:w="463" w:type="pct"/>
            <w:shd w:val="clear" w:color="auto" w:fill="F2F2F2" w:themeFill="background1" w:themeFillShade="F2"/>
            <w:hideMark/>
          </w:tcPr>
          <w:p w14:paraId="2DA3BF89" w14:textId="0D3CC085" w:rsidR="007E5DE1" w:rsidRPr="00D30149" w:rsidRDefault="007E5DE1" w:rsidP="00506F13">
            <w:pPr>
              <w:spacing w:after="0"/>
              <w:jc w:val="center"/>
              <w:rPr>
                <w:rFonts w:ascii="Arial" w:eastAsia="Times New Roman" w:hAnsi="Arial" w:cs="Arial"/>
              </w:rPr>
            </w:pPr>
            <w:r w:rsidRPr="006003F0">
              <w:rPr>
                <w:rFonts w:ascii="Arial" w:eastAsia="Helvetica Neue" w:hAnsi="Arial" w:cs="Arial"/>
                <w:kern w:val="24"/>
                <w:highlight w:val="green"/>
              </w:rPr>
              <w:t>&gt; 10.24</w:t>
            </w:r>
          </w:p>
        </w:tc>
        <w:tc>
          <w:tcPr>
            <w:tcW w:w="496" w:type="pct"/>
            <w:shd w:val="clear" w:color="auto" w:fill="F2F2F2" w:themeFill="background1" w:themeFillShade="F2"/>
            <w:hideMark/>
          </w:tcPr>
          <w:p w14:paraId="7DF7B6D1" w14:textId="77777777" w:rsidR="007E5DE1" w:rsidRPr="00D30149" w:rsidRDefault="007E5DE1" w:rsidP="00506F13">
            <w:pPr>
              <w:spacing w:after="0"/>
              <w:jc w:val="center"/>
              <w:rPr>
                <w:rFonts w:ascii="Arial" w:eastAsia="Times New Roman" w:hAnsi="Arial" w:cs="Arial"/>
              </w:rPr>
            </w:pPr>
            <w:r w:rsidRPr="00D30149">
              <w:rPr>
                <w:rFonts w:ascii="Arial" w:eastAsia="Helvetica Neue" w:hAnsi="Arial" w:cs="Arial"/>
                <w:kern w:val="24"/>
              </w:rPr>
              <w:t>None</w:t>
            </w:r>
          </w:p>
        </w:tc>
        <w:tc>
          <w:tcPr>
            <w:tcW w:w="1901" w:type="pct"/>
            <w:hideMark/>
          </w:tcPr>
          <w:p w14:paraId="234CFBA1" w14:textId="640A32AD" w:rsidR="007E5DE1" w:rsidRPr="00D30149" w:rsidRDefault="007E5DE1" w:rsidP="00447ED3">
            <w:pPr>
              <w:spacing w:after="0"/>
              <w:rPr>
                <w:rFonts w:ascii="Arial" w:eastAsia="Helvetica Neue" w:hAnsi="Arial" w:cs="Arial"/>
                <w:kern w:val="24"/>
              </w:rPr>
            </w:pPr>
            <w:r w:rsidRPr="00002302">
              <w:rPr>
                <w:rFonts w:ascii="Arial" w:eastAsia="Helvetica Neue" w:hAnsi="Arial" w:cs="Arial"/>
                <w:kern w:val="24"/>
                <w:highlight w:val="green"/>
              </w:rPr>
              <w:t xml:space="preserve">Shortest of UE specific DRX(s) (if configured by RRC and/or </w:t>
            </w:r>
            <w:r w:rsidR="009B2EA5" w:rsidRPr="00002302">
              <w:rPr>
                <w:rFonts w:ascii="Arial" w:eastAsia="Helvetica Neue" w:hAnsi="Arial" w:cs="Arial"/>
                <w:kern w:val="24"/>
                <w:highlight w:val="green"/>
              </w:rPr>
              <w:t>upper layers</w:t>
            </w:r>
            <w:r w:rsidRPr="00002302">
              <w:rPr>
                <w:rFonts w:ascii="Arial" w:eastAsia="Helvetica Neue" w:hAnsi="Arial" w:cs="Arial"/>
                <w:kern w:val="24"/>
                <w:highlight w:val="green"/>
              </w:rPr>
              <w:t>), and default DRX cycle (broadcas</w:t>
            </w:r>
            <w:r w:rsidR="00B23366" w:rsidRPr="00002302">
              <w:rPr>
                <w:rFonts w:ascii="Arial" w:eastAsia="Helvetica Neue" w:hAnsi="Arial" w:cs="Arial"/>
                <w:kern w:val="24"/>
                <w:highlight w:val="green"/>
              </w:rPr>
              <w:t>t in SI</w:t>
            </w:r>
            <w:r w:rsidRPr="00002302">
              <w:rPr>
                <w:rFonts w:ascii="Arial" w:eastAsia="Helvetica Neue" w:hAnsi="Arial" w:cs="Arial"/>
                <w:kern w:val="24"/>
                <w:highlight w:val="green"/>
              </w:rPr>
              <w:t>)</w:t>
            </w:r>
          </w:p>
        </w:tc>
        <w:tc>
          <w:tcPr>
            <w:tcW w:w="1729" w:type="pct"/>
            <w:hideMark/>
          </w:tcPr>
          <w:p w14:paraId="5B5E0D14" w14:textId="77777777" w:rsidR="007E5DE1" w:rsidRPr="00D30149" w:rsidRDefault="007E5DE1" w:rsidP="00447ED3">
            <w:pPr>
              <w:spacing w:after="0"/>
              <w:rPr>
                <w:rFonts w:ascii="Arial" w:eastAsia="Times New Roman" w:hAnsi="Arial" w:cs="Arial"/>
              </w:rPr>
            </w:pPr>
            <w:r w:rsidRPr="004A19CA">
              <w:rPr>
                <w:rFonts w:ascii="Arial" w:eastAsia="Helvetica Neue" w:hAnsi="Arial" w:cs="Arial"/>
                <w:kern w:val="24"/>
                <w:highlight w:val="cyan"/>
              </w:rPr>
              <w:t>UE specific DRX configured by RRC</w:t>
            </w:r>
          </w:p>
        </w:tc>
      </w:tr>
      <w:tr w:rsidR="00173084" w:rsidRPr="007E5DE1" w14:paraId="0087387A" w14:textId="77777777" w:rsidTr="004D5DF6">
        <w:trPr>
          <w:trHeight w:val="584"/>
        </w:trPr>
        <w:tc>
          <w:tcPr>
            <w:tcW w:w="411" w:type="pct"/>
            <w:vMerge/>
            <w:shd w:val="clear" w:color="auto" w:fill="A6A6A6" w:themeFill="background1" w:themeFillShade="A6"/>
            <w:hideMark/>
          </w:tcPr>
          <w:p w14:paraId="2B40130C" w14:textId="77777777" w:rsidR="007E5DE1" w:rsidRPr="007E5DE1" w:rsidRDefault="007E5DE1" w:rsidP="00447ED3">
            <w:pPr>
              <w:spacing w:after="0"/>
              <w:rPr>
                <w:rFonts w:ascii="Arial" w:eastAsia="Times New Roman" w:hAnsi="Arial" w:cs="Arial"/>
              </w:rPr>
            </w:pPr>
          </w:p>
        </w:tc>
        <w:tc>
          <w:tcPr>
            <w:tcW w:w="463" w:type="pct"/>
            <w:shd w:val="clear" w:color="auto" w:fill="F2F2F2" w:themeFill="background1" w:themeFillShade="F2"/>
            <w:hideMark/>
          </w:tcPr>
          <w:p w14:paraId="54278DCC" w14:textId="4BA96291" w:rsidR="007E5DE1" w:rsidRPr="00D30149" w:rsidRDefault="007E5DE1" w:rsidP="00506F13">
            <w:pPr>
              <w:spacing w:after="0"/>
              <w:jc w:val="center"/>
              <w:rPr>
                <w:rFonts w:ascii="Arial" w:eastAsia="Times New Roman" w:hAnsi="Arial" w:cs="Arial"/>
              </w:rPr>
            </w:pPr>
            <w:r w:rsidRPr="00D30149">
              <w:rPr>
                <w:rFonts w:ascii="Arial" w:eastAsia="Helvetica Neue" w:hAnsi="Arial" w:cs="Arial"/>
                <w:kern w:val="24"/>
              </w:rPr>
              <w:t>&gt; 10.24</w:t>
            </w:r>
          </w:p>
        </w:tc>
        <w:tc>
          <w:tcPr>
            <w:tcW w:w="496" w:type="pct"/>
            <w:shd w:val="clear" w:color="auto" w:fill="F2F2F2" w:themeFill="background1" w:themeFillShade="F2"/>
            <w:hideMark/>
          </w:tcPr>
          <w:p w14:paraId="2CD7F3B8" w14:textId="0439345A" w:rsidR="00506F13" w:rsidRPr="00D30149" w:rsidRDefault="007E5DE1" w:rsidP="00506F13">
            <w:pPr>
              <w:spacing w:after="0"/>
              <w:jc w:val="center"/>
              <w:rPr>
                <w:rFonts w:ascii="Arial" w:eastAsia="Helvetica Neue" w:hAnsi="Arial" w:cs="Arial"/>
                <w:kern w:val="24"/>
              </w:rPr>
            </w:pPr>
            <w:r w:rsidRPr="00D30149">
              <w:rPr>
                <w:rFonts w:ascii="Arial" w:eastAsia="Helvetica Neue" w:hAnsi="Arial" w:cs="Arial"/>
                <w:kern w:val="24"/>
              </w:rPr>
              <w:t>≤</w:t>
            </w:r>
          </w:p>
          <w:p w14:paraId="6661600A" w14:textId="2A9BDFAA" w:rsidR="007E5DE1" w:rsidRPr="00D30149" w:rsidRDefault="007E5DE1" w:rsidP="00506F13">
            <w:pPr>
              <w:spacing w:after="0"/>
              <w:jc w:val="center"/>
              <w:rPr>
                <w:rFonts w:ascii="Arial" w:eastAsia="Times New Roman" w:hAnsi="Arial" w:cs="Arial"/>
              </w:rPr>
            </w:pPr>
            <w:r w:rsidRPr="00D30149">
              <w:rPr>
                <w:rFonts w:ascii="Arial" w:eastAsia="Helvetica Neue" w:hAnsi="Arial" w:cs="Arial"/>
                <w:kern w:val="24"/>
              </w:rPr>
              <w:t>10.24</w:t>
            </w:r>
          </w:p>
        </w:tc>
        <w:tc>
          <w:tcPr>
            <w:tcW w:w="1901" w:type="pct"/>
            <w:hideMark/>
          </w:tcPr>
          <w:p w14:paraId="40AE5738" w14:textId="2219D08C" w:rsidR="007E5DE1" w:rsidRPr="00D30149" w:rsidRDefault="007E5DE1" w:rsidP="00447ED3">
            <w:pPr>
              <w:spacing w:after="0"/>
              <w:rPr>
                <w:rFonts w:ascii="Arial" w:eastAsia="Times New Roman" w:hAnsi="Arial" w:cs="Arial"/>
              </w:rPr>
            </w:pPr>
            <w:r w:rsidRPr="00D30149">
              <w:rPr>
                <w:rFonts w:ascii="Arial" w:eastAsia="Helvetica Neue" w:hAnsi="Arial" w:cs="Arial"/>
                <w:kern w:val="24"/>
              </w:rPr>
              <w:t xml:space="preserve">Shortest of UE specific DRX (if configured by </w:t>
            </w:r>
            <w:r w:rsidR="00C01242">
              <w:rPr>
                <w:rFonts w:ascii="Arial" w:eastAsia="Helvetica Neue" w:hAnsi="Arial" w:cs="Arial"/>
                <w:kern w:val="24"/>
              </w:rPr>
              <w:t>upper layer</w:t>
            </w:r>
            <w:r w:rsidRPr="00D30149">
              <w:rPr>
                <w:rFonts w:ascii="Arial" w:eastAsia="Helvetica Neue" w:hAnsi="Arial" w:cs="Arial"/>
                <w:kern w:val="24"/>
              </w:rPr>
              <w:t xml:space="preserve">), </w:t>
            </w:r>
            <w:r w:rsidRPr="00D30149">
              <w:rPr>
                <w:rFonts w:ascii="Arial" w:eastAsia="Helvetica Neue" w:hAnsi="Arial" w:cs="Arial"/>
                <w:kern w:val="24"/>
                <w:lang w:val="en-GB"/>
              </w:rPr>
              <w:t>T</w:t>
            </w:r>
            <w:r w:rsidRPr="00D30149">
              <w:rPr>
                <w:rFonts w:ascii="Arial" w:eastAsia="Helvetica Neue" w:hAnsi="Arial" w:cs="Arial"/>
                <w:kern w:val="24"/>
                <w:position w:val="-8"/>
                <w:vertAlign w:val="subscript"/>
                <w:lang w:val="en-GB"/>
              </w:rPr>
              <w:t>eDRX, RAN</w:t>
            </w:r>
            <w:r w:rsidRPr="00D30149">
              <w:rPr>
                <w:rFonts w:ascii="Arial" w:eastAsia="Helvetica Neue" w:hAnsi="Arial" w:cs="Arial"/>
                <w:kern w:val="24"/>
              </w:rPr>
              <w:t xml:space="preserve"> and default DRX cycle (broadcast</w:t>
            </w:r>
            <w:r w:rsidR="008B2588">
              <w:rPr>
                <w:rFonts w:ascii="Arial" w:eastAsia="Helvetica Neue" w:hAnsi="Arial" w:cs="Arial"/>
                <w:kern w:val="24"/>
              </w:rPr>
              <w:t xml:space="preserve"> in SI</w:t>
            </w:r>
            <w:r w:rsidRPr="00D30149">
              <w:rPr>
                <w:rFonts w:ascii="Arial" w:eastAsia="Helvetica Neue" w:hAnsi="Arial" w:cs="Arial"/>
                <w:kern w:val="24"/>
              </w:rPr>
              <w:t xml:space="preserve">)     </w:t>
            </w:r>
          </w:p>
        </w:tc>
        <w:tc>
          <w:tcPr>
            <w:tcW w:w="1729" w:type="pct"/>
            <w:hideMark/>
          </w:tcPr>
          <w:p w14:paraId="7B54D549" w14:textId="77777777" w:rsidR="007E5DE1" w:rsidRPr="00D30149" w:rsidRDefault="007E5DE1" w:rsidP="00447ED3">
            <w:pPr>
              <w:spacing w:after="0"/>
              <w:rPr>
                <w:rFonts w:ascii="Arial" w:eastAsia="Times New Roman" w:hAnsi="Arial" w:cs="Arial"/>
              </w:rPr>
            </w:pPr>
            <w:r w:rsidRPr="00D30149">
              <w:rPr>
                <w:rFonts w:ascii="Arial" w:eastAsia="Helvetica Neue" w:hAnsi="Arial" w:cs="Arial"/>
                <w:kern w:val="24"/>
                <w:lang w:val="en-GB"/>
              </w:rPr>
              <w:t>T</w:t>
            </w:r>
            <w:r w:rsidRPr="00D30149">
              <w:rPr>
                <w:rFonts w:ascii="Arial" w:eastAsia="Helvetica Neue" w:hAnsi="Arial" w:cs="Arial"/>
                <w:kern w:val="24"/>
                <w:position w:val="-8"/>
                <w:vertAlign w:val="subscript"/>
                <w:lang w:val="en-GB"/>
              </w:rPr>
              <w:t>eDRX, RAN</w:t>
            </w:r>
          </w:p>
        </w:tc>
      </w:tr>
      <w:tr w:rsidR="00173084" w:rsidRPr="007E5DE1" w14:paraId="41698D43" w14:textId="77777777" w:rsidTr="004D5DF6">
        <w:trPr>
          <w:trHeight w:val="584"/>
        </w:trPr>
        <w:tc>
          <w:tcPr>
            <w:tcW w:w="411" w:type="pct"/>
            <w:vMerge/>
            <w:shd w:val="clear" w:color="auto" w:fill="A6A6A6" w:themeFill="background1" w:themeFillShade="A6"/>
          </w:tcPr>
          <w:p w14:paraId="5E8E439C" w14:textId="77777777" w:rsidR="007E5DE1" w:rsidRPr="007E5DE1" w:rsidRDefault="007E5DE1" w:rsidP="00447ED3">
            <w:pPr>
              <w:spacing w:after="0"/>
              <w:rPr>
                <w:rFonts w:ascii="Arial" w:eastAsia="Times New Roman" w:hAnsi="Arial" w:cs="Arial"/>
              </w:rPr>
            </w:pPr>
          </w:p>
        </w:tc>
        <w:tc>
          <w:tcPr>
            <w:tcW w:w="463" w:type="pct"/>
            <w:shd w:val="clear" w:color="auto" w:fill="F2F2F2" w:themeFill="background1" w:themeFillShade="F2"/>
          </w:tcPr>
          <w:p w14:paraId="12C4A6B8" w14:textId="32CA8CCF" w:rsidR="007E5DE1" w:rsidRPr="004D5DF6" w:rsidRDefault="007E5DE1" w:rsidP="00506F13">
            <w:pPr>
              <w:spacing w:after="0"/>
              <w:jc w:val="center"/>
              <w:rPr>
                <w:rFonts w:ascii="Arial" w:eastAsia="Helvetica Neue" w:hAnsi="Arial" w:cs="Arial"/>
                <w:color w:val="FF0000"/>
                <w:kern w:val="24"/>
              </w:rPr>
            </w:pPr>
            <w:r w:rsidRPr="004D5DF6">
              <w:rPr>
                <w:rFonts w:ascii="Arial" w:eastAsia="Helvetica Neue" w:hAnsi="Arial" w:cs="Arial"/>
                <w:color w:val="FF0000"/>
                <w:kern w:val="24"/>
              </w:rPr>
              <w:t>&gt; 10.24</w:t>
            </w:r>
          </w:p>
        </w:tc>
        <w:tc>
          <w:tcPr>
            <w:tcW w:w="496" w:type="pct"/>
            <w:shd w:val="clear" w:color="auto" w:fill="F2F2F2" w:themeFill="background1" w:themeFillShade="F2"/>
          </w:tcPr>
          <w:p w14:paraId="598C45C1" w14:textId="77777777" w:rsidR="00EA27D6" w:rsidRPr="004D5DF6" w:rsidRDefault="007E5DE1" w:rsidP="00506F13">
            <w:pPr>
              <w:spacing w:after="0"/>
              <w:jc w:val="center"/>
              <w:rPr>
                <w:rFonts w:ascii="Arial" w:eastAsia="Helvetica Neue" w:hAnsi="Arial" w:cs="Arial"/>
                <w:color w:val="FF0000"/>
                <w:kern w:val="24"/>
              </w:rPr>
            </w:pPr>
            <w:r w:rsidRPr="004D5DF6">
              <w:rPr>
                <w:rFonts w:ascii="Arial" w:eastAsia="Helvetica Neue" w:hAnsi="Arial" w:cs="Arial"/>
                <w:color w:val="FF0000"/>
                <w:kern w:val="24"/>
              </w:rPr>
              <w:t xml:space="preserve">&gt; </w:t>
            </w:r>
          </w:p>
          <w:p w14:paraId="1D3CA721" w14:textId="0D6D6B0A" w:rsidR="007E5DE1" w:rsidRPr="004D5DF6" w:rsidRDefault="007E5DE1" w:rsidP="00506F13">
            <w:pPr>
              <w:spacing w:after="0"/>
              <w:jc w:val="center"/>
              <w:rPr>
                <w:rFonts w:ascii="Arial" w:eastAsia="Helvetica Neue" w:hAnsi="Arial" w:cs="Arial"/>
                <w:color w:val="FF0000"/>
                <w:kern w:val="24"/>
              </w:rPr>
            </w:pPr>
            <w:r w:rsidRPr="004D5DF6">
              <w:rPr>
                <w:rFonts w:ascii="Arial" w:eastAsia="Helvetica Neue" w:hAnsi="Arial" w:cs="Arial"/>
                <w:color w:val="FF0000"/>
                <w:kern w:val="24"/>
              </w:rPr>
              <w:t>10.24</w:t>
            </w:r>
          </w:p>
        </w:tc>
        <w:tc>
          <w:tcPr>
            <w:tcW w:w="1901" w:type="pct"/>
          </w:tcPr>
          <w:p w14:paraId="3AE45F00" w14:textId="76840395" w:rsidR="007E5DE1" w:rsidRPr="004D5DF6" w:rsidRDefault="00FD50B0" w:rsidP="00447ED3">
            <w:pPr>
              <w:spacing w:after="0"/>
              <w:rPr>
                <w:rFonts w:ascii="Arial" w:eastAsia="Helvetica Neue" w:hAnsi="Arial" w:cs="Arial"/>
                <w:color w:val="FF0000"/>
                <w:kern w:val="24"/>
              </w:rPr>
            </w:pPr>
            <w:r w:rsidRPr="004D5DF6">
              <w:rPr>
                <w:rFonts w:ascii="Arial" w:eastAsia="Helvetica Neue" w:hAnsi="Arial" w:cs="Arial"/>
                <w:color w:val="FF0000"/>
                <w:kern w:val="24"/>
                <w:highlight w:val="green"/>
              </w:rPr>
              <w:t>S</w:t>
            </w:r>
            <w:r w:rsidR="007E5DE1" w:rsidRPr="004D5DF6">
              <w:rPr>
                <w:rFonts w:ascii="Arial" w:eastAsia="Helvetica Neue" w:hAnsi="Arial" w:cs="Arial"/>
                <w:color w:val="FF0000"/>
                <w:kern w:val="24"/>
                <w:highlight w:val="green"/>
              </w:rPr>
              <w:t xml:space="preserve">hortest of UE specific DRX (if configured by </w:t>
            </w:r>
            <w:r w:rsidR="00002302" w:rsidRPr="004D5DF6">
              <w:rPr>
                <w:rFonts w:ascii="Arial" w:eastAsia="Helvetica Neue" w:hAnsi="Arial" w:cs="Arial"/>
                <w:color w:val="FF0000"/>
                <w:kern w:val="24"/>
                <w:highlight w:val="green"/>
              </w:rPr>
              <w:t>RRC an</w:t>
            </w:r>
            <w:r w:rsidR="006003F0" w:rsidRPr="004D5DF6">
              <w:rPr>
                <w:rFonts w:ascii="Arial" w:eastAsia="Helvetica Neue" w:hAnsi="Arial" w:cs="Arial"/>
                <w:color w:val="FF0000"/>
                <w:kern w:val="24"/>
                <w:highlight w:val="green"/>
              </w:rPr>
              <w:t>d</w:t>
            </w:r>
            <w:r w:rsidR="00002302" w:rsidRPr="004D5DF6">
              <w:rPr>
                <w:rFonts w:ascii="Arial" w:eastAsia="Helvetica Neue" w:hAnsi="Arial" w:cs="Arial"/>
                <w:color w:val="FF0000"/>
                <w:kern w:val="24"/>
                <w:highlight w:val="green"/>
              </w:rPr>
              <w:t xml:space="preserve">/or </w:t>
            </w:r>
            <w:r w:rsidR="00F67726" w:rsidRPr="004D5DF6">
              <w:rPr>
                <w:rFonts w:ascii="Arial" w:eastAsia="Helvetica Neue" w:hAnsi="Arial" w:cs="Arial"/>
                <w:color w:val="FF0000"/>
                <w:kern w:val="24"/>
                <w:highlight w:val="green"/>
              </w:rPr>
              <w:t>upper layers</w:t>
            </w:r>
            <w:r w:rsidR="007E5DE1" w:rsidRPr="004D5DF6">
              <w:rPr>
                <w:rFonts w:ascii="Arial" w:eastAsia="Helvetica Neue" w:hAnsi="Arial" w:cs="Arial"/>
                <w:color w:val="FF0000"/>
                <w:kern w:val="24"/>
                <w:highlight w:val="green"/>
              </w:rPr>
              <w:t>) and default DRX cycle (broadcasted in SI)</w:t>
            </w:r>
            <w:r w:rsidR="007E5DE1" w:rsidRPr="004D5DF6">
              <w:rPr>
                <w:rFonts w:ascii="Arial" w:eastAsia="Helvetica Neue" w:hAnsi="Arial" w:cs="Arial"/>
                <w:color w:val="FF0000"/>
                <w:kern w:val="24"/>
              </w:rPr>
              <w:t xml:space="preserve">  </w:t>
            </w:r>
            <w:r w:rsidRPr="004D5DF6">
              <w:rPr>
                <w:rFonts w:ascii="Arial" w:eastAsia="Helvetica Neue" w:hAnsi="Arial" w:cs="Arial"/>
                <w:color w:val="FF0000"/>
                <w:kern w:val="24"/>
              </w:rPr>
              <w:t xml:space="preserve"> </w:t>
            </w:r>
            <w:r w:rsidRPr="004D5DF6">
              <w:rPr>
                <w:rFonts w:ascii="Arial" w:eastAsia="Helvetica Neue" w:hAnsi="Arial" w:cs="Arial"/>
                <w:i/>
                <w:color w:val="FF0000"/>
                <w:kern w:val="24"/>
                <w:sz w:val="16"/>
                <w:szCs w:val="16"/>
              </w:rPr>
              <w:t>[NOTE-2]</w:t>
            </w:r>
          </w:p>
        </w:tc>
        <w:tc>
          <w:tcPr>
            <w:tcW w:w="1729" w:type="pct"/>
          </w:tcPr>
          <w:p w14:paraId="3A9BBBE8" w14:textId="5FC45BD4" w:rsidR="004A19CA" w:rsidRPr="004D5DF6" w:rsidRDefault="007E5DE1" w:rsidP="004A19CA">
            <w:pPr>
              <w:spacing w:after="0"/>
              <w:rPr>
                <w:rFonts w:ascii="Arial" w:eastAsia="Helvetica Neue" w:hAnsi="Arial" w:cs="Arial"/>
                <w:color w:val="FF0000"/>
                <w:kern w:val="24"/>
                <w:lang w:val="en-GB"/>
              </w:rPr>
            </w:pPr>
            <w:r w:rsidRPr="004D5DF6">
              <w:rPr>
                <w:rFonts w:ascii="Arial" w:eastAsia="Helvetica Neue" w:hAnsi="Arial" w:cs="Arial"/>
                <w:color w:val="FF0000"/>
                <w:kern w:val="24"/>
                <w:lang w:val="en-GB"/>
              </w:rPr>
              <w:t xml:space="preserve">- </w:t>
            </w:r>
            <w:r w:rsidRPr="004D5DF6">
              <w:rPr>
                <w:rFonts w:ascii="Arial" w:eastAsia="Helvetica Neue" w:hAnsi="Arial" w:cs="Arial"/>
                <w:color w:val="FF0000"/>
                <w:kern w:val="24"/>
                <w:u w:val="single"/>
                <w:lang w:val="en-GB"/>
              </w:rPr>
              <w:t xml:space="preserve">Inside </w:t>
            </w:r>
            <w:r w:rsidR="00523186" w:rsidRPr="004D5DF6">
              <w:rPr>
                <w:rFonts w:ascii="Arial" w:eastAsia="Helvetica Neue" w:hAnsi="Arial" w:cs="Arial"/>
                <w:color w:val="FF0000"/>
                <w:kern w:val="24"/>
                <w:u w:val="single"/>
                <w:lang w:val="en-GB"/>
              </w:rPr>
              <w:t>R</w:t>
            </w:r>
            <w:r w:rsidRPr="004D5DF6">
              <w:rPr>
                <w:rFonts w:ascii="Arial" w:eastAsia="Helvetica Neue" w:hAnsi="Arial" w:cs="Arial"/>
                <w:color w:val="FF0000"/>
                <w:kern w:val="24"/>
                <w:u w:val="single"/>
                <w:lang w:val="en-GB"/>
              </w:rPr>
              <w:t>AN PTW</w:t>
            </w:r>
            <w:r w:rsidR="00523186" w:rsidRPr="004D5DF6">
              <w:rPr>
                <w:rFonts w:ascii="Arial" w:eastAsia="Helvetica Neue" w:hAnsi="Arial" w:cs="Arial"/>
                <w:color w:val="FF0000"/>
                <w:kern w:val="24"/>
                <w:u w:val="single"/>
                <w:lang w:val="en-GB"/>
              </w:rPr>
              <w:t xml:space="preserve"> only</w:t>
            </w:r>
            <w:r w:rsidRPr="004D5DF6">
              <w:rPr>
                <w:rFonts w:ascii="Arial" w:eastAsia="Helvetica Neue" w:hAnsi="Arial" w:cs="Arial"/>
                <w:color w:val="FF0000"/>
                <w:kern w:val="24"/>
                <w:lang w:val="en-GB"/>
              </w:rPr>
              <w:t xml:space="preserve">, </w:t>
            </w:r>
            <w:r w:rsidRPr="004D5DF6">
              <w:rPr>
                <w:rFonts w:ascii="Arial" w:eastAsia="Helvetica Neue" w:hAnsi="Arial" w:cs="Arial"/>
                <w:color w:val="FF0000"/>
                <w:kern w:val="24"/>
                <w:highlight w:val="cyan"/>
              </w:rPr>
              <w:t>UE specific DRX configured by RRC</w:t>
            </w:r>
          </w:p>
          <w:p w14:paraId="0FA4D419" w14:textId="755B3529" w:rsidR="007E5DE1" w:rsidRPr="004D5DF6" w:rsidRDefault="007E5DE1" w:rsidP="004A19CA">
            <w:pPr>
              <w:spacing w:after="0"/>
              <w:rPr>
                <w:rFonts w:ascii="Arial" w:eastAsia="Helvetica Neue" w:hAnsi="Arial" w:cs="Arial"/>
                <w:color w:val="FF0000"/>
                <w:kern w:val="24"/>
                <w:lang w:val="en-GB"/>
              </w:rPr>
            </w:pPr>
            <w:r w:rsidRPr="004D5DF6">
              <w:rPr>
                <w:rFonts w:ascii="Arial" w:eastAsia="Helvetica Neue" w:hAnsi="Arial" w:cs="Arial"/>
                <w:color w:val="FF0000"/>
                <w:kern w:val="24"/>
                <w:lang w:val="en-GB"/>
              </w:rPr>
              <w:t xml:space="preserve">- </w:t>
            </w:r>
            <w:r w:rsidRPr="004D5DF6">
              <w:rPr>
                <w:rFonts w:ascii="Arial" w:eastAsia="Helvetica Neue" w:hAnsi="Arial" w:cs="Arial"/>
                <w:color w:val="FF0000"/>
                <w:kern w:val="24"/>
                <w:u w:val="single"/>
                <w:lang w:val="en-GB"/>
              </w:rPr>
              <w:t>Outside any PTW</w:t>
            </w:r>
            <w:r w:rsidRPr="004D5DF6">
              <w:rPr>
                <w:rFonts w:ascii="Arial" w:eastAsia="Helvetica Neue" w:hAnsi="Arial" w:cs="Arial"/>
                <w:color w:val="FF0000"/>
                <w:kern w:val="24"/>
                <w:lang w:val="en-GB"/>
              </w:rPr>
              <w:t xml:space="preserve"> (including both RAN PTW and CN PTW),  </w:t>
            </w:r>
            <w:r w:rsidR="00027530" w:rsidRPr="004D5DF6">
              <w:rPr>
                <w:rFonts w:ascii="Arial" w:eastAsia="Helvetica Neue" w:hAnsi="Arial" w:cs="Arial"/>
                <w:color w:val="FF0000"/>
                <w:kern w:val="24"/>
                <w:highlight w:val="yellow"/>
                <w:lang w:val="en-GB"/>
              </w:rPr>
              <w:t>n</w:t>
            </w:r>
            <w:r w:rsidR="00575DDB" w:rsidRPr="004D5DF6">
              <w:rPr>
                <w:rFonts w:ascii="Arial" w:eastAsia="Helvetica Neue" w:hAnsi="Arial" w:cs="Arial"/>
                <w:color w:val="FF0000"/>
                <w:kern w:val="24"/>
                <w:highlight w:val="yellow"/>
                <w:lang w:val="en-GB"/>
              </w:rPr>
              <w:t>o monitoring</w:t>
            </w:r>
          </w:p>
        </w:tc>
      </w:tr>
    </w:tbl>
    <w:p w14:paraId="5AA73794" w14:textId="6824A417" w:rsidR="00D30149" w:rsidRPr="00EA0B6A" w:rsidRDefault="001647CB" w:rsidP="00FD50B0">
      <w:pPr>
        <w:spacing w:after="60"/>
        <w:ind w:left="720"/>
        <w:jc w:val="both"/>
        <w:rPr>
          <w:rFonts w:ascii="Arial" w:eastAsia="Helvetica Neue" w:hAnsi="Arial" w:cs="Arial"/>
          <w:i/>
          <w:iCs/>
          <w:kern w:val="24"/>
          <w:lang w:val="en-GB"/>
        </w:rPr>
      </w:pPr>
      <w:r w:rsidRPr="00EA0B6A">
        <w:rPr>
          <w:rFonts w:ascii="Arial" w:eastAsia="Helvetica Neue" w:hAnsi="Arial" w:cs="Arial"/>
          <w:i/>
          <w:iCs/>
          <w:kern w:val="24"/>
        </w:rPr>
        <w:t>[NOTE-1]</w:t>
      </w:r>
      <w:r w:rsidRPr="00EA0B6A">
        <w:rPr>
          <w:rFonts w:ascii="Arial" w:eastAsia="Helvetica Neue" w:hAnsi="Arial" w:cs="Arial"/>
          <w:kern w:val="24"/>
          <w:lang w:val="en-GB"/>
        </w:rPr>
        <w:t xml:space="preserve"> </w:t>
      </w:r>
      <w:r w:rsidR="00D30149" w:rsidRPr="00EA0B6A">
        <w:rPr>
          <w:rFonts w:ascii="Arial" w:eastAsia="Helvetica Neue" w:hAnsi="Arial" w:cs="Arial"/>
          <w:i/>
          <w:iCs/>
          <w:kern w:val="24"/>
          <w:lang w:val="en-GB"/>
        </w:rPr>
        <w:t>PTW concept does not applies (such as, for IDLE eDRX ≤ 1024s)</w:t>
      </w:r>
    </w:p>
    <w:p w14:paraId="692E61B1" w14:textId="213EB2BC" w:rsidR="00FD50B0" w:rsidRPr="004D5DF6" w:rsidRDefault="00FD50B0" w:rsidP="001647CB">
      <w:pPr>
        <w:ind w:left="720"/>
        <w:jc w:val="both"/>
        <w:rPr>
          <w:rFonts w:ascii="Arial" w:hAnsi="Arial" w:cs="Arial"/>
          <w:i/>
          <w:color w:val="FF0000"/>
        </w:rPr>
      </w:pPr>
      <w:r w:rsidRPr="004D5DF6">
        <w:rPr>
          <w:rFonts w:ascii="Arial" w:eastAsia="Helvetica Neue" w:hAnsi="Arial" w:cs="Arial"/>
          <w:i/>
          <w:color w:val="FF0000"/>
          <w:kern w:val="24"/>
        </w:rPr>
        <w:t xml:space="preserve">[NOTE-2] </w:t>
      </w:r>
      <w:r w:rsidR="009D02A3" w:rsidRPr="004D5DF6">
        <w:rPr>
          <w:rFonts w:ascii="Arial" w:eastAsia="Helvetica Neue" w:hAnsi="Arial" w:cs="Arial"/>
          <w:i/>
          <w:color w:val="FF0000"/>
          <w:kern w:val="24"/>
        </w:rPr>
        <w:t xml:space="preserve">Behaviour applicable when both RAN PTW and CN PTW happens at the same time, as well as, when </w:t>
      </w:r>
      <w:r w:rsidR="003749F4" w:rsidRPr="004D5DF6">
        <w:rPr>
          <w:rFonts w:ascii="Arial" w:eastAsia="Helvetica Neue" w:hAnsi="Arial" w:cs="Arial"/>
          <w:i/>
          <w:color w:val="FF0000"/>
          <w:kern w:val="24"/>
        </w:rPr>
        <w:t xml:space="preserve">CN PTW only occurs (w/o RAN PTW) </w:t>
      </w:r>
    </w:p>
    <w:p w14:paraId="05C8658F" w14:textId="3AEFB901" w:rsidR="00027530" w:rsidRDefault="004B6D14" w:rsidP="00027530">
      <w:pPr>
        <w:jc w:val="both"/>
      </w:pPr>
      <w:r>
        <w:t>On conclusion, the following summarizes the expected monitoring behaviour:</w:t>
      </w:r>
    </w:p>
    <w:p w14:paraId="01064FC9" w14:textId="3EE35576" w:rsidR="004B6D14" w:rsidRDefault="00F90B21" w:rsidP="004B6D14">
      <w:pPr>
        <w:pStyle w:val="Proposal"/>
        <w:numPr>
          <w:ilvl w:val="0"/>
          <w:numId w:val="4"/>
        </w:numPr>
      </w:pPr>
      <w:bookmarkStart w:id="56" w:name="_Toc131025432"/>
      <w:bookmarkStart w:id="57" w:name="_Toc131685987"/>
      <w:bookmarkStart w:id="58" w:name="_Toc131712557"/>
      <w:bookmarkStart w:id="59" w:name="_Toc131712588"/>
      <w:r>
        <w:rPr>
          <w:rFonts w:eastAsia="MS Mincho"/>
          <w:lang w:eastAsia="ko-KR"/>
        </w:rPr>
        <w:t>I</w:t>
      </w:r>
      <w:r w:rsidR="003D7C38">
        <w:rPr>
          <w:rFonts w:eastAsia="MS Mincho"/>
          <w:lang w:eastAsia="ko-KR"/>
        </w:rPr>
        <w:t xml:space="preserve">f </w:t>
      </w:r>
      <w:r w:rsidR="003D7C38">
        <w:t>T</w:t>
      </w:r>
      <w:r w:rsidR="003D7C38">
        <w:rPr>
          <w:vertAlign w:val="subscript"/>
        </w:rPr>
        <w:t>eDRX, CN</w:t>
      </w:r>
      <w:r w:rsidR="003D7C38">
        <w:rPr>
          <w:rFonts w:eastAsia="MS Mincho"/>
          <w:lang w:eastAsia="ko-KR"/>
        </w:rPr>
        <w:t xml:space="preserve"> </w:t>
      </w:r>
      <w:r w:rsidR="003D7C38">
        <w:t>&gt; 10.24 s and T</w:t>
      </w:r>
      <w:r w:rsidR="003D7C38">
        <w:rPr>
          <w:vertAlign w:val="subscript"/>
        </w:rPr>
        <w:t>eDRX, RAN</w:t>
      </w:r>
      <w:r w:rsidR="003D7C38">
        <w:rPr>
          <w:rFonts w:eastAsia="MS Mincho"/>
          <w:lang w:eastAsia="ko-KR"/>
        </w:rPr>
        <w:t xml:space="preserve"> </w:t>
      </w:r>
      <w:r w:rsidR="003D7C38">
        <w:t>&gt; 10.24 s</w:t>
      </w:r>
      <w:r w:rsidR="00A64F2C">
        <w:t>,</w:t>
      </w:r>
      <w:r>
        <w:t xml:space="preserve"> UE paging monitoring behaviour is </w:t>
      </w:r>
      <w:r w:rsidR="00A64F2C">
        <w:t>as follow:</w:t>
      </w:r>
      <w:bookmarkEnd w:id="56"/>
      <w:bookmarkEnd w:id="57"/>
      <w:bookmarkEnd w:id="58"/>
      <w:bookmarkEnd w:id="59"/>
      <w:r w:rsidR="00A64F2C">
        <w:t xml:space="preserve"> </w:t>
      </w:r>
    </w:p>
    <w:p w14:paraId="7E4860BA" w14:textId="36F2AC9A" w:rsidR="00C4402D" w:rsidRDefault="00C4402D" w:rsidP="00C4402D">
      <w:pPr>
        <w:pStyle w:val="Proposal"/>
        <w:numPr>
          <w:ilvl w:val="1"/>
          <w:numId w:val="4"/>
        </w:numPr>
      </w:pPr>
      <w:bookmarkStart w:id="60" w:name="_Toc131025433"/>
      <w:bookmarkStart w:id="61" w:name="_Toc131685988"/>
      <w:bookmarkStart w:id="62" w:name="_Toc131712558"/>
      <w:bookmarkStart w:id="63" w:name="_Toc131712589"/>
      <w:r>
        <w:t>During CN</w:t>
      </w:r>
      <w:r w:rsidR="00600E72">
        <w:t xml:space="preserve"> configured</w:t>
      </w:r>
      <w:r>
        <w:t xml:space="preserve"> PTW, T is determined by </w:t>
      </w:r>
      <w:r w:rsidR="00507E31">
        <w:t>T is determined by the shortest of the UE specific DRX value (s), if configured by RRC and/or upper layers, and a default DRX value broadcast in system information</w:t>
      </w:r>
      <w:r w:rsidR="00976C18" w:rsidRPr="00001205">
        <w:t>.</w:t>
      </w:r>
      <w:r w:rsidR="00976C18">
        <w:t xml:space="preserve"> [Note this behaviour applies independent of RAN</w:t>
      </w:r>
      <w:r w:rsidR="00600E72">
        <w:t xml:space="preserve"> configured</w:t>
      </w:r>
      <w:r w:rsidR="00976C18">
        <w:t xml:space="preserve"> PTW i</w:t>
      </w:r>
      <w:r w:rsidR="00976C18" w:rsidRPr="00001205">
        <w:t>.</w:t>
      </w:r>
      <w:r w:rsidR="00976C18">
        <w:t>e</w:t>
      </w:r>
      <w:r w:rsidR="00976C18" w:rsidRPr="00001205">
        <w:t>.</w:t>
      </w:r>
      <w:r w:rsidR="00976C18">
        <w:t xml:space="preserve"> inside or outside RAN</w:t>
      </w:r>
      <w:r w:rsidR="00600E72">
        <w:t xml:space="preserve"> configured</w:t>
      </w:r>
      <w:r w:rsidR="00976C18">
        <w:t xml:space="preserve"> PTW]</w:t>
      </w:r>
      <w:bookmarkEnd w:id="60"/>
      <w:bookmarkEnd w:id="61"/>
      <w:bookmarkEnd w:id="62"/>
      <w:bookmarkEnd w:id="63"/>
    </w:p>
    <w:p w14:paraId="49FE7787" w14:textId="127F2F44" w:rsidR="00976C18" w:rsidRDefault="004E2E1E" w:rsidP="00C4402D">
      <w:pPr>
        <w:pStyle w:val="Proposal"/>
        <w:numPr>
          <w:ilvl w:val="1"/>
          <w:numId w:val="4"/>
        </w:numPr>
      </w:pPr>
      <w:bookmarkStart w:id="64" w:name="_Toc131025434"/>
      <w:bookmarkStart w:id="65" w:name="_Toc131685989"/>
      <w:bookmarkStart w:id="66" w:name="_Toc131712559"/>
      <w:bookmarkStart w:id="67" w:name="_Toc131712590"/>
      <w:r>
        <w:t>During RAN configured PTW while o</w:t>
      </w:r>
      <w:r w:rsidR="0070045E">
        <w:t xml:space="preserve">utside </w:t>
      </w:r>
      <w:r>
        <w:t>the CN configured PTW</w:t>
      </w:r>
      <w:r w:rsidR="009062BA">
        <w:t xml:space="preserve">, T is determined by </w:t>
      </w:r>
      <w:r w:rsidR="001203C1">
        <w:t>UE specific DRX value configured by RRC</w:t>
      </w:r>
      <w:r w:rsidR="00852274" w:rsidRPr="00001205">
        <w:t>.</w:t>
      </w:r>
      <w:bookmarkEnd w:id="64"/>
      <w:bookmarkEnd w:id="65"/>
      <w:bookmarkEnd w:id="66"/>
      <w:bookmarkEnd w:id="67"/>
    </w:p>
    <w:p w14:paraId="354288EF" w14:textId="75771044" w:rsidR="00852274" w:rsidRPr="00A517B5" w:rsidRDefault="0093133B" w:rsidP="00C4402D">
      <w:pPr>
        <w:pStyle w:val="Proposal"/>
        <w:numPr>
          <w:ilvl w:val="1"/>
          <w:numId w:val="4"/>
        </w:numPr>
      </w:pPr>
      <w:bookmarkStart w:id="68" w:name="_Toc131025435"/>
      <w:bookmarkStart w:id="69" w:name="_Toc131685990"/>
      <w:bookmarkStart w:id="70" w:name="_Toc131712560"/>
      <w:bookmarkStart w:id="71" w:name="_Toc131712591"/>
      <w:r>
        <w:t xml:space="preserve">Outside RAN </w:t>
      </w:r>
      <w:r w:rsidR="0006251F">
        <w:t xml:space="preserve">configured PTW and CN configured PTW, </w:t>
      </w:r>
      <w:r w:rsidR="00F90B21">
        <w:t>UE is not required to monitor paging</w:t>
      </w:r>
      <w:r w:rsidR="00852274" w:rsidRPr="00001205">
        <w:t>.</w:t>
      </w:r>
      <w:bookmarkEnd w:id="68"/>
      <w:bookmarkEnd w:id="69"/>
      <w:bookmarkEnd w:id="70"/>
      <w:bookmarkEnd w:id="71"/>
    </w:p>
    <w:p w14:paraId="73ECC935" w14:textId="360314C7" w:rsidR="00027530" w:rsidRDefault="003C508C" w:rsidP="00611AF7">
      <w:pPr>
        <w:spacing w:before="240"/>
        <w:jc w:val="both"/>
      </w:pPr>
      <w:r>
        <w:t xml:space="preserve">RAN2 needs to </w:t>
      </w:r>
      <w:r w:rsidR="0088576E">
        <w:t>discuss how PH and PTW are calculated</w:t>
      </w:r>
      <w:r w:rsidR="00DC35C8" w:rsidRPr="00001205">
        <w:t>.</w:t>
      </w:r>
      <w:r w:rsidR="00611AF7">
        <w:t xml:space="preserve"> </w:t>
      </w:r>
      <w:r w:rsidR="00027530">
        <w:t xml:space="preserve">For Rel-17 eDRX, PH and PTW_start calculations are based on CN configured eDRX, </w:t>
      </w:r>
      <w:r w:rsidR="00027530" w:rsidRPr="00B538A4">
        <w:rPr>
          <w:rFonts w:eastAsia="MS Mincho"/>
          <w:i/>
          <w:iCs/>
        </w:rPr>
        <w:t>T</w:t>
      </w:r>
      <w:r w:rsidR="00027530" w:rsidRPr="00B538A4">
        <w:rPr>
          <w:rFonts w:eastAsia="MS Mincho"/>
          <w:i/>
          <w:iCs/>
          <w:vertAlign w:val="subscript"/>
        </w:rPr>
        <w:t>eDRX_CN</w:t>
      </w:r>
      <w:r w:rsidR="00FA140F" w:rsidRPr="00001205">
        <w:t>.</w:t>
      </w:r>
      <w:r w:rsidR="00FA140F">
        <w:t xml:space="preserve"> This behaviour </w:t>
      </w:r>
      <w:r w:rsidR="00027530">
        <w:t>is used by a UE with Rel-17 INACTIVE eDRX</w:t>
      </w:r>
      <w:r w:rsidR="00375486">
        <w:t>,</w:t>
      </w:r>
      <w:r w:rsidR="00FA140F">
        <w:t xml:space="preserve"> as we</w:t>
      </w:r>
      <w:r w:rsidR="00375486">
        <w:t>ll as with Rel-17 IDLE</w:t>
      </w:r>
      <w:r w:rsidR="00027530">
        <w:t>.</w:t>
      </w:r>
    </w:p>
    <w:p w14:paraId="5DEFE12D" w14:textId="77777777" w:rsidR="00027530" w:rsidRPr="00675277" w:rsidRDefault="00027530" w:rsidP="00027530">
      <w:pPr>
        <w:pStyle w:val="B1"/>
        <w:spacing w:after="60"/>
        <w:rPr>
          <w:rFonts w:eastAsia="MS Mincho"/>
          <w:i/>
          <w:iCs/>
        </w:rPr>
      </w:pPr>
      <w:r w:rsidRPr="00675277">
        <w:rPr>
          <w:rFonts w:eastAsia="MS Mincho"/>
          <w:i/>
          <w:iCs/>
        </w:rPr>
        <w:t xml:space="preserve">The </w:t>
      </w:r>
      <w:r w:rsidRPr="00675277">
        <w:rPr>
          <w:rFonts w:eastAsia="MS Mincho"/>
          <w:i/>
          <w:iCs/>
          <w:highlight w:val="yellow"/>
        </w:rPr>
        <w:t>PH for CN</w:t>
      </w:r>
      <w:r w:rsidRPr="00675277">
        <w:rPr>
          <w:rFonts w:eastAsia="MS Mincho"/>
          <w:i/>
          <w:iCs/>
        </w:rPr>
        <w:t xml:space="preserve"> is the H-SFN satisfying the following equations:</w:t>
      </w:r>
    </w:p>
    <w:p w14:paraId="569E5CFA" w14:textId="77777777" w:rsidR="00027530" w:rsidRPr="00675277" w:rsidRDefault="00027530" w:rsidP="00027530">
      <w:pPr>
        <w:pStyle w:val="B2"/>
        <w:spacing w:after="60"/>
        <w:rPr>
          <w:rFonts w:eastAsia="MS Mincho"/>
          <w:i/>
          <w:iCs/>
        </w:rPr>
      </w:pPr>
      <w:r w:rsidRPr="00675277">
        <w:rPr>
          <w:rFonts w:eastAsia="MS Mincho"/>
          <w:i/>
          <w:iCs/>
        </w:rPr>
        <w:t xml:space="preserve">H-SFN mod </w:t>
      </w:r>
      <w:r w:rsidRPr="00675277">
        <w:rPr>
          <w:rFonts w:eastAsia="MS Mincho"/>
          <w:i/>
          <w:iCs/>
          <w:highlight w:val="yellow"/>
        </w:rPr>
        <w:t>T</w:t>
      </w:r>
      <w:r w:rsidRPr="00675277">
        <w:rPr>
          <w:rFonts w:eastAsia="MS Mincho"/>
          <w:i/>
          <w:iCs/>
          <w:highlight w:val="yellow"/>
          <w:vertAlign w:val="subscript"/>
        </w:rPr>
        <w:t>eDRX_CN</w:t>
      </w:r>
      <w:r w:rsidRPr="00675277">
        <w:rPr>
          <w:rFonts w:eastAsia="MS Mincho"/>
          <w:i/>
          <w:iCs/>
        </w:rPr>
        <w:t xml:space="preserve">= (UE_ID_H mod </w:t>
      </w:r>
      <w:r w:rsidRPr="00675277">
        <w:rPr>
          <w:rFonts w:eastAsia="MS Mincho"/>
          <w:i/>
          <w:iCs/>
          <w:highlight w:val="yellow"/>
        </w:rPr>
        <w:t>T</w:t>
      </w:r>
      <w:r w:rsidRPr="00675277">
        <w:rPr>
          <w:rFonts w:eastAsia="MS Mincho"/>
          <w:i/>
          <w:iCs/>
          <w:highlight w:val="yellow"/>
          <w:vertAlign w:val="subscript"/>
        </w:rPr>
        <w:t>eDRX_CN</w:t>
      </w:r>
      <w:r w:rsidRPr="00675277">
        <w:rPr>
          <w:rFonts w:eastAsia="MS Mincho"/>
          <w:i/>
          <w:iCs/>
        </w:rPr>
        <w:t>), where</w:t>
      </w:r>
    </w:p>
    <w:p w14:paraId="1461D6AA" w14:textId="77777777" w:rsidR="00027530" w:rsidRPr="00675277" w:rsidRDefault="00027530" w:rsidP="00027530">
      <w:pPr>
        <w:pStyle w:val="B2"/>
        <w:spacing w:after="60"/>
        <w:rPr>
          <w:rFonts w:eastAsia="MS Mincho"/>
          <w:i/>
          <w:iCs/>
        </w:rPr>
      </w:pPr>
      <w:r w:rsidRPr="00675277">
        <w:rPr>
          <w:rFonts w:eastAsia="MS Mincho"/>
          <w:i/>
          <w:iCs/>
        </w:rPr>
        <w:t>-</w:t>
      </w:r>
      <w:r w:rsidRPr="00675277">
        <w:rPr>
          <w:rFonts w:eastAsia="MS Mincho"/>
          <w:i/>
          <w:iCs/>
        </w:rPr>
        <w:tab/>
        <w:t>UE_ID_H: 13 most significant bits of the Hashed ID.</w:t>
      </w:r>
    </w:p>
    <w:p w14:paraId="0874E432" w14:textId="77777777" w:rsidR="00027530" w:rsidRPr="00675277" w:rsidRDefault="00027530" w:rsidP="00027530">
      <w:pPr>
        <w:pStyle w:val="B2"/>
        <w:spacing w:after="60"/>
        <w:rPr>
          <w:i/>
          <w:iCs/>
        </w:rPr>
      </w:pPr>
      <w:r w:rsidRPr="00675277">
        <w:rPr>
          <w:rFonts w:eastAsia="MS Mincho"/>
          <w:i/>
          <w:iCs/>
        </w:rPr>
        <w:t>-</w:t>
      </w:r>
      <w:r w:rsidRPr="00675277">
        <w:rPr>
          <w:rFonts w:eastAsia="MS Mincho"/>
          <w:i/>
          <w:iCs/>
        </w:rPr>
        <w:tab/>
      </w:r>
      <w:r w:rsidRPr="00675277">
        <w:rPr>
          <w:i/>
          <w:iCs/>
        </w:rPr>
        <w:t>T</w:t>
      </w:r>
      <w:r w:rsidRPr="00675277">
        <w:rPr>
          <w:i/>
          <w:iCs/>
          <w:vertAlign w:val="subscript"/>
        </w:rPr>
        <w:t>eDRX_CN</w:t>
      </w:r>
      <w:r w:rsidRPr="00675277">
        <w:rPr>
          <w:i/>
          <w:iCs/>
        </w:rPr>
        <w:t>: UE-specific eDRX cycle in Hyper-frames, (T</w:t>
      </w:r>
      <w:r w:rsidRPr="00675277">
        <w:rPr>
          <w:i/>
          <w:iCs/>
          <w:vertAlign w:val="subscript"/>
        </w:rPr>
        <w:t xml:space="preserve">eDRX_CN </w:t>
      </w:r>
      <w:r w:rsidRPr="00675277">
        <w:rPr>
          <w:i/>
          <w:iCs/>
        </w:rPr>
        <w:t>= 2, …, 1024 Hyper-frames) configured by upper layers.</w:t>
      </w:r>
    </w:p>
    <w:p w14:paraId="0762FAA1" w14:textId="77777777" w:rsidR="00027530" w:rsidRPr="00675277" w:rsidRDefault="00027530" w:rsidP="00027530">
      <w:pPr>
        <w:pStyle w:val="B1"/>
        <w:spacing w:after="60"/>
        <w:ind w:left="284" w:firstLine="0"/>
        <w:rPr>
          <w:i/>
          <w:iCs/>
        </w:rPr>
      </w:pPr>
      <w:r w:rsidRPr="00675277">
        <w:rPr>
          <w:i/>
          <w:iCs/>
        </w:rPr>
        <w:lastRenderedPageBreak/>
        <w:t>PTW_start denotes the first radio frame of the PH that is part of the PTW and has SFN satisfying the following equation:</w:t>
      </w:r>
    </w:p>
    <w:p w14:paraId="7B35A942" w14:textId="77777777" w:rsidR="00027530" w:rsidRPr="00675277" w:rsidRDefault="00027530" w:rsidP="00027530">
      <w:pPr>
        <w:pStyle w:val="B2"/>
        <w:spacing w:after="60"/>
        <w:rPr>
          <w:i/>
          <w:iCs/>
          <w:lang w:eastAsia="en-US"/>
        </w:rPr>
      </w:pPr>
      <w:r w:rsidRPr="00675277">
        <w:rPr>
          <w:i/>
          <w:iCs/>
          <w:lang w:eastAsia="en-US"/>
        </w:rPr>
        <w:t>SFN = 128 * i</w:t>
      </w:r>
      <w:r w:rsidRPr="00675277">
        <w:rPr>
          <w:i/>
          <w:iCs/>
          <w:vertAlign w:val="subscript"/>
          <w:lang w:eastAsia="en-US"/>
        </w:rPr>
        <w:t>eDRX_CN</w:t>
      </w:r>
      <w:r w:rsidRPr="00675277">
        <w:rPr>
          <w:i/>
          <w:iCs/>
          <w:lang w:eastAsia="en-US"/>
        </w:rPr>
        <w:t>, where</w:t>
      </w:r>
    </w:p>
    <w:p w14:paraId="54AB40B6" w14:textId="77777777" w:rsidR="00027530" w:rsidRPr="00675277" w:rsidRDefault="00027530" w:rsidP="00027530">
      <w:pPr>
        <w:pStyle w:val="B2"/>
        <w:spacing w:after="60"/>
        <w:rPr>
          <w:rFonts w:eastAsia="MS Mincho"/>
          <w:i/>
          <w:iCs/>
        </w:rPr>
      </w:pPr>
      <w:r w:rsidRPr="00675277">
        <w:rPr>
          <w:rFonts w:eastAsia="MS Mincho"/>
          <w:i/>
          <w:iCs/>
        </w:rPr>
        <w:t>-</w:t>
      </w:r>
      <w:r w:rsidRPr="00675277">
        <w:rPr>
          <w:rFonts w:eastAsia="MS Mincho"/>
          <w:i/>
          <w:iCs/>
        </w:rPr>
        <w:tab/>
        <w:t>i</w:t>
      </w:r>
      <w:r w:rsidRPr="00675277">
        <w:rPr>
          <w:rFonts w:eastAsia="MS Mincho"/>
          <w:i/>
          <w:iCs/>
          <w:vertAlign w:val="subscript"/>
        </w:rPr>
        <w:t>eDRX_CN</w:t>
      </w:r>
      <w:r w:rsidRPr="00675277">
        <w:rPr>
          <w:rFonts w:eastAsia="MS Mincho"/>
          <w:i/>
          <w:iCs/>
        </w:rPr>
        <w:t xml:space="preserve"> = floor(UE_ID_H /</w:t>
      </w:r>
      <w:r w:rsidRPr="00675277">
        <w:rPr>
          <w:rFonts w:eastAsia="MS Mincho"/>
          <w:i/>
          <w:iCs/>
          <w:highlight w:val="yellow"/>
        </w:rPr>
        <w:t>T</w:t>
      </w:r>
      <w:r w:rsidRPr="00675277">
        <w:rPr>
          <w:rFonts w:eastAsia="MS Mincho"/>
          <w:i/>
          <w:iCs/>
          <w:highlight w:val="yellow"/>
          <w:vertAlign w:val="subscript"/>
        </w:rPr>
        <w:t>eDRX_CN</w:t>
      </w:r>
      <w:r w:rsidRPr="00675277">
        <w:rPr>
          <w:rFonts w:eastAsia="MS Mincho"/>
          <w:i/>
          <w:iCs/>
        </w:rPr>
        <w:t>) mod 8</w:t>
      </w:r>
    </w:p>
    <w:p w14:paraId="48DE6A25" w14:textId="77777777" w:rsidR="00027530" w:rsidRPr="00675277" w:rsidRDefault="00027530" w:rsidP="00027530">
      <w:pPr>
        <w:pStyle w:val="B1"/>
        <w:spacing w:after="60"/>
        <w:rPr>
          <w:i/>
          <w:iCs/>
        </w:rPr>
      </w:pPr>
      <w:r w:rsidRPr="00675277">
        <w:rPr>
          <w:i/>
          <w:iCs/>
        </w:rPr>
        <w:t>PTW_end is the last radio frame of the PTW and has SFN satisfying the following equation:</w:t>
      </w:r>
    </w:p>
    <w:p w14:paraId="179AFA17" w14:textId="77777777" w:rsidR="00027530" w:rsidRPr="00675277" w:rsidRDefault="00027530" w:rsidP="00027530">
      <w:pPr>
        <w:pStyle w:val="B2"/>
        <w:spacing w:after="60"/>
        <w:rPr>
          <w:i/>
          <w:iCs/>
        </w:rPr>
      </w:pPr>
      <w:r w:rsidRPr="00675277">
        <w:rPr>
          <w:i/>
          <w:iCs/>
        </w:rPr>
        <w:t>SFN = (PTW_start + L*100 - 1) mod 1024, where</w:t>
      </w:r>
    </w:p>
    <w:p w14:paraId="2F79065E" w14:textId="77777777" w:rsidR="00027530" w:rsidRPr="00675277" w:rsidRDefault="00027530" w:rsidP="00027530">
      <w:pPr>
        <w:pStyle w:val="B2"/>
        <w:rPr>
          <w:i/>
          <w:iCs/>
        </w:rPr>
      </w:pPr>
      <w:r w:rsidRPr="00675277">
        <w:rPr>
          <w:i/>
          <w:iCs/>
        </w:rPr>
        <w:t>-</w:t>
      </w:r>
      <w:r w:rsidRPr="00675277">
        <w:rPr>
          <w:i/>
          <w:iCs/>
        </w:rPr>
        <w:tab/>
        <w:t>L = Paging Time Window (PTW) length (in seconds) configured by upper layers</w:t>
      </w:r>
    </w:p>
    <w:p w14:paraId="41A58411" w14:textId="278B2C09" w:rsidR="00027530" w:rsidRDefault="00E63BD4" w:rsidP="00027530">
      <w:pPr>
        <w:jc w:val="both"/>
      </w:pPr>
      <w:r>
        <w:t xml:space="preserve">As previously explained, </w:t>
      </w:r>
      <w:r w:rsidR="00027530">
        <w:t>RAN2 already agreed that the length of RAN PTW (i.e., RAN configured PTW) could be different than the length of CN PTW (i.e., CN configured PTW), leaving final decision up to RA</w:t>
      </w:r>
      <w:r w:rsidR="00027530" w:rsidRPr="00001205">
        <w:t>N. The open questions are the PH and the PTW_start to be used for Rel-18 INACTIVE eDRX  &gt;  1024sec.</w:t>
      </w:r>
      <w:r w:rsidR="00027530">
        <w:t xml:space="preserve"> </w:t>
      </w:r>
      <w:r w:rsidR="002C52B5">
        <w:t>The following options seem feasible:</w:t>
      </w:r>
    </w:p>
    <w:tbl>
      <w:tblPr>
        <w:tblStyle w:val="TableGrid"/>
        <w:tblW w:w="0" w:type="auto"/>
        <w:jc w:val="center"/>
        <w:tblLook w:val="04A0" w:firstRow="1" w:lastRow="0" w:firstColumn="1" w:lastColumn="0" w:noHBand="0" w:noVBand="1"/>
      </w:tblPr>
      <w:tblGrid>
        <w:gridCol w:w="861"/>
        <w:gridCol w:w="2104"/>
        <w:gridCol w:w="2250"/>
        <w:gridCol w:w="4064"/>
      </w:tblGrid>
      <w:tr w:rsidR="008C663D" w14:paraId="7294BD4A" w14:textId="5750C04D" w:rsidTr="004D5DF6">
        <w:trPr>
          <w:jc w:val="center"/>
        </w:trPr>
        <w:tc>
          <w:tcPr>
            <w:tcW w:w="861" w:type="dxa"/>
            <w:shd w:val="clear" w:color="auto" w:fill="BFBFBF" w:themeFill="background1" w:themeFillShade="BF"/>
            <w:vAlign w:val="center"/>
          </w:tcPr>
          <w:p w14:paraId="6D8727DD" w14:textId="0420626D" w:rsidR="008C663D" w:rsidRPr="004D5DF6" w:rsidRDefault="008C663D" w:rsidP="008C663D">
            <w:pPr>
              <w:spacing w:after="0"/>
              <w:jc w:val="center"/>
              <w:rPr>
                <w:rFonts w:ascii="Arial" w:hAnsi="Arial" w:cs="Arial"/>
                <w:b/>
                <w:bCs/>
              </w:rPr>
            </w:pPr>
            <w:r w:rsidRPr="004D5DF6">
              <w:rPr>
                <w:rFonts w:ascii="Arial" w:hAnsi="Arial" w:cs="Arial"/>
                <w:b/>
                <w:bCs/>
              </w:rPr>
              <w:t>Option</w:t>
            </w:r>
          </w:p>
        </w:tc>
        <w:tc>
          <w:tcPr>
            <w:tcW w:w="2104" w:type="dxa"/>
            <w:shd w:val="clear" w:color="auto" w:fill="BFBFBF" w:themeFill="background1" w:themeFillShade="BF"/>
            <w:vAlign w:val="center"/>
          </w:tcPr>
          <w:p w14:paraId="751129F1" w14:textId="34316389" w:rsidR="008C663D" w:rsidRPr="004D5DF6" w:rsidRDefault="008C663D" w:rsidP="008C663D">
            <w:pPr>
              <w:spacing w:after="0"/>
              <w:jc w:val="center"/>
              <w:rPr>
                <w:rFonts w:ascii="Arial" w:hAnsi="Arial" w:cs="Arial"/>
                <w:b/>
                <w:bCs/>
              </w:rPr>
            </w:pPr>
            <w:r w:rsidRPr="004D5DF6">
              <w:rPr>
                <w:rFonts w:ascii="Arial" w:hAnsi="Arial" w:cs="Arial"/>
                <w:b/>
                <w:bCs/>
              </w:rPr>
              <w:t>PH</w:t>
            </w:r>
          </w:p>
        </w:tc>
        <w:tc>
          <w:tcPr>
            <w:tcW w:w="2250" w:type="dxa"/>
            <w:shd w:val="clear" w:color="auto" w:fill="BFBFBF" w:themeFill="background1" w:themeFillShade="BF"/>
            <w:vAlign w:val="center"/>
          </w:tcPr>
          <w:p w14:paraId="2E82FF9C" w14:textId="468E9356" w:rsidR="008C663D" w:rsidRPr="004D5DF6" w:rsidRDefault="008C663D" w:rsidP="008C663D">
            <w:pPr>
              <w:spacing w:after="0"/>
              <w:jc w:val="center"/>
              <w:rPr>
                <w:rFonts w:ascii="Arial" w:hAnsi="Arial" w:cs="Arial"/>
                <w:b/>
                <w:bCs/>
              </w:rPr>
            </w:pPr>
            <w:r w:rsidRPr="004D5DF6">
              <w:rPr>
                <w:rFonts w:ascii="Arial" w:hAnsi="Arial" w:cs="Arial"/>
                <w:b/>
                <w:bCs/>
              </w:rPr>
              <w:t>PTW_start</w:t>
            </w:r>
          </w:p>
        </w:tc>
        <w:tc>
          <w:tcPr>
            <w:tcW w:w="4064" w:type="dxa"/>
            <w:shd w:val="clear" w:color="auto" w:fill="BFBFBF" w:themeFill="background1" w:themeFillShade="BF"/>
          </w:tcPr>
          <w:p w14:paraId="4FEE266F" w14:textId="58A01F2E" w:rsidR="008C663D" w:rsidRPr="004D5DF6" w:rsidRDefault="00D32B6E" w:rsidP="008C663D">
            <w:pPr>
              <w:spacing w:after="0"/>
              <w:jc w:val="center"/>
              <w:rPr>
                <w:rFonts w:ascii="Arial" w:hAnsi="Arial" w:cs="Arial"/>
                <w:b/>
                <w:bCs/>
              </w:rPr>
            </w:pPr>
            <w:r w:rsidRPr="004D5DF6">
              <w:rPr>
                <w:rFonts w:ascii="Arial" w:hAnsi="Arial" w:cs="Arial"/>
                <w:b/>
                <w:bCs/>
              </w:rPr>
              <w:t>Implications</w:t>
            </w:r>
          </w:p>
        </w:tc>
      </w:tr>
      <w:tr w:rsidR="00961507" w14:paraId="28B31AFB" w14:textId="29AD65C3" w:rsidTr="004D5DF6">
        <w:trPr>
          <w:jc w:val="center"/>
        </w:trPr>
        <w:tc>
          <w:tcPr>
            <w:tcW w:w="861" w:type="dxa"/>
            <w:shd w:val="clear" w:color="auto" w:fill="F2F2F2" w:themeFill="background1" w:themeFillShade="F2"/>
            <w:vAlign w:val="center"/>
          </w:tcPr>
          <w:p w14:paraId="4F2EB3DF" w14:textId="1F73D7F4" w:rsidR="00961507" w:rsidRPr="004D5DF6" w:rsidRDefault="00961507" w:rsidP="00961507">
            <w:pPr>
              <w:spacing w:after="0"/>
              <w:jc w:val="center"/>
              <w:rPr>
                <w:rFonts w:ascii="Arial" w:hAnsi="Arial" w:cs="Arial"/>
                <w:b/>
                <w:bCs/>
              </w:rPr>
            </w:pPr>
            <w:r w:rsidRPr="004D5DF6">
              <w:rPr>
                <w:rFonts w:ascii="Arial" w:hAnsi="Arial" w:cs="Arial"/>
                <w:b/>
                <w:bCs/>
              </w:rPr>
              <w:t>(1)</w:t>
            </w:r>
          </w:p>
        </w:tc>
        <w:tc>
          <w:tcPr>
            <w:tcW w:w="2104" w:type="dxa"/>
          </w:tcPr>
          <w:p w14:paraId="4DB752BE" w14:textId="2FC67555" w:rsidR="00961507" w:rsidRPr="004D5DF6" w:rsidRDefault="00961507" w:rsidP="00961507">
            <w:pPr>
              <w:spacing w:after="0"/>
              <w:jc w:val="both"/>
              <w:rPr>
                <w:rFonts w:ascii="Arial" w:hAnsi="Arial" w:cs="Arial"/>
              </w:rPr>
            </w:pPr>
            <w:r w:rsidRPr="004D5DF6">
              <w:rPr>
                <w:rFonts w:ascii="Arial" w:eastAsia="MS Mincho" w:hAnsi="Arial" w:cs="Arial"/>
                <w:highlight w:val="cyan"/>
              </w:rPr>
              <w:t>T</w:t>
            </w:r>
            <w:r w:rsidRPr="004D5DF6">
              <w:rPr>
                <w:rFonts w:ascii="Arial" w:eastAsia="MS Mincho" w:hAnsi="Arial" w:cs="Arial"/>
                <w:highlight w:val="cyan"/>
                <w:vertAlign w:val="subscript"/>
              </w:rPr>
              <w:t>eDRX_RAN</w:t>
            </w:r>
          </w:p>
        </w:tc>
        <w:tc>
          <w:tcPr>
            <w:tcW w:w="2250" w:type="dxa"/>
          </w:tcPr>
          <w:p w14:paraId="0CEE2FF9" w14:textId="2F7FCAB7" w:rsidR="00961507" w:rsidRPr="004D5DF6" w:rsidRDefault="00961507" w:rsidP="00961507">
            <w:pPr>
              <w:spacing w:after="0"/>
              <w:jc w:val="both"/>
              <w:rPr>
                <w:rFonts w:ascii="Arial" w:hAnsi="Arial" w:cs="Arial"/>
              </w:rPr>
            </w:pPr>
            <w:r w:rsidRPr="004D5DF6">
              <w:rPr>
                <w:rFonts w:ascii="Arial" w:eastAsia="MS Mincho" w:hAnsi="Arial" w:cs="Arial"/>
                <w:highlight w:val="cyan"/>
              </w:rPr>
              <w:t>T</w:t>
            </w:r>
            <w:r w:rsidRPr="004D5DF6">
              <w:rPr>
                <w:rFonts w:ascii="Arial" w:eastAsia="MS Mincho" w:hAnsi="Arial" w:cs="Arial"/>
                <w:highlight w:val="cyan"/>
                <w:vertAlign w:val="subscript"/>
              </w:rPr>
              <w:t>eDRX_RAN</w:t>
            </w:r>
          </w:p>
        </w:tc>
        <w:tc>
          <w:tcPr>
            <w:tcW w:w="4064" w:type="dxa"/>
          </w:tcPr>
          <w:p w14:paraId="7C25AD6C" w14:textId="5457D006" w:rsidR="00961507" w:rsidRPr="004D5DF6" w:rsidRDefault="00961507" w:rsidP="004D5DF6">
            <w:pPr>
              <w:spacing w:after="0"/>
              <w:rPr>
                <w:rFonts w:ascii="Arial" w:hAnsi="Arial" w:cs="Arial"/>
              </w:rPr>
            </w:pPr>
            <w:r w:rsidRPr="004D5DF6">
              <w:rPr>
                <w:rFonts w:ascii="Arial" w:hAnsi="Arial" w:cs="Arial"/>
              </w:rPr>
              <w:t>RAN PTW and CN PTW could be in completely different</w:t>
            </w:r>
            <w:r w:rsidR="005D1F24" w:rsidRPr="004D5DF6">
              <w:rPr>
                <w:rFonts w:ascii="Arial" w:hAnsi="Arial" w:cs="Arial"/>
              </w:rPr>
              <w:t xml:space="preserve"> This is not preferable</w:t>
            </w:r>
            <w:r w:rsidR="007A3E6F" w:rsidRPr="004D5DF6">
              <w:rPr>
                <w:rFonts w:ascii="Arial" w:hAnsi="Arial" w:cs="Arial"/>
              </w:rPr>
              <w:t xml:space="preserve"> for UE’s power saving</w:t>
            </w:r>
          </w:p>
        </w:tc>
      </w:tr>
      <w:tr w:rsidR="00961507" w14:paraId="0C147E9E" w14:textId="60ADD1A5" w:rsidTr="004D5DF6">
        <w:trPr>
          <w:jc w:val="center"/>
        </w:trPr>
        <w:tc>
          <w:tcPr>
            <w:tcW w:w="861" w:type="dxa"/>
            <w:shd w:val="clear" w:color="auto" w:fill="F2F2F2" w:themeFill="background1" w:themeFillShade="F2"/>
            <w:vAlign w:val="center"/>
          </w:tcPr>
          <w:p w14:paraId="7A1ED982" w14:textId="7E2F360A" w:rsidR="00961507" w:rsidRPr="004D5DF6" w:rsidRDefault="00961507" w:rsidP="00961507">
            <w:pPr>
              <w:spacing w:after="0"/>
              <w:jc w:val="center"/>
              <w:rPr>
                <w:rFonts w:ascii="Arial" w:hAnsi="Arial" w:cs="Arial"/>
                <w:b/>
                <w:bCs/>
              </w:rPr>
            </w:pPr>
            <w:r w:rsidRPr="004D5DF6">
              <w:rPr>
                <w:rFonts w:ascii="Arial" w:hAnsi="Arial" w:cs="Arial"/>
                <w:b/>
                <w:bCs/>
              </w:rPr>
              <w:t>(2)</w:t>
            </w:r>
          </w:p>
        </w:tc>
        <w:tc>
          <w:tcPr>
            <w:tcW w:w="2104" w:type="dxa"/>
          </w:tcPr>
          <w:p w14:paraId="0C8B57A0" w14:textId="5B32D611" w:rsidR="00961507" w:rsidRPr="004D5DF6" w:rsidRDefault="00961507" w:rsidP="00961507">
            <w:pPr>
              <w:spacing w:after="0"/>
              <w:jc w:val="both"/>
              <w:rPr>
                <w:rFonts w:ascii="Arial" w:hAnsi="Arial" w:cs="Arial"/>
              </w:rPr>
            </w:pPr>
            <w:r w:rsidRPr="004D5DF6">
              <w:rPr>
                <w:rFonts w:ascii="Arial" w:eastAsia="MS Mincho" w:hAnsi="Arial" w:cs="Arial"/>
                <w:highlight w:val="yellow"/>
              </w:rPr>
              <w:t>T</w:t>
            </w:r>
            <w:r w:rsidRPr="004D5DF6">
              <w:rPr>
                <w:rFonts w:ascii="Arial" w:eastAsia="MS Mincho" w:hAnsi="Arial" w:cs="Arial"/>
                <w:highlight w:val="yellow"/>
                <w:vertAlign w:val="subscript"/>
              </w:rPr>
              <w:t>eDRX_CN</w:t>
            </w:r>
          </w:p>
        </w:tc>
        <w:tc>
          <w:tcPr>
            <w:tcW w:w="2250" w:type="dxa"/>
          </w:tcPr>
          <w:p w14:paraId="58AD514B" w14:textId="22934016" w:rsidR="00961507" w:rsidRPr="004D5DF6" w:rsidRDefault="00961507" w:rsidP="00961507">
            <w:pPr>
              <w:spacing w:after="0"/>
              <w:jc w:val="both"/>
              <w:rPr>
                <w:rFonts w:ascii="Arial" w:hAnsi="Arial" w:cs="Arial"/>
              </w:rPr>
            </w:pPr>
            <w:r w:rsidRPr="004D5DF6">
              <w:rPr>
                <w:rFonts w:ascii="Arial" w:eastAsia="MS Mincho" w:hAnsi="Arial" w:cs="Arial"/>
                <w:highlight w:val="yellow"/>
              </w:rPr>
              <w:t>T</w:t>
            </w:r>
            <w:r w:rsidRPr="004D5DF6">
              <w:rPr>
                <w:rFonts w:ascii="Arial" w:eastAsia="MS Mincho" w:hAnsi="Arial" w:cs="Arial"/>
                <w:highlight w:val="yellow"/>
                <w:vertAlign w:val="subscript"/>
              </w:rPr>
              <w:t>eDRX_CN</w:t>
            </w:r>
          </w:p>
        </w:tc>
        <w:tc>
          <w:tcPr>
            <w:tcW w:w="4064" w:type="dxa"/>
          </w:tcPr>
          <w:p w14:paraId="07509F0E" w14:textId="24C13DC7" w:rsidR="00961507" w:rsidRPr="004D5DF6" w:rsidRDefault="007A3E6F" w:rsidP="004D5DF6">
            <w:pPr>
              <w:spacing w:after="0"/>
              <w:rPr>
                <w:rFonts w:ascii="Arial" w:hAnsi="Arial" w:cs="Arial"/>
              </w:rPr>
            </w:pPr>
            <w:r w:rsidRPr="004D5DF6">
              <w:rPr>
                <w:rFonts w:ascii="Arial" w:hAnsi="Arial" w:cs="Arial"/>
              </w:rPr>
              <w:t>RAN PTW and CN PTW always</w:t>
            </w:r>
            <w:r w:rsidR="00567B82" w:rsidRPr="004D5DF6">
              <w:rPr>
                <w:rFonts w:ascii="Arial" w:hAnsi="Arial" w:cs="Arial"/>
              </w:rPr>
              <w:t xml:space="preserve"> overla</w:t>
            </w:r>
            <w:r w:rsidR="005D1F24" w:rsidRPr="004D5DF6">
              <w:rPr>
                <w:rFonts w:ascii="Arial" w:hAnsi="Arial" w:cs="Arial"/>
              </w:rPr>
              <w:t>p</w:t>
            </w:r>
            <w:r w:rsidR="00D213EA" w:rsidRPr="004D5DF6">
              <w:rPr>
                <w:rFonts w:ascii="Arial" w:hAnsi="Arial" w:cs="Arial"/>
              </w:rPr>
              <w:t xml:space="preserve"> This is preferable for UE’s power saving but does not take into consideration T</w:t>
            </w:r>
            <w:r w:rsidR="00D213EA" w:rsidRPr="004D5DF6">
              <w:rPr>
                <w:rFonts w:ascii="Arial" w:hAnsi="Arial" w:cs="Arial"/>
                <w:vertAlign w:val="subscript"/>
              </w:rPr>
              <w:t>eDRX_RAN</w:t>
            </w:r>
            <w:r w:rsidR="00D213EA" w:rsidRPr="004D5DF6">
              <w:rPr>
                <w:rFonts w:ascii="Arial" w:hAnsi="Arial" w:cs="Arial"/>
              </w:rPr>
              <w:t xml:space="preserve"> when distributing RAN PTW</w:t>
            </w:r>
            <w:r w:rsidR="00F766CA" w:rsidRPr="004D5DF6">
              <w:rPr>
                <w:rFonts w:ascii="Arial" w:hAnsi="Arial" w:cs="Arial"/>
              </w:rPr>
              <w:t xml:space="preserve"> which might not be preferable from paging load point of view</w:t>
            </w:r>
          </w:p>
        </w:tc>
      </w:tr>
      <w:tr w:rsidR="00961507" w14:paraId="781B94CB" w14:textId="18A2916D" w:rsidTr="004D5DF6">
        <w:trPr>
          <w:jc w:val="center"/>
        </w:trPr>
        <w:tc>
          <w:tcPr>
            <w:tcW w:w="861" w:type="dxa"/>
            <w:shd w:val="clear" w:color="auto" w:fill="F2F2F2" w:themeFill="background1" w:themeFillShade="F2"/>
            <w:vAlign w:val="center"/>
          </w:tcPr>
          <w:p w14:paraId="094A3B1C" w14:textId="69556120" w:rsidR="00961507" w:rsidRPr="004D5DF6" w:rsidRDefault="00961507" w:rsidP="00961507">
            <w:pPr>
              <w:spacing w:after="0"/>
              <w:jc w:val="center"/>
              <w:rPr>
                <w:rFonts w:ascii="Arial" w:hAnsi="Arial" w:cs="Arial"/>
                <w:b/>
                <w:bCs/>
              </w:rPr>
            </w:pPr>
            <w:r w:rsidRPr="004D5DF6">
              <w:rPr>
                <w:rFonts w:ascii="Arial" w:hAnsi="Arial" w:cs="Arial"/>
                <w:b/>
                <w:bCs/>
              </w:rPr>
              <w:t>(3)</w:t>
            </w:r>
          </w:p>
        </w:tc>
        <w:tc>
          <w:tcPr>
            <w:tcW w:w="2104" w:type="dxa"/>
          </w:tcPr>
          <w:p w14:paraId="7FCA4E20" w14:textId="05AEB643" w:rsidR="00961507" w:rsidRPr="004D5DF6" w:rsidRDefault="00961507" w:rsidP="00961507">
            <w:pPr>
              <w:spacing w:after="0"/>
              <w:jc w:val="both"/>
              <w:rPr>
                <w:rFonts w:ascii="Arial" w:hAnsi="Arial" w:cs="Arial"/>
              </w:rPr>
            </w:pPr>
            <w:r w:rsidRPr="004D5DF6">
              <w:rPr>
                <w:rFonts w:ascii="Arial" w:eastAsia="MS Mincho" w:hAnsi="Arial" w:cs="Arial"/>
                <w:highlight w:val="yellow"/>
              </w:rPr>
              <w:t>T</w:t>
            </w:r>
            <w:r w:rsidRPr="004D5DF6">
              <w:rPr>
                <w:rFonts w:ascii="Arial" w:eastAsia="MS Mincho" w:hAnsi="Arial" w:cs="Arial"/>
                <w:highlight w:val="yellow"/>
                <w:vertAlign w:val="subscript"/>
              </w:rPr>
              <w:t>eDRX_CN</w:t>
            </w:r>
          </w:p>
        </w:tc>
        <w:tc>
          <w:tcPr>
            <w:tcW w:w="2250" w:type="dxa"/>
          </w:tcPr>
          <w:p w14:paraId="0F24213B" w14:textId="100EF9A1" w:rsidR="00961507" w:rsidRPr="004D5DF6" w:rsidRDefault="00961507" w:rsidP="00961507">
            <w:pPr>
              <w:spacing w:after="0"/>
              <w:jc w:val="both"/>
              <w:rPr>
                <w:rFonts w:ascii="Arial" w:hAnsi="Arial" w:cs="Arial"/>
              </w:rPr>
            </w:pPr>
            <w:r w:rsidRPr="004D5DF6">
              <w:rPr>
                <w:rFonts w:ascii="Arial" w:eastAsia="MS Mincho" w:hAnsi="Arial" w:cs="Arial"/>
                <w:highlight w:val="cyan"/>
              </w:rPr>
              <w:t>T</w:t>
            </w:r>
            <w:r w:rsidRPr="004D5DF6">
              <w:rPr>
                <w:rFonts w:ascii="Arial" w:eastAsia="MS Mincho" w:hAnsi="Arial" w:cs="Arial"/>
                <w:highlight w:val="cyan"/>
                <w:vertAlign w:val="subscript"/>
              </w:rPr>
              <w:t>eDRX_RAN</w:t>
            </w:r>
          </w:p>
        </w:tc>
        <w:tc>
          <w:tcPr>
            <w:tcW w:w="4064" w:type="dxa"/>
          </w:tcPr>
          <w:p w14:paraId="2FB1CB0E" w14:textId="62594E1D" w:rsidR="00961507" w:rsidRPr="004D5DF6" w:rsidRDefault="00567B82" w:rsidP="004D5DF6">
            <w:pPr>
              <w:spacing w:after="0"/>
              <w:rPr>
                <w:rFonts w:ascii="Arial" w:hAnsi="Arial" w:cs="Arial"/>
              </w:rPr>
            </w:pPr>
            <w:r w:rsidRPr="004D5DF6">
              <w:rPr>
                <w:rFonts w:ascii="Arial" w:hAnsi="Arial" w:cs="Arial"/>
              </w:rPr>
              <w:t>PH is same for RAN PTW and CN PTW but the PTW_start can be different</w:t>
            </w:r>
            <w:r w:rsidR="00F766CA" w:rsidRPr="004D5DF6">
              <w:rPr>
                <w:rFonts w:ascii="Arial" w:hAnsi="Arial" w:cs="Arial"/>
              </w:rPr>
              <w:t xml:space="preserve"> This </w:t>
            </w:r>
            <w:r w:rsidR="000522CF" w:rsidRPr="004D5DF6">
              <w:rPr>
                <w:rFonts w:ascii="Arial" w:hAnsi="Arial" w:cs="Arial"/>
              </w:rPr>
              <w:t>is a compromise between options (1) &amp; (2)</w:t>
            </w:r>
          </w:p>
        </w:tc>
      </w:tr>
      <w:tr w:rsidR="000522CF" w14:paraId="5B9EF3D1" w14:textId="77777777" w:rsidTr="004D5DF6">
        <w:trPr>
          <w:trHeight w:val="323"/>
          <w:jc w:val="center"/>
        </w:trPr>
        <w:tc>
          <w:tcPr>
            <w:tcW w:w="861" w:type="dxa"/>
            <w:shd w:val="clear" w:color="auto" w:fill="F2F2F2" w:themeFill="background1" w:themeFillShade="F2"/>
            <w:vAlign w:val="center"/>
          </w:tcPr>
          <w:p w14:paraId="1F8E4CA9" w14:textId="48A379E4" w:rsidR="000522CF" w:rsidRPr="004D5DF6" w:rsidRDefault="000522CF" w:rsidP="00961507">
            <w:pPr>
              <w:spacing w:after="0"/>
              <w:jc w:val="center"/>
              <w:rPr>
                <w:rFonts w:ascii="Arial" w:hAnsi="Arial" w:cs="Arial"/>
                <w:b/>
                <w:bCs/>
              </w:rPr>
            </w:pPr>
            <w:r w:rsidRPr="004D5DF6">
              <w:rPr>
                <w:rFonts w:ascii="Arial" w:hAnsi="Arial" w:cs="Arial"/>
                <w:b/>
                <w:bCs/>
              </w:rPr>
              <w:t>(4)</w:t>
            </w:r>
          </w:p>
        </w:tc>
        <w:tc>
          <w:tcPr>
            <w:tcW w:w="2104" w:type="dxa"/>
          </w:tcPr>
          <w:p w14:paraId="311FAF62" w14:textId="336715BF" w:rsidR="000522CF" w:rsidRPr="004D5DF6" w:rsidRDefault="00A80B48" w:rsidP="00961507">
            <w:pPr>
              <w:spacing w:after="0"/>
              <w:jc w:val="both"/>
              <w:rPr>
                <w:rFonts w:ascii="Arial" w:eastAsia="MS Mincho" w:hAnsi="Arial" w:cs="Arial"/>
              </w:rPr>
            </w:pPr>
            <w:r w:rsidRPr="004D5DF6">
              <w:rPr>
                <w:rFonts w:ascii="Arial" w:eastAsia="MS Mincho" w:hAnsi="Arial" w:cs="Arial"/>
              </w:rPr>
              <w:t xml:space="preserve">Combination </w:t>
            </w:r>
            <w:r w:rsidR="00EA0B6A" w:rsidRPr="004D5DF6">
              <w:rPr>
                <w:rFonts w:ascii="Arial" w:eastAsia="MS Mincho" w:hAnsi="Arial" w:cs="Arial"/>
              </w:rPr>
              <w:t>(e</w:t>
            </w:r>
            <w:r w:rsidR="00EA0B6A" w:rsidRPr="004D5DF6">
              <w:rPr>
                <w:rFonts w:ascii="Arial" w:hAnsi="Arial" w:cs="Arial"/>
              </w:rPr>
              <w:t>.g. the shortest) of</w:t>
            </w:r>
            <w:r w:rsidR="005D61B7" w:rsidRPr="004D5DF6">
              <w:rPr>
                <w:rFonts w:ascii="Arial" w:eastAsia="MS Mincho" w:hAnsi="Arial" w:cs="Arial"/>
              </w:rPr>
              <w:t xml:space="preserve"> </w:t>
            </w:r>
            <w:r w:rsidR="008C59F4" w:rsidRPr="004D5DF6">
              <w:rPr>
                <w:rFonts w:ascii="Arial" w:eastAsia="MS Mincho" w:hAnsi="Arial" w:cs="Arial"/>
                <w:highlight w:val="yellow"/>
              </w:rPr>
              <w:t>T</w:t>
            </w:r>
            <w:r w:rsidR="008C59F4" w:rsidRPr="004D5DF6">
              <w:rPr>
                <w:rFonts w:ascii="Arial" w:eastAsia="MS Mincho" w:hAnsi="Arial" w:cs="Arial"/>
                <w:highlight w:val="yellow"/>
                <w:vertAlign w:val="subscript"/>
              </w:rPr>
              <w:t>eDRX_CN</w:t>
            </w:r>
            <w:r w:rsidR="008C59F4" w:rsidRPr="004D5DF6">
              <w:rPr>
                <w:rFonts w:ascii="Arial" w:eastAsia="MS Mincho" w:hAnsi="Arial" w:cs="Arial"/>
                <w:vertAlign w:val="subscript"/>
              </w:rPr>
              <w:t xml:space="preserve">  </w:t>
            </w:r>
            <w:r w:rsidR="008C59F4" w:rsidRPr="004D5DF6">
              <w:rPr>
                <w:rFonts w:ascii="Arial" w:eastAsia="MS Mincho" w:hAnsi="Arial" w:cs="Arial"/>
              </w:rPr>
              <w:t xml:space="preserve"> </w:t>
            </w:r>
            <w:r w:rsidR="005D61B7" w:rsidRPr="004D5DF6">
              <w:rPr>
                <w:rFonts w:ascii="Arial" w:eastAsia="MS Mincho" w:hAnsi="Arial" w:cs="Arial"/>
              </w:rPr>
              <w:t xml:space="preserve">and </w:t>
            </w:r>
            <w:r w:rsidR="008C59F4" w:rsidRPr="004D5DF6">
              <w:rPr>
                <w:rFonts w:ascii="Arial" w:eastAsia="MS Mincho" w:hAnsi="Arial" w:cs="Arial"/>
                <w:highlight w:val="cyan"/>
              </w:rPr>
              <w:t>T</w:t>
            </w:r>
            <w:r w:rsidR="008C59F4" w:rsidRPr="004D5DF6">
              <w:rPr>
                <w:rFonts w:ascii="Arial" w:eastAsia="MS Mincho" w:hAnsi="Arial" w:cs="Arial"/>
                <w:highlight w:val="cyan"/>
                <w:vertAlign w:val="subscript"/>
              </w:rPr>
              <w:t>eDRX_</w:t>
            </w:r>
            <w:r w:rsidR="00F77493" w:rsidRPr="004D5DF6">
              <w:rPr>
                <w:rFonts w:ascii="Arial" w:eastAsia="MS Mincho" w:hAnsi="Arial" w:cs="Arial"/>
                <w:highlight w:val="cyan"/>
                <w:vertAlign w:val="subscript"/>
              </w:rPr>
              <w:t>RA</w:t>
            </w:r>
            <w:r w:rsidR="008C59F4" w:rsidRPr="004D5DF6">
              <w:rPr>
                <w:rFonts w:ascii="Arial" w:eastAsia="MS Mincho" w:hAnsi="Arial" w:cs="Arial"/>
                <w:highlight w:val="cyan"/>
                <w:vertAlign w:val="subscript"/>
              </w:rPr>
              <w:t>N</w:t>
            </w:r>
          </w:p>
        </w:tc>
        <w:tc>
          <w:tcPr>
            <w:tcW w:w="2250" w:type="dxa"/>
          </w:tcPr>
          <w:p w14:paraId="27982117" w14:textId="0516D92F" w:rsidR="000522CF" w:rsidRPr="004D5DF6" w:rsidRDefault="00EA0B6A" w:rsidP="00961507">
            <w:pPr>
              <w:spacing w:after="0"/>
              <w:jc w:val="both"/>
              <w:rPr>
                <w:rFonts w:ascii="Arial" w:eastAsia="MS Mincho" w:hAnsi="Arial" w:cs="Arial"/>
                <w:highlight w:val="cyan"/>
              </w:rPr>
            </w:pPr>
            <w:r w:rsidRPr="004D5DF6">
              <w:rPr>
                <w:rFonts w:ascii="Arial" w:eastAsia="MS Mincho" w:hAnsi="Arial" w:cs="Arial"/>
              </w:rPr>
              <w:t>Combination (e</w:t>
            </w:r>
            <w:r w:rsidRPr="004D5DF6">
              <w:rPr>
                <w:rFonts w:ascii="Arial" w:hAnsi="Arial" w:cs="Arial"/>
              </w:rPr>
              <w:t>.g. the shortest)</w:t>
            </w:r>
            <w:r w:rsidRPr="004D5DF6">
              <w:rPr>
                <w:rFonts w:ascii="Arial" w:eastAsia="MS Mincho" w:hAnsi="Arial" w:cs="Arial"/>
              </w:rPr>
              <w:t xml:space="preserve"> </w:t>
            </w:r>
            <w:r w:rsidR="00F77493" w:rsidRPr="004D5DF6">
              <w:rPr>
                <w:rFonts w:ascii="Arial" w:eastAsia="MS Mincho" w:hAnsi="Arial" w:cs="Arial"/>
              </w:rPr>
              <w:t xml:space="preserve">of </w:t>
            </w:r>
            <w:r w:rsidR="00F77493" w:rsidRPr="004D5DF6">
              <w:rPr>
                <w:rFonts w:ascii="Arial" w:eastAsia="MS Mincho" w:hAnsi="Arial" w:cs="Arial"/>
                <w:highlight w:val="yellow"/>
              </w:rPr>
              <w:t>T</w:t>
            </w:r>
            <w:r w:rsidR="00F77493" w:rsidRPr="004D5DF6">
              <w:rPr>
                <w:rFonts w:ascii="Arial" w:eastAsia="MS Mincho" w:hAnsi="Arial" w:cs="Arial"/>
                <w:highlight w:val="yellow"/>
                <w:vertAlign w:val="subscript"/>
              </w:rPr>
              <w:t>eDRX_CN</w:t>
            </w:r>
            <w:r w:rsidR="00F77493" w:rsidRPr="004D5DF6">
              <w:rPr>
                <w:rFonts w:ascii="Arial" w:eastAsia="MS Mincho" w:hAnsi="Arial" w:cs="Arial"/>
                <w:vertAlign w:val="subscript"/>
              </w:rPr>
              <w:t xml:space="preserve">  </w:t>
            </w:r>
            <w:r w:rsidR="00F77493" w:rsidRPr="004D5DF6">
              <w:rPr>
                <w:rFonts w:ascii="Arial" w:eastAsia="MS Mincho" w:hAnsi="Arial" w:cs="Arial"/>
              </w:rPr>
              <w:t xml:space="preserve"> and </w:t>
            </w:r>
            <w:r w:rsidR="00F77493" w:rsidRPr="004D5DF6">
              <w:rPr>
                <w:rFonts w:ascii="Arial" w:eastAsia="MS Mincho" w:hAnsi="Arial" w:cs="Arial"/>
                <w:highlight w:val="cyan"/>
              </w:rPr>
              <w:t>T</w:t>
            </w:r>
            <w:r w:rsidR="00F77493" w:rsidRPr="004D5DF6">
              <w:rPr>
                <w:rFonts w:ascii="Arial" w:eastAsia="MS Mincho" w:hAnsi="Arial" w:cs="Arial"/>
                <w:highlight w:val="cyan"/>
                <w:vertAlign w:val="subscript"/>
              </w:rPr>
              <w:t>eDRX_RAN</w:t>
            </w:r>
          </w:p>
        </w:tc>
        <w:tc>
          <w:tcPr>
            <w:tcW w:w="4064" w:type="dxa"/>
          </w:tcPr>
          <w:p w14:paraId="123A24B5" w14:textId="5501DF90" w:rsidR="000522CF" w:rsidRPr="004D5DF6" w:rsidRDefault="007A6FBA" w:rsidP="004D5DF6">
            <w:pPr>
              <w:spacing w:after="0"/>
              <w:rPr>
                <w:rFonts w:ascii="Arial" w:hAnsi="Arial" w:cs="Arial"/>
              </w:rPr>
            </w:pPr>
            <w:r w:rsidRPr="004D5DF6">
              <w:rPr>
                <w:rFonts w:ascii="Arial" w:hAnsi="Arial" w:cs="Arial"/>
              </w:rPr>
              <w:t>It might not be essential</w:t>
            </w:r>
            <w:r w:rsidR="003E4819" w:rsidRPr="004D5DF6">
              <w:rPr>
                <w:rFonts w:ascii="Arial" w:hAnsi="Arial" w:cs="Arial"/>
              </w:rPr>
              <w:t xml:space="preserve"> as </w:t>
            </w:r>
            <w:r w:rsidR="00E953F1" w:rsidRPr="004D5DF6">
              <w:rPr>
                <w:rFonts w:ascii="Arial" w:hAnsi="Arial" w:cs="Arial"/>
              </w:rPr>
              <w:t xml:space="preserve">current proposed behaviour is </w:t>
            </w:r>
            <w:r w:rsidRPr="004D5DF6">
              <w:rPr>
                <w:rFonts w:ascii="Arial" w:eastAsia="MS Mincho" w:hAnsi="Arial" w:cs="Arial"/>
                <w:highlight w:val="cyan"/>
              </w:rPr>
              <w:t>T</w:t>
            </w:r>
            <w:r w:rsidRPr="004D5DF6">
              <w:rPr>
                <w:rFonts w:ascii="Arial" w:eastAsia="MS Mincho" w:hAnsi="Arial" w:cs="Arial"/>
                <w:highlight w:val="cyan"/>
                <w:vertAlign w:val="subscript"/>
              </w:rPr>
              <w:t>eDRX_RAN</w:t>
            </w:r>
            <w:r w:rsidR="00E953F1" w:rsidRPr="004D5DF6">
              <w:rPr>
                <w:rFonts w:ascii="Arial" w:hAnsi="Arial" w:cs="Arial" w:hint="eastAsia"/>
              </w:rPr>
              <w:t xml:space="preserve"> </w:t>
            </w:r>
            <w:r w:rsidR="00E953F1" w:rsidRPr="004D5DF6">
              <w:rPr>
                <w:rFonts w:ascii="Arial" w:hAnsi="Arial" w:cs="Arial" w:hint="eastAsia"/>
              </w:rPr>
              <w:t>≤</w:t>
            </w:r>
            <w:r w:rsidRPr="004D5DF6">
              <w:rPr>
                <w:rFonts w:ascii="Arial" w:hAnsi="Arial" w:cs="Arial"/>
              </w:rPr>
              <w:t xml:space="preserve"> </w:t>
            </w:r>
            <w:r w:rsidRPr="004D5DF6">
              <w:rPr>
                <w:rFonts w:ascii="Arial" w:eastAsia="MS Mincho" w:hAnsi="Arial" w:cs="Arial"/>
                <w:highlight w:val="yellow"/>
              </w:rPr>
              <w:t>T</w:t>
            </w:r>
            <w:r w:rsidRPr="004D5DF6">
              <w:rPr>
                <w:rFonts w:ascii="Arial" w:eastAsia="MS Mincho" w:hAnsi="Arial" w:cs="Arial"/>
                <w:highlight w:val="yellow"/>
                <w:vertAlign w:val="subscript"/>
              </w:rPr>
              <w:t>eDRX_CN</w:t>
            </w:r>
            <w:r w:rsidRPr="004D5DF6">
              <w:rPr>
                <w:rFonts w:ascii="Arial" w:eastAsia="MS Mincho" w:hAnsi="Arial" w:cs="Arial"/>
                <w:vertAlign w:val="subscript"/>
              </w:rPr>
              <w:t xml:space="preserve">  </w:t>
            </w:r>
            <w:r w:rsidRPr="004D5DF6">
              <w:rPr>
                <w:rFonts w:ascii="Arial" w:eastAsia="MS Mincho" w:hAnsi="Arial" w:cs="Arial"/>
              </w:rPr>
              <w:t xml:space="preserve"> </w:t>
            </w:r>
          </w:p>
        </w:tc>
      </w:tr>
    </w:tbl>
    <w:p w14:paraId="0B22679C" w14:textId="7D022A51" w:rsidR="008B4601" w:rsidRDefault="00A03BAB" w:rsidP="004D5DF6">
      <w:pPr>
        <w:spacing w:before="240"/>
        <w:jc w:val="both"/>
      </w:pPr>
      <w:r>
        <w:t>Extended DRX feature is enabled to reduce UE’s power consumption, and</w:t>
      </w:r>
      <w:r w:rsidR="004C2B4E">
        <w:t xml:space="preserve"> the motivation for a </w:t>
      </w:r>
      <w:r w:rsidR="008B1BF6">
        <w:t>UE in RRC_INACTIVE to monitor CN paging (</w:t>
      </w:r>
      <w:r w:rsidR="008B1BF6">
        <w:rPr>
          <w:rFonts w:eastAsia="MS Mincho"/>
        </w:rPr>
        <w:t>i</w:t>
      </w:r>
      <w:r w:rsidR="008B1BF6" w:rsidRPr="00001205">
        <w:t>.</w:t>
      </w:r>
      <w:r w:rsidR="008B1BF6">
        <w:t>e</w:t>
      </w:r>
      <w:r w:rsidR="008B1BF6" w:rsidRPr="00001205">
        <w:t>.</w:t>
      </w:r>
      <w:r w:rsidR="008B1BF6">
        <w:t xml:space="preserve"> </w:t>
      </w:r>
      <w:r w:rsidR="008B1BF6" w:rsidRPr="00F77493">
        <w:rPr>
          <w:rFonts w:eastAsia="MS Mincho"/>
          <w:highlight w:val="yellow"/>
        </w:rPr>
        <w:t>T</w:t>
      </w:r>
      <w:r w:rsidR="008B1BF6" w:rsidRPr="00F77493">
        <w:rPr>
          <w:rFonts w:eastAsia="MS Mincho"/>
          <w:highlight w:val="yellow"/>
          <w:vertAlign w:val="subscript"/>
        </w:rPr>
        <w:t>eDRX_CN</w:t>
      </w:r>
      <w:r w:rsidR="008B1BF6">
        <w:t>)</w:t>
      </w:r>
      <w:r w:rsidR="004C2B4E">
        <w:t xml:space="preserve"> is to guarantee its CN </w:t>
      </w:r>
      <w:r w:rsidR="0074579E">
        <w:t xml:space="preserve">reachability in case network has to move autonomously the UE to RRC_IDLE (which should not be normal </w:t>
      </w:r>
      <w:r w:rsidR="00443340">
        <w:t xml:space="preserve">scenario that would happen frequently) Therefore it is preferable to enable a solution that provides the </w:t>
      </w:r>
      <w:r w:rsidR="00640597">
        <w:t>most reduction on UE’s power consumption</w:t>
      </w:r>
      <w:r w:rsidR="00640597" w:rsidRPr="00001205">
        <w:t>.</w:t>
      </w:r>
      <w:r w:rsidR="00640597">
        <w:t xml:space="preserve"> This seems to be </w:t>
      </w:r>
      <w:r w:rsidR="003E6441">
        <w:t>option (2)</w:t>
      </w:r>
      <w:r w:rsidR="003C06AD" w:rsidRPr="00001205">
        <w:t>.</w:t>
      </w:r>
      <w:r w:rsidR="003C06AD">
        <w:t xml:space="preserve"> Moreover</w:t>
      </w:r>
      <w:r w:rsidR="004320E2">
        <w:t>,</w:t>
      </w:r>
      <w:r w:rsidR="003C06AD">
        <w:t xml:space="preserve"> even though </w:t>
      </w:r>
      <w:r w:rsidR="003C06AD" w:rsidRPr="00F77493">
        <w:rPr>
          <w:rFonts w:eastAsia="MS Mincho"/>
          <w:highlight w:val="yellow"/>
        </w:rPr>
        <w:t>T</w:t>
      </w:r>
      <w:r w:rsidR="003C06AD" w:rsidRPr="00F77493">
        <w:rPr>
          <w:rFonts w:eastAsia="MS Mincho"/>
          <w:highlight w:val="yellow"/>
          <w:vertAlign w:val="subscript"/>
        </w:rPr>
        <w:t>eDRX_CN</w:t>
      </w:r>
      <w:r w:rsidR="003C06AD" w:rsidRPr="003C06AD">
        <w:t xml:space="preserve"> </w:t>
      </w:r>
      <w:r w:rsidR="003C06AD">
        <w:t>is used to calculate</w:t>
      </w:r>
      <w:r w:rsidR="004320E2">
        <w:t xml:space="preserve"> RAN PTW and CN PTW, this should be ok understanding that </w:t>
      </w:r>
      <w:r w:rsidR="004320E2" w:rsidRPr="00F77493">
        <w:rPr>
          <w:rFonts w:eastAsia="MS Mincho"/>
          <w:highlight w:val="cyan"/>
        </w:rPr>
        <w:t>T</w:t>
      </w:r>
      <w:r w:rsidR="004320E2" w:rsidRPr="00F77493">
        <w:rPr>
          <w:rFonts w:eastAsia="MS Mincho"/>
          <w:highlight w:val="cyan"/>
          <w:vertAlign w:val="subscript"/>
        </w:rPr>
        <w:t>eDRX_RAN</w:t>
      </w:r>
      <w:r w:rsidR="004320E2">
        <w:t xml:space="preserve"> ≤ </w:t>
      </w:r>
      <w:r w:rsidR="004320E2" w:rsidRPr="00F77493">
        <w:rPr>
          <w:rFonts w:eastAsia="MS Mincho"/>
          <w:highlight w:val="yellow"/>
        </w:rPr>
        <w:t>T</w:t>
      </w:r>
      <w:r w:rsidR="004320E2" w:rsidRPr="00F77493">
        <w:rPr>
          <w:rFonts w:eastAsia="MS Mincho"/>
          <w:highlight w:val="yellow"/>
          <w:vertAlign w:val="subscript"/>
        </w:rPr>
        <w:t>eDRX_CN</w:t>
      </w:r>
      <w:r w:rsidR="004320E2" w:rsidRPr="00F77493">
        <w:rPr>
          <w:rFonts w:eastAsia="MS Mincho"/>
          <w:vertAlign w:val="subscript"/>
        </w:rPr>
        <w:t xml:space="preserve"> </w:t>
      </w:r>
      <w:r w:rsidR="00CB6841">
        <w:rPr>
          <w:rFonts w:eastAsia="MS Mincho"/>
        </w:rPr>
        <w:t>; if companies have concern on the paging load/distribution, option (3) could also be considered</w:t>
      </w:r>
      <w:r w:rsidR="003C06AD" w:rsidRPr="00001205">
        <w:t>.</w:t>
      </w:r>
    </w:p>
    <w:p w14:paraId="48DDCA66" w14:textId="543ABC83" w:rsidR="00ED03F6" w:rsidRPr="00A517B5" w:rsidRDefault="00422951" w:rsidP="00ED03F6">
      <w:pPr>
        <w:pStyle w:val="Proposal"/>
        <w:numPr>
          <w:ilvl w:val="0"/>
          <w:numId w:val="4"/>
        </w:numPr>
      </w:pPr>
      <w:bookmarkStart w:id="72" w:name="_Toc126848883"/>
      <w:bookmarkStart w:id="73" w:name="_Toc126913048"/>
      <w:bookmarkStart w:id="74" w:name="_Toc127174026"/>
      <w:bookmarkStart w:id="75" w:name="_Toc127196800"/>
      <w:bookmarkStart w:id="76" w:name="_Toc127370948"/>
      <w:bookmarkStart w:id="77" w:name="_Toc127432728"/>
      <w:bookmarkStart w:id="78" w:name="_Toc127454485"/>
      <w:bookmarkStart w:id="79" w:name="_Toc127465487"/>
      <w:bookmarkStart w:id="80" w:name="_Toc127465682"/>
      <w:bookmarkStart w:id="81" w:name="_Toc131025436"/>
      <w:bookmarkStart w:id="82" w:name="_Toc131685991"/>
      <w:bookmarkStart w:id="83" w:name="_Toc131712561"/>
      <w:bookmarkStart w:id="84" w:name="_Toc131712592"/>
      <w:r>
        <w:t xml:space="preserve">For Rel-18 INACTIVE eDRX &gt; 10.24 sec, PH </w:t>
      </w:r>
      <w:r w:rsidR="004B0476">
        <w:t>and PWT_start are determined using T</w:t>
      </w:r>
      <w:r w:rsidR="004B0476" w:rsidRPr="004B0476">
        <w:rPr>
          <w:vertAlign w:val="subscript"/>
        </w:rPr>
        <w:t>eDRX_CN</w:t>
      </w:r>
      <w:r w:rsidR="00BF75D5">
        <w:t>.</w:t>
      </w:r>
      <w:bookmarkEnd w:id="72"/>
      <w:bookmarkEnd w:id="73"/>
      <w:bookmarkEnd w:id="74"/>
      <w:bookmarkEnd w:id="75"/>
      <w:bookmarkEnd w:id="76"/>
      <w:bookmarkEnd w:id="77"/>
      <w:bookmarkEnd w:id="78"/>
      <w:bookmarkEnd w:id="79"/>
      <w:bookmarkEnd w:id="80"/>
      <w:r w:rsidR="004B0476">
        <w:t xml:space="preserve"> If this is not acceptable, to consider PH is determined using T</w:t>
      </w:r>
      <w:r w:rsidR="004B0476" w:rsidRPr="004B0476">
        <w:rPr>
          <w:vertAlign w:val="subscript"/>
        </w:rPr>
        <w:t>eDRX_CN</w:t>
      </w:r>
      <w:r w:rsidR="004B0476">
        <w:t xml:space="preserve"> and PWT_start using T</w:t>
      </w:r>
      <w:r w:rsidR="004B0476" w:rsidRPr="004B0476">
        <w:rPr>
          <w:vertAlign w:val="subscript"/>
        </w:rPr>
        <w:t>eDRX_</w:t>
      </w:r>
      <w:r w:rsidR="004B0476">
        <w:rPr>
          <w:vertAlign w:val="subscript"/>
        </w:rPr>
        <w:t>RA</w:t>
      </w:r>
      <w:r w:rsidR="004B0476" w:rsidRPr="004B0476">
        <w:rPr>
          <w:vertAlign w:val="subscript"/>
        </w:rPr>
        <w:t>N</w:t>
      </w:r>
      <w:bookmarkEnd w:id="81"/>
      <w:bookmarkEnd w:id="82"/>
      <w:bookmarkEnd w:id="83"/>
      <w:bookmarkEnd w:id="84"/>
    </w:p>
    <w:p w14:paraId="7A8B30D8" w14:textId="14F38EE2" w:rsidR="00ED03F6" w:rsidRDefault="00465883" w:rsidP="00054827">
      <w:pPr>
        <w:jc w:val="both"/>
      </w:pPr>
      <w:r>
        <w:t xml:space="preserve">Lastly RAN2 would need to discuss how i_s is </w:t>
      </w:r>
      <w:r w:rsidR="00EC2339">
        <w:t>determined;</w:t>
      </w:r>
      <w:r w:rsidR="00F30568">
        <w:t xml:space="preserve"> however it might be better to wait until </w:t>
      </w:r>
      <w:r w:rsidR="00B225ED">
        <w:t>the overall paging operation is further progressed</w:t>
      </w:r>
      <w:r w:rsidR="00B225ED" w:rsidRPr="00001205">
        <w:t>.</w:t>
      </w:r>
      <w:r w:rsidR="00EC2339">
        <w:t xml:space="preserve"> For reference, related rel-17 eDRX behaviour is copied below:</w:t>
      </w:r>
    </w:p>
    <w:p w14:paraId="705C52F2" w14:textId="77777777" w:rsidR="00F30568" w:rsidRPr="00F30568" w:rsidRDefault="00F30568" w:rsidP="00F30568">
      <w:pPr>
        <w:pStyle w:val="B2"/>
        <w:spacing w:after="60"/>
        <w:ind w:left="720" w:firstLine="0"/>
        <w:rPr>
          <w:i/>
          <w:iCs/>
          <w:lang w:eastAsia="zh-CN"/>
        </w:rPr>
      </w:pPr>
      <w:r w:rsidRPr="00EC2339">
        <w:rPr>
          <w:i/>
          <w:iCs/>
          <w:u w:val="single"/>
          <w:lang w:eastAsia="zh-CN"/>
        </w:rPr>
        <w:t>In RRC_INACTIVE state</w:t>
      </w:r>
      <w:r w:rsidRPr="00F30568">
        <w:rPr>
          <w:i/>
          <w:iCs/>
          <w:lang w:eastAsia="zh-CN"/>
        </w:rPr>
        <w:t xml:space="preserve">, if used eDRX value configured by upper layers is no longer than 1024 radio frames, the UE shall use the </w:t>
      </w:r>
      <w:r w:rsidRPr="00EC2339">
        <w:rPr>
          <w:i/>
          <w:iCs/>
          <w:u w:val="single"/>
          <w:lang w:eastAsia="zh-CN"/>
        </w:rPr>
        <w:t>same i_s as for RRC_IDLE state</w:t>
      </w:r>
      <w:r w:rsidRPr="00F30568">
        <w:rPr>
          <w:i/>
          <w:iCs/>
          <w:lang w:eastAsia="zh-CN"/>
        </w:rPr>
        <w:t>.</w:t>
      </w:r>
    </w:p>
    <w:p w14:paraId="20E70B59" w14:textId="77777777" w:rsidR="00F30568" w:rsidRPr="00F30568" w:rsidRDefault="00F30568" w:rsidP="00F30568">
      <w:pPr>
        <w:pStyle w:val="B2"/>
        <w:spacing w:after="60"/>
        <w:ind w:left="720" w:firstLine="0"/>
        <w:rPr>
          <w:i/>
          <w:iCs/>
          <w:lang w:eastAsia="zh-CN"/>
        </w:rPr>
      </w:pPr>
      <w:r w:rsidRPr="00F30568">
        <w:rPr>
          <w:i/>
          <w:iCs/>
          <w:lang w:eastAsia="zh-CN"/>
        </w:rPr>
        <w:t>In RRC_INACTIVE state, if used eDRX value configured by upper layers is longer than 1024 radio frames, during CN PTW, the UE shall use the same i_s as for RRC_IDLE state.</w:t>
      </w:r>
    </w:p>
    <w:p w14:paraId="1DACF152" w14:textId="07C55393" w:rsidR="00B225ED" w:rsidRDefault="00B225ED" w:rsidP="00B225ED">
      <w:pPr>
        <w:pStyle w:val="observ"/>
        <w:ind w:left="360"/>
      </w:pPr>
      <w:bookmarkStart w:id="85" w:name="_Toc126848887"/>
      <w:bookmarkStart w:id="86" w:name="_Toc127174015"/>
      <w:bookmarkStart w:id="87" w:name="_Toc127196789"/>
      <w:bookmarkStart w:id="88" w:name="_Toc127370932"/>
      <w:bookmarkStart w:id="89" w:name="_Toc127454476"/>
      <w:bookmarkStart w:id="90" w:name="_Toc127465478"/>
      <w:bookmarkStart w:id="91" w:name="_Toc127465673"/>
      <w:bookmarkStart w:id="92" w:name="_Toc130987121"/>
      <w:bookmarkStart w:id="93" w:name="_Toc131025439"/>
      <w:bookmarkStart w:id="94" w:name="_Toc131712564"/>
      <w:bookmarkStart w:id="95" w:name="_Toc131712577"/>
      <w:r>
        <w:t xml:space="preserve">After further progress on how paging mechanism is updated to support INACTIVE </w:t>
      </w:r>
      <w:r w:rsidR="00740B2E">
        <w:t>eDRX above 10</w:t>
      </w:r>
      <w:r w:rsidRPr="00A517B5">
        <w:t>.</w:t>
      </w:r>
      <w:bookmarkEnd w:id="85"/>
      <w:bookmarkEnd w:id="86"/>
      <w:bookmarkEnd w:id="87"/>
      <w:bookmarkEnd w:id="88"/>
      <w:bookmarkEnd w:id="89"/>
      <w:bookmarkEnd w:id="90"/>
      <w:bookmarkEnd w:id="91"/>
      <w:bookmarkEnd w:id="92"/>
      <w:r w:rsidR="00740B2E">
        <w:t xml:space="preserve">24 sec, RAN2 would need to discuss which i_s </w:t>
      </w:r>
      <w:r w:rsidR="00EC2339">
        <w:t>is used</w:t>
      </w:r>
      <w:r w:rsidR="004D78E8" w:rsidRPr="004D78E8">
        <w:t>.</w:t>
      </w:r>
      <w:bookmarkEnd w:id="93"/>
      <w:bookmarkEnd w:id="94"/>
      <w:bookmarkEnd w:id="95"/>
    </w:p>
    <w:p w14:paraId="3DF9DA33" w14:textId="77777777" w:rsidR="00EC519E" w:rsidRDefault="00EC519E" w:rsidP="00054827">
      <w:pPr>
        <w:jc w:val="both"/>
      </w:pPr>
    </w:p>
    <w:p w14:paraId="5CD900E1" w14:textId="6692FF3A" w:rsidR="00003F08" w:rsidRDefault="002B7FC7" w:rsidP="00003F08">
      <w:pPr>
        <w:pStyle w:val="Heading2"/>
      </w:pPr>
      <w:r>
        <w:lastRenderedPageBreak/>
        <w:t>S</w:t>
      </w:r>
      <w:r w:rsidR="00660B39">
        <w:t>I notification</w:t>
      </w:r>
      <w:r w:rsidR="004E2643">
        <w:t xml:space="preserve"> for</w:t>
      </w:r>
      <w:r w:rsidR="00C20366">
        <w:t xml:space="preserve"> a</w:t>
      </w:r>
      <w:r w:rsidR="0078428A">
        <w:t xml:space="preserve"> </w:t>
      </w:r>
      <w:r w:rsidR="00003F08">
        <w:t>UE</w:t>
      </w:r>
      <w:r w:rsidR="0078428A">
        <w:t xml:space="preserve"> in RRC_INACTIVE</w:t>
      </w:r>
      <w:r w:rsidR="00E232F1">
        <w:t xml:space="preserve"> with</w:t>
      </w:r>
      <w:r w:rsidR="00003F08">
        <w:t xml:space="preserve"> eDRX &gt; 10.24sec</w:t>
      </w:r>
    </w:p>
    <w:p w14:paraId="06902998" w14:textId="31290249" w:rsidR="00765864" w:rsidRDefault="00660B39" w:rsidP="00765864">
      <w:pPr>
        <w:jc w:val="both"/>
      </w:pPr>
      <w:r>
        <w:t xml:space="preserve">In Rel-17, </w:t>
      </w:r>
      <w:r w:rsidR="00822E45">
        <w:t xml:space="preserve">a new </w:t>
      </w:r>
      <w:r w:rsidR="00765864">
        <w:t xml:space="preserve">indication </w:t>
      </w:r>
      <w:r w:rsidR="00822E45">
        <w:t xml:space="preserve">is defined in the Short Message to indicate </w:t>
      </w:r>
      <w:r w:rsidR="00765864">
        <w:t>of a BCCH modification other than SIB6, SIB7 and SIB8</w:t>
      </w:r>
      <w:r w:rsidR="00822E45">
        <w:t xml:space="preserve"> (</w:t>
      </w:r>
      <w:r w:rsidR="00822E45" w:rsidRPr="5C44F955">
        <w:rPr>
          <w:i/>
          <w:iCs/>
        </w:rPr>
        <w:t>systemInfoModification-eDRX</w:t>
      </w:r>
      <w:r w:rsidR="00822E45">
        <w:t>). Its definition explains that this</w:t>
      </w:r>
      <w:r w:rsidR="00765864">
        <w:t xml:space="preserve"> indication applies only to UEs using eDRX cycle longer than the BCCH</w:t>
      </w:r>
      <w:r w:rsidR="00822E45">
        <w:t xml:space="preserve">. </w:t>
      </w:r>
      <w:r w:rsidR="005A5153">
        <w:t>Therefore,</w:t>
      </w:r>
      <w:r w:rsidR="00822E45">
        <w:t xml:space="preserve"> current definition is already equa</w:t>
      </w:r>
      <w:r w:rsidR="005A5153">
        <w:t xml:space="preserve">lly applicable for this new feature. It is important to understand that this was already accounting for UEs in RRC_IDLE that may also be configured with eDRX &gt;10.24sec. </w:t>
      </w:r>
      <w:r w:rsidR="023980FD">
        <w:t>I</w:t>
      </w:r>
      <w:r w:rsidR="005A5153">
        <w:t xml:space="preserve">n summary, it can be reused with no </w:t>
      </w:r>
      <w:r w:rsidR="00EF1509">
        <w:t xml:space="preserve">major </w:t>
      </w:r>
      <w:r w:rsidR="005A5153">
        <w:t>specification change.</w:t>
      </w:r>
      <w:r w:rsidR="00EF1509">
        <w:t xml:space="preserve"> The procedural text on 38.331 would need to also allow UEs in RRC_INACTIVE to also</w:t>
      </w:r>
      <w:r w:rsidR="00270725">
        <w:t xml:space="preserve"> receive this indication:</w:t>
      </w:r>
    </w:p>
    <w:p w14:paraId="2D37146A" w14:textId="060531D1" w:rsidR="00270725" w:rsidRPr="00FE752B" w:rsidRDefault="00270725" w:rsidP="00FE752B">
      <w:pPr>
        <w:spacing w:after="60"/>
        <w:ind w:left="720"/>
        <w:jc w:val="both"/>
        <w:rPr>
          <w:i/>
          <w:iCs/>
        </w:rPr>
      </w:pPr>
      <w:r w:rsidRPr="00FE752B">
        <w:rPr>
          <w:i/>
          <w:iCs/>
        </w:rPr>
        <w:t>1&gt;</w:t>
      </w:r>
      <w:r w:rsidRPr="00FE752B">
        <w:rPr>
          <w:i/>
          <w:iCs/>
        </w:rPr>
        <w:tab/>
        <w:t>if the UE is configured with an</w:t>
      </w:r>
      <w:r>
        <w:rPr>
          <w:i/>
          <w:iCs/>
        </w:rPr>
        <w:t xml:space="preserve"> </w:t>
      </w:r>
      <w:r w:rsidRPr="00FE752B">
        <w:rPr>
          <w:i/>
          <w:iCs/>
          <w:color w:val="FF0000"/>
          <w:u w:val="single"/>
        </w:rPr>
        <w:t>RRC_INACTIVE or</w:t>
      </w:r>
      <w:r w:rsidRPr="00FE752B">
        <w:rPr>
          <w:i/>
          <w:iCs/>
          <w:color w:val="FF0000"/>
        </w:rPr>
        <w:t xml:space="preserve"> </w:t>
      </w:r>
      <w:r w:rsidRPr="00FE752B">
        <w:rPr>
          <w:i/>
          <w:iCs/>
        </w:rPr>
        <w:t>RRC_IDLE eDRX cycle longer than the modification period and the systemInfoModification-eDRX bit of Short Message is set:</w:t>
      </w:r>
    </w:p>
    <w:p w14:paraId="36395EBC" w14:textId="3516F183" w:rsidR="00270725" w:rsidRDefault="00270725" w:rsidP="00FE752B">
      <w:pPr>
        <w:spacing w:after="240"/>
        <w:ind w:left="1440"/>
        <w:jc w:val="both"/>
        <w:rPr>
          <w:i/>
          <w:iCs/>
        </w:rPr>
      </w:pPr>
      <w:r w:rsidRPr="00FE752B">
        <w:rPr>
          <w:i/>
          <w:iCs/>
        </w:rPr>
        <w:t>2&gt;</w:t>
      </w:r>
      <w:r w:rsidRPr="00FE752B">
        <w:rPr>
          <w:i/>
          <w:iCs/>
        </w:rPr>
        <w:tab/>
        <w:t>apply the SI acquisition procedure as defined in clause 5.2.2.3 from the start of the next eDRX acquisition period boundary.</w:t>
      </w:r>
    </w:p>
    <w:p w14:paraId="3612E511" w14:textId="5E90FFEF" w:rsidR="000E3F4C" w:rsidRPr="000E3F4C" w:rsidRDefault="000E3F4C" w:rsidP="000E3F4C">
      <w:pPr>
        <w:spacing w:after="240"/>
        <w:jc w:val="both"/>
      </w:pPr>
      <w:r>
        <w:t xml:space="preserve">In addition, </w:t>
      </w:r>
      <w:r w:rsidR="00BA60D6">
        <w:t>eDRX modification period behaviour defined for Rel-17 could be considered applicable now.</w:t>
      </w:r>
    </w:p>
    <w:p w14:paraId="51829C6E" w14:textId="61F5EFB3" w:rsidR="005A5153" w:rsidRPr="00A517B5" w:rsidRDefault="005A5153" w:rsidP="005A5153">
      <w:pPr>
        <w:pStyle w:val="Proposal"/>
        <w:numPr>
          <w:ilvl w:val="0"/>
          <w:numId w:val="4"/>
        </w:numPr>
      </w:pPr>
      <w:bookmarkStart w:id="96" w:name="_Toc127432729"/>
      <w:bookmarkStart w:id="97" w:name="_Toc127454486"/>
      <w:bookmarkStart w:id="98" w:name="_Toc127465488"/>
      <w:bookmarkStart w:id="99" w:name="_Toc127465683"/>
      <w:bookmarkStart w:id="100" w:name="_Toc131025437"/>
      <w:bookmarkStart w:id="101" w:name="_Toc131685992"/>
      <w:bookmarkStart w:id="102" w:name="_Toc131712562"/>
      <w:bookmarkStart w:id="103" w:name="_Toc131712593"/>
      <w:bookmarkStart w:id="104" w:name="_Toc126848884"/>
      <w:bookmarkStart w:id="105" w:name="_Toc126913049"/>
      <w:bookmarkStart w:id="106" w:name="_Toc127174027"/>
      <w:bookmarkStart w:id="107" w:name="_Toc127196801"/>
      <w:bookmarkStart w:id="108" w:name="_Toc127370949"/>
      <w:r>
        <w:t xml:space="preserve">Legacy </w:t>
      </w:r>
      <w:r w:rsidRPr="00822E45">
        <w:rPr>
          <w:i/>
          <w:iCs/>
        </w:rPr>
        <w:t>systemInfoModification-eDRX</w:t>
      </w:r>
      <w:r>
        <w:rPr>
          <w:i/>
          <w:iCs/>
        </w:rPr>
        <w:t xml:space="preserve"> </w:t>
      </w:r>
      <w:r>
        <w:t>indication in Short message</w:t>
      </w:r>
      <w:r w:rsidR="00BA60D6">
        <w:t xml:space="preserve"> and eDRX modification period</w:t>
      </w:r>
      <w:r w:rsidR="00EC519E">
        <w:t>/boundaries are also</w:t>
      </w:r>
      <w:r>
        <w:t xml:space="preserve"> applicable for Rel-18 UEs in RRC_INACTIVE configured with eDRX &gt; 10.24sec.</w:t>
      </w:r>
      <w:bookmarkEnd w:id="96"/>
      <w:bookmarkEnd w:id="97"/>
      <w:bookmarkEnd w:id="98"/>
      <w:bookmarkEnd w:id="99"/>
      <w:bookmarkEnd w:id="100"/>
      <w:bookmarkEnd w:id="101"/>
      <w:bookmarkEnd w:id="102"/>
      <w:bookmarkEnd w:id="103"/>
      <w:r>
        <w:t xml:space="preserve"> </w:t>
      </w:r>
      <w:bookmarkEnd w:id="104"/>
      <w:bookmarkEnd w:id="105"/>
      <w:bookmarkEnd w:id="106"/>
      <w:bookmarkEnd w:id="107"/>
      <w:bookmarkEnd w:id="108"/>
    </w:p>
    <w:p w14:paraId="193E15E8" w14:textId="77777777" w:rsidR="00F34C7E" w:rsidRDefault="00F34C7E" w:rsidP="00054827">
      <w:pPr>
        <w:jc w:val="both"/>
      </w:pPr>
    </w:p>
    <w:p w14:paraId="66207DB3" w14:textId="77777777" w:rsidR="00D95046" w:rsidRPr="00A517B5" w:rsidRDefault="00D95046" w:rsidP="00054827">
      <w:pPr>
        <w:jc w:val="both"/>
      </w:pPr>
    </w:p>
    <w:p w14:paraId="5AB4BABA" w14:textId="77777777" w:rsidR="00EB410E" w:rsidRDefault="00EB410E" w:rsidP="00EB410E">
      <w:pPr>
        <w:pStyle w:val="Heading1"/>
        <w:numPr>
          <w:ilvl w:val="0"/>
          <w:numId w:val="2"/>
        </w:numPr>
      </w:pPr>
      <w:bookmarkStart w:id="109" w:name="_Toc465993148"/>
      <w:bookmarkStart w:id="110" w:name="_Toc465993084"/>
      <w:bookmarkEnd w:id="109"/>
      <w:bookmarkEnd w:id="110"/>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753DD6A" w14:textId="77777777" w:rsidR="008B443C"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8B443C" w:rsidRPr="00D66D00">
        <w:rPr>
          <w:b/>
          <w:noProof/>
        </w:rPr>
        <w:t>Observation 1.</w:t>
      </w:r>
      <w:r w:rsidR="008B443C">
        <w:rPr>
          <w:rFonts w:asciiTheme="minorHAnsi" w:eastAsiaTheme="minorEastAsia" w:hAnsiTheme="minorHAnsi" w:cstheme="minorBidi"/>
          <w:noProof/>
          <w:sz w:val="22"/>
        </w:rPr>
        <w:tab/>
      </w:r>
      <w:r w:rsidR="008B443C">
        <w:rPr>
          <w:noProof/>
        </w:rPr>
        <w:t>No dependency for support required between Rel-17 INACTIVE eDRX ≤ 10.24 sec and Rel-18 INACTIVE eDRX &gt; 10.24 sec.</w:t>
      </w:r>
    </w:p>
    <w:p w14:paraId="4761FCF4" w14:textId="77777777" w:rsidR="008B443C" w:rsidRDefault="008B443C">
      <w:pPr>
        <w:pStyle w:val="TOC1"/>
        <w:rPr>
          <w:rFonts w:asciiTheme="minorHAnsi" w:eastAsiaTheme="minorEastAsia" w:hAnsiTheme="minorHAnsi" w:cstheme="minorBidi"/>
          <w:noProof/>
          <w:sz w:val="22"/>
        </w:rPr>
      </w:pPr>
      <w:r w:rsidRPr="00D66D00">
        <w:rPr>
          <w:b/>
          <w:noProof/>
        </w:rPr>
        <w:t>Observation 2.</w:t>
      </w:r>
      <w:r>
        <w:rPr>
          <w:rFonts w:asciiTheme="minorHAnsi" w:eastAsiaTheme="minorEastAsia" w:hAnsiTheme="minorHAnsi" w:cstheme="minorBidi"/>
          <w:noProof/>
          <w:sz w:val="22"/>
        </w:rPr>
        <w:tab/>
      </w:r>
      <w:r>
        <w:rPr>
          <w:noProof/>
        </w:rPr>
        <w:t>After further progress on how paging mechanism is updated to support INACTIVE eDRX above 10.24 sec, RAN2 would need to discuss which i_s is used.</w:t>
      </w:r>
    </w:p>
    <w:p w14:paraId="5239C8EE" w14:textId="40025238"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764E15C" w14:textId="04264F2E" w:rsidR="00FB64B7" w:rsidRDefault="00FB64B7" w:rsidP="00EB410E">
      <w:pPr>
        <w:spacing w:before="240" w:after="120"/>
        <w:jc w:val="both"/>
        <w:rPr>
          <w:lang w:val="en-GB" w:eastAsia="zh-CN"/>
        </w:rPr>
      </w:pPr>
      <w:r w:rsidRPr="00FB64B7">
        <w:rPr>
          <w:b/>
          <w:bCs/>
          <w:u w:val="single"/>
        </w:rPr>
        <w:t>UE capabilities for eDRX &gt; 10.24sec in RRC_INACTIVE</w:t>
      </w:r>
    </w:p>
    <w:p w14:paraId="16E6894A" w14:textId="77777777" w:rsidR="008B443C" w:rsidRDefault="00EB410E">
      <w:pPr>
        <w:pStyle w:val="TOC1"/>
        <w:rPr>
          <w:noProof/>
        </w:rPr>
      </w:pPr>
      <w:r>
        <w:rPr>
          <w:lang w:eastAsia="zh-CN"/>
        </w:rPr>
        <w:fldChar w:fldCharType="begin"/>
      </w:r>
      <w:r>
        <w:rPr>
          <w:lang w:eastAsia="zh-CN"/>
        </w:rPr>
        <w:instrText xml:space="preserve"> TOC \n \t "Proposal,1" </w:instrText>
      </w:r>
      <w:r>
        <w:rPr>
          <w:lang w:eastAsia="zh-CN"/>
        </w:rPr>
        <w:fldChar w:fldCharType="separate"/>
      </w:r>
      <w:r w:rsidR="008B443C" w:rsidRPr="00C82B69">
        <w:rPr>
          <w:b/>
          <w:noProof/>
        </w:rPr>
        <w:t>Proposal 1.</w:t>
      </w:r>
      <w:r w:rsidR="008B443C">
        <w:rPr>
          <w:rFonts w:asciiTheme="minorHAnsi" w:eastAsiaTheme="minorEastAsia" w:hAnsiTheme="minorHAnsi" w:cstheme="minorBidi"/>
          <w:noProof/>
          <w:sz w:val="22"/>
        </w:rPr>
        <w:tab/>
      </w:r>
      <w:r w:rsidR="008B443C">
        <w:rPr>
          <w:noProof/>
        </w:rPr>
        <w:t>A new optional capability with signaling and per UE is defined for Rel-18 UEs in RRC_INACTIVE configured with eDRX &gt; 10.24sec. A Rel-18 UE may indicate support for extended DRX in RRC_INACTIVE &gt; 10.24sec only if it supports extended DRX in RRC_IDLE.</w:t>
      </w:r>
    </w:p>
    <w:p w14:paraId="14AE7FA1" w14:textId="05630EA5" w:rsidR="00FB64B7" w:rsidRPr="00FB64B7" w:rsidRDefault="00FB64B7" w:rsidP="00FB64B7">
      <w:r w:rsidRPr="00FB64B7">
        <w:rPr>
          <w:b/>
          <w:bCs/>
          <w:u w:val="single"/>
        </w:rPr>
        <w:t>Configuration of eDRX &gt; 10.24sec in RRC_INACTIVE</w:t>
      </w:r>
    </w:p>
    <w:p w14:paraId="252D9F05" w14:textId="77777777" w:rsidR="008B443C" w:rsidRDefault="008B443C">
      <w:pPr>
        <w:pStyle w:val="TOC1"/>
        <w:rPr>
          <w:rFonts w:asciiTheme="minorHAnsi" w:eastAsiaTheme="minorEastAsia" w:hAnsiTheme="minorHAnsi" w:cstheme="minorBidi"/>
          <w:noProof/>
          <w:sz w:val="22"/>
        </w:rPr>
      </w:pPr>
      <w:r w:rsidRPr="00C82B69">
        <w:rPr>
          <w:b/>
          <w:noProof/>
        </w:rPr>
        <w:t>Proposal 2.</w:t>
      </w:r>
      <w:r>
        <w:rPr>
          <w:rFonts w:asciiTheme="minorHAnsi" w:eastAsiaTheme="minorEastAsia" w:hAnsiTheme="minorHAnsi" w:cstheme="minorBidi"/>
          <w:noProof/>
          <w:sz w:val="22"/>
        </w:rPr>
        <w:tab/>
      </w:r>
      <w:r>
        <w:rPr>
          <w:noProof/>
        </w:rPr>
        <w:t>For Rel-18 UEs in RRC_INACTIVE configured with eDRX &gt; 10.24sec, Rel-17 eDRX agreements of the invalid cases are also applicable for Rel-18 INACTIVE eDRX &gt; 10.24 sec, i.e.:</w:t>
      </w:r>
    </w:p>
    <w:p w14:paraId="623A5310" w14:textId="77777777" w:rsidR="008B443C" w:rsidRDefault="008B443C">
      <w:pPr>
        <w:pStyle w:val="TOC1"/>
        <w:rPr>
          <w:rFonts w:asciiTheme="minorHAnsi" w:eastAsiaTheme="minorEastAsia" w:hAnsiTheme="minorHAnsi" w:cstheme="minorBidi"/>
          <w:noProof/>
          <w:sz w:val="22"/>
        </w:rPr>
      </w:pPr>
      <w:r w:rsidRPr="00C82B69">
        <w:rPr>
          <w:b/>
          <w:noProof/>
        </w:rPr>
        <w:t>Proposal 2.1.</w:t>
      </w:r>
      <w:r>
        <w:rPr>
          <w:rFonts w:asciiTheme="minorHAnsi" w:eastAsiaTheme="minorEastAsia" w:hAnsiTheme="minorHAnsi" w:cstheme="minorBidi"/>
          <w:noProof/>
          <w:sz w:val="22"/>
        </w:rPr>
        <w:tab/>
      </w:r>
      <w:r>
        <w:rPr>
          <w:noProof/>
        </w:rPr>
        <w:t>“</w:t>
      </w:r>
      <w:r w:rsidRPr="00C82B69">
        <w:rPr>
          <w:i/>
          <w:iCs/>
          <w:noProof/>
        </w:rPr>
        <w:t>RAN2 considers the configuration as an invalid case, where INACTIVE eDRX cycle is configured but IDLE eDRX cycle is not configured</w:t>
      </w:r>
      <w:r>
        <w:rPr>
          <w:noProof/>
        </w:rPr>
        <w:t>”.</w:t>
      </w:r>
    </w:p>
    <w:p w14:paraId="72917B41" w14:textId="77777777" w:rsidR="008B443C" w:rsidRDefault="008B443C">
      <w:pPr>
        <w:pStyle w:val="TOC1"/>
        <w:rPr>
          <w:rFonts w:asciiTheme="minorHAnsi" w:eastAsiaTheme="minorEastAsia" w:hAnsiTheme="minorHAnsi" w:cstheme="minorBidi"/>
          <w:noProof/>
          <w:sz w:val="22"/>
        </w:rPr>
      </w:pPr>
      <w:r w:rsidRPr="00C82B69">
        <w:rPr>
          <w:b/>
          <w:noProof/>
        </w:rPr>
        <w:t>Proposal 2.2.</w:t>
      </w:r>
      <w:r>
        <w:rPr>
          <w:rFonts w:asciiTheme="minorHAnsi" w:eastAsiaTheme="minorEastAsia" w:hAnsiTheme="minorHAnsi" w:cstheme="minorBidi"/>
          <w:noProof/>
          <w:sz w:val="22"/>
        </w:rPr>
        <w:tab/>
      </w:r>
      <w:r>
        <w:rPr>
          <w:noProof/>
        </w:rPr>
        <w:t>“</w:t>
      </w:r>
      <w:r w:rsidRPr="00C82B69">
        <w:rPr>
          <w:i/>
          <w:iCs/>
          <w:noProof/>
        </w:rPr>
        <w:t>RAN2 considers the configuration as invalid case when INACTIVE eDRX cycle is longer than IDLE eDRX cycle</w:t>
      </w:r>
      <w:r>
        <w:rPr>
          <w:noProof/>
        </w:rPr>
        <w:t>”.</w:t>
      </w:r>
    </w:p>
    <w:p w14:paraId="523262C6" w14:textId="77777777" w:rsidR="008B443C" w:rsidRDefault="008B443C">
      <w:pPr>
        <w:pStyle w:val="TOC1"/>
        <w:rPr>
          <w:rFonts w:asciiTheme="minorHAnsi" w:eastAsiaTheme="minorEastAsia" w:hAnsiTheme="minorHAnsi" w:cstheme="minorBidi"/>
          <w:noProof/>
          <w:sz w:val="22"/>
        </w:rPr>
      </w:pPr>
      <w:r w:rsidRPr="00C82B69">
        <w:rPr>
          <w:b/>
          <w:noProof/>
        </w:rPr>
        <w:t>Proposal 3.</w:t>
      </w:r>
      <w:r>
        <w:rPr>
          <w:rFonts w:asciiTheme="minorHAnsi" w:eastAsiaTheme="minorEastAsia" w:hAnsiTheme="minorHAnsi" w:cstheme="minorBidi"/>
          <w:noProof/>
          <w:sz w:val="22"/>
        </w:rPr>
        <w:tab/>
      </w:r>
      <w:r>
        <w:rPr>
          <w:noProof/>
        </w:rPr>
        <w:t>UE can be configured at the same time with Rel-17 INACTIVE eDRX ≤ 10.24 sec and Rel-18 INACTIVE eDRX &gt; 10.24 sec. If so, UE always uses the longest configured eDRX configured and allowed by the network.</w:t>
      </w:r>
    </w:p>
    <w:p w14:paraId="72043100" w14:textId="77777777" w:rsidR="008B443C" w:rsidRDefault="008B443C">
      <w:pPr>
        <w:pStyle w:val="TOC1"/>
        <w:rPr>
          <w:rFonts w:asciiTheme="minorHAnsi" w:eastAsiaTheme="minorEastAsia" w:hAnsiTheme="minorHAnsi" w:cstheme="minorBidi"/>
          <w:noProof/>
          <w:sz w:val="22"/>
        </w:rPr>
      </w:pPr>
      <w:r w:rsidRPr="00C82B69">
        <w:rPr>
          <w:b/>
          <w:noProof/>
        </w:rPr>
        <w:t>Proposal 3.1.</w:t>
      </w:r>
      <w:r>
        <w:rPr>
          <w:rFonts w:asciiTheme="minorHAnsi" w:eastAsiaTheme="minorEastAsia" w:hAnsiTheme="minorHAnsi" w:cstheme="minorBidi"/>
          <w:noProof/>
          <w:sz w:val="22"/>
        </w:rPr>
        <w:tab/>
      </w:r>
      <w:r>
        <w:rPr>
          <w:noProof/>
        </w:rPr>
        <w:t>For further clarification, Proposal 3 means:</w:t>
      </w:r>
    </w:p>
    <w:p w14:paraId="25D8BC7F" w14:textId="77777777" w:rsidR="008B443C" w:rsidRDefault="008B443C">
      <w:pPr>
        <w:pStyle w:val="TOC1"/>
        <w:rPr>
          <w:rFonts w:asciiTheme="minorHAnsi" w:eastAsiaTheme="minorEastAsia" w:hAnsiTheme="minorHAnsi" w:cstheme="minorBidi"/>
          <w:noProof/>
          <w:sz w:val="22"/>
        </w:rPr>
      </w:pPr>
      <w:r w:rsidRPr="00C82B69">
        <w:rPr>
          <w:b/>
          <w:noProof/>
        </w:rPr>
        <w:lastRenderedPageBreak/>
        <w:t>Proposal 3.1.1.</w:t>
      </w:r>
      <w:r>
        <w:rPr>
          <w:rFonts w:asciiTheme="minorHAnsi" w:eastAsiaTheme="minorEastAsia" w:hAnsiTheme="minorHAnsi" w:cstheme="minorBidi"/>
          <w:noProof/>
          <w:sz w:val="22"/>
        </w:rPr>
        <w:tab/>
      </w:r>
      <w:r>
        <w:rPr>
          <w:noProof/>
        </w:rPr>
        <w:t>When UE is configured Rel-18 INACTIVE eDRX &gt; 10.24 sec and cell allows its usage, UE uses it (i.e. UE does not use Rel-17 INACTIVE eDRX ≤ 10.24 sec even if it is configured and allowed in the cell) – scenarios (A) &amp; (B).</w:t>
      </w:r>
    </w:p>
    <w:p w14:paraId="06C41268" w14:textId="77777777" w:rsidR="008B443C" w:rsidRDefault="008B443C">
      <w:pPr>
        <w:pStyle w:val="TOC1"/>
        <w:rPr>
          <w:rFonts w:asciiTheme="minorHAnsi" w:eastAsiaTheme="minorEastAsia" w:hAnsiTheme="minorHAnsi" w:cstheme="minorBidi"/>
          <w:noProof/>
          <w:sz w:val="22"/>
        </w:rPr>
      </w:pPr>
      <w:r w:rsidRPr="00C82B69">
        <w:rPr>
          <w:b/>
          <w:noProof/>
        </w:rPr>
        <w:t>Proposal 3.1.2.</w:t>
      </w:r>
      <w:r>
        <w:rPr>
          <w:rFonts w:asciiTheme="minorHAnsi" w:eastAsiaTheme="minorEastAsia" w:hAnsiTheme="minorHAnsi" w:cstheme="minorBidi"/>
          <w:noProof/>
          <w:sz w:val="22"/>
        </w:rPr>
        <w:tab/>
      </w:r>
      <w:r>
        <w:rPr>
          <w:noProof/>
        </w:rPr>
        <w:t>When UE is configured Rel-18 INACTIVE eDRX &gt; 10.24 sec and cell does not allow its usage, UE uses use Rel-17 INACTIVE eDRX ≤ 10.24 sec if it was configured and is allowed by the network – scenario (C).</w:t>
      </w:r>
    </w:p>
    <w:p w14:paraId="2B02D116" w14:textId="77777777" w:rsidR="008B443C" w:rsidRDefault="008B443C">
      <w:pPr>
        <w:pStyle w:val="TOC1"/>
        <w:rPr>
          <w:noProof/>
        </w:rPr>
      </w:pPr>
      <w:r w:rsidRPr="00C82B69">
        <w:rPr>
          <w:b/>
          <w:noProof/>
        </w:rPr>
        <w:t>Proposal 3.2.</w:t>
      </w:r>
      <w:r>
        <w:rPr>
          <w:rFonts w:asciiTheme="minorHAnsi" w:eastAsiaTheme="minorEastAsia" w:hAnsiTheme="minorHAnsi" w:cstheme="minorBidi"/>
          <w:noProof/>
          <w:sz w:val="22"/>
        </w:rPr>
        <w:tab/>
      </w:r>
      <w:r>
        <w:rPr>
          <w:noProof/>
        </w:rPr>
        <w:t>To update what means “UE operates in eDRX” in TS 38.304 considering Rel-18 INACTIVE eDRX 10.24 sec agreed behaviour (e.g. as shown in above TP)</w:t>
      </w:r>
    </w:p>
    <w:p w14:paraId="71230F8F" w14:textId="6918E499" w:rsidR="00FB64B7" w:rsidRPr="00FB64B7" w:rsidRDefault="00FB64B7" w:rsidP="00FB64B7">
      <w:r w:rsidRPr="00FB64B7">
        <w:rPr>
          <w:b/>
          <w:bCs/>
          <w:u w:val="single"/>
        </w:rPr>
        <w:t>Paging for UE in RRC_INACTIVE with eDRX &gt; 10.24sec</w:t>
      </w:r>
    </w:p>
    <w:p w14:paraId="261C0067" w14:textId="77777777" w:rsidR="008B443C" w:rsidRDefault="008B443C">
      <w:pPr>
        <w:pStyle w:val="TOC1"/>
        <w:rPr>
          <w:rFonts w:asciiTheme="minorHAnsi" w:eastAsiaTheme="minorEastAsia" w:hAnsiTheme="minorHAnsi" w:cstheme="minorBidi"/>
          <w:noProof/>
          <w:sz w:val="22"/>
        </w:rPr>
      </w:pPr>
      <w:r w:rsidRPr="00C82B69">
        <w:rPr>
          <w:b/>
          <w:noProof/>
        </w:rPr>
        <w:t>Proposal 4.</w:t>
      </w:r>
      <w:r>
        <w:rPr>
          <w:rFonts w:asciiTheme="minorHAnsi" w:eastAsiaTheme="minorEastAsia" w:hAnsiTheme="minorHAnsi" w:cstheme="minorBidi"/>
          <w:noProof/>
          <w:sz w:val="22"/>
        </w:rPr>
        <w:tab/>
      </w:r>
      <w:r w:rsidRPr="00C82B69">
        <w:rPr>
          <w:rFonts w:eastAsia="MS Mincho"/>
          <w:noProof/>
          <w:lang w:eastAsia="ko-KR"/>
        </w:rPr>
        <w:t xml:space="preserve">If </w:t>
      </w:r>
      <w:r>
        <w:rPr>
          <w:noProof/>
        </w:rPr>
        <w:t>T</w:t>
      </w:r>
      <w:r w:rsidRPr="00C82B69">
        <w:rPr>
          <w:noProof/>
          <w:vertAlign w:val="subscript"/>
        </w:rPr>
        <w:t>eDRX, CN</w:t>
      </w:r>
      <w:r w:rsidRPr="00C82B69">
        <w:rPr>
          <w:rFonts w:eastAsia="MS Mincho"/>
          <w:noProof/>
          <w:lang w:eastAsia="ko-KR"/>
        </w:rPr>
        <w:t xml:space="preserve"> </w:t>
      </w:r>
      <w:r>
        <w:rPr>
          <w:noProof/>
        </w:rPr>
        <w:t>&gt; 10.24 s and T</w:t>
      </w:r>
      <w:r w:rsidRPr="00C82B69">
        <w:rPr>
          <w:noProof/>
          <w:vertAlign w:val="subscript"/>
        </w:rPr>
        <w:t>eDRX, RAN</w:t>
      </w:r>
      <w:r w:rsidRPr="00C82B69">
        <w:rPr>
          <w:rFonts w:eastAsia="MS Mincho"/>
          <w:noProof/>
          <w:lang w:eastAsia="ko-KR"/>
        </w:rPr>
        <w:t xml:space="preserve"> </w:t>
      </w:r>
      <w:r>
        <w:rPr>
          <w:noProof/>
        </w:rPr>
        <w:t>&gt; 10.24 s, UE paging monitoring behaviour is as follow:</w:t>
      </w:r>
    </w:p>
    <w:p w14:paraId="1B4826DE" w14:textId="77777777" w:rsidR="008B443C" w:rsidRDefault="008B443C">
      <w:pPr>
        <w:pStyle w:val="TOC1"/>
        <w:rPr>
          <w:rFonts w:asciiTheme="minorHAnsi" w:eastAsiaTheme="minorEastAsia" w:hAnsiTheme="minorHAnsi" w:cstheme="minorBidi"/>
          <w:noProof/>
          <w:sz w:val="22"/>
        </w:rPr>
      </w:pPr>
      <w:r w:rsidRPr="00C82B69">
        <w:rPr>
          <w:b/>
          <w:noProof/>
        </w:rPr>
        <w:t>Proposal 4.1.</w:t>
      </w:r>
      <w:r>
        <w:rPr>
          <w:rFonts w:asciiTheme="minorHAnsi" w:eastAsiaTheme="minorEastAsia" w:hAnsiTheme="minorHAnsi" w:cstheme="minorBidi"/>
          <w:noProof/>
          <w:sz w:val="22"/>
        </w:rPr>
        <w:tab/>
      </w:r>
      <w:r>
        <w:rPr>
          <w:noProof/>
        </w:rPr>
        <w:t>During CN configured PTW, T is determined by T is determined by the shortest of the UE specific DRX value (s), if configured by RRC and/or upper layers, and a default DRX value broadcast in system information. [Note this behaviour applies independent of RAN configured PTW i.e. inside or outside RAN configured PTW]</w:t>
      </w:r>
    </w:p>
    <w:p w14:paraId="3A07D602" w14:textId="77777777" w:rsidR="008B443C" w:rsidRDefault="008B443C">
      <w:pPr>
        <w:pStyle w:val="TOC1"/>
        <w:rPr>
          <w:rFonts w:asciiTheme="minorHAnsi" w:eastAsiaTheme="minorEastAsia" w:hAnsiTheme="minorHAnsi" w:cstheme="minorBidi"/>
          <w:noProof/>
          <w:sz w:val="22"/>
        </w:rPr>
      </w:pPr>
      <w:r w:rsidRPr="00C82B69">
        <w:rPr>
          <w:b/>
          <w:noProof/>
        </w:rPr>
        <w:t>Proposal 4.2.</w:t>
      </w:r>
      <w:r>
        <w:rPr>
          <w:rFonts w:asciiTheme="minorHAnsi" w:eastAsiaTheme="minorEastAsia" w:hAnsiTheme="minorHAnsi" w:cstheme="minorBidi"/>
          <w:noProof/>
          <w:sz w:val="22"/>
        </w:rPr>
        <w:tab/>
      </w:r>
      <w:r>
        <w:rPr>
          <w:noProof/>
        </w:rPr>
        <w:t>During RAN configured PTW while outside the CN configured PTW, T is determined by UE specific DRX value configured by RRC.</w:t>
      </w:r>
    </w:p>
    <w:p w14:paraId="59A9EFE1" w14:textId="77777777" w:rsidR="008B443C" w:rsidRDefault="008B443C">
      <w:pPr>
        <w:pStyle w:val="TOC1"/>
        <w:rPr>
          <w:rFonts w:asciiTheme="minorHAnsi" w:eastAsiaTheme="minorEastAsia" w:hAnsiTheme="minorHAnsi" w:cstheme="minorBidi"/>
          <w:noProof/>
          <w:sz w:val="22"/>
        </w:rPr>
      </w:pPr>
      <w:r w:rsidRPr="00C82B69">
        <w:rPr>
          <w:b/>
          <w:noProof/>
        </w:rPr>
        <w:t>Proposal 4.3.</w:t>
      </w:r>
      <w:r>
        <w:rPr>
          <w:rFonts w:asciiTheme="minorHAnsi" w:eastAsiaTheme="minorEastAsia" w:hAnsiTheme="minorHAnsi" w:cstheme="minorBidi"/>
          <w:noProof/>
          <w:sz w:val="22"/>
        </w:rPr>
        <w:tab/>
      </w:r>
      <w:r>
        <w:rPr>
          <w:noProof/>
        </w:rPr>
        <w:t>Outside RAN configured PTW and CN configured PTW, UE is not required to monitor paging.</w:t>
      </w:r>
    </w:p>
    <w:p w14:paraId="67646CD1" w14:textId="77777777" w:rsidR="008B443C" w:rsidRDefault="008B443C">
      <w:pPr>
        <w:pStyle w:val="TOC1"/>
        <w:rPr>
          <w:noProof/>
          <w:vertAlign w:val="subscript"/>
        </w:rPr>
      </w:pPr>
      <w:r w:rsidRPr="00C82B69">
        <w:rPr>
          <w:b/>
          <w:noProof/>
        </w:rPr>
        <w:t>Proposal 5.</w:t>
      </w:r>
      <w:r>
        <w:rPr>
          <w:rFonts w:asciiTheme="minorHAnsi" w:eastAsiaTheme="minorEastAsia" w:hAnsiTheme="minorHAnsi" w:cstheme="minorBidi"/>
          <w:noProof/>
          <w:sz w:val="22"/>
        </w:rPr>
        <w:tab/>
      </w:r>
      <w:r>
        <w:rPr>
          <w:noProof/>
        </w:rPr>
        <w:t>For Rel-18 INACTIVE eDRX &gt; 10.24 sec, PH and PWT_start are determined using T</w:t>
      </w:r>
      <w:r w:rsidRPr="00C82B69">
        <w:rPr>
          <w:noProof/>
          <w:vertAlign w:val="subscript"/>
        </w:rPr>
        <w:t>eDRX_CN</w:t>
      </w:r>
      <w:r>
        <w:rPr>
          <w:noProof/>
        </w:rPr>
        <w:t>. If this is not acceptable, to consider PH is determined using T</w:t>
      </w:r>
      <w:r w:rsidRPr="00C82B69">
        <w:rPr>
          <w:noProof/>
          <w:vertAlign w:val="subscript"/>
        </w:rPr>
        <w:t>eDRX_CN</w:t>
      </w:r>
      <w:r>
        <w:rPr>
          <w:noProof/>
        </w:rPr>
        <w:t xml:space="preserve"> and PWT_start using T</w:t>
      </w:r>
      <w:r w:rsidRPr="00C82B69">
        <w:rPr>
          <w:noProof/>
          <w:vertAlign w:val="subscript"/>
        </w:rPr>
        <w:t>eDRX_RAN</w:t>
      </w:r>
    </w:p>
    <w:p w14:paraId="2EFDF553" w14:textId="5FB92B25" w:rsidR="00FB64B7" w:rsidRPr="00FB64B7" w:rsidRDefault="00FB64B7" w:rsidP="00FB64B7">
      <w:r w:rsidRPr="00FB64B7">
        <w:rPr>
          <w:b/>
          <w:bCs/>
          <w:u w:val="single"/>
        </w:rPr>
        <w:t>SI notification for a UE in RRC_INACTIVE with eDRX &gt; 10.24sec</w:t>
      </w:r>
    </w:p>
    <w:p w14:paraId="12AF8537" w14:textId="77777777" w:rsidR="008B443C" w:rsidRDefault="008B443C">
      <w:pPr>
        <w:pStyle w:val="TOC1"/>
        <w:rPr>
          <w:rFonts w:asciiTheme="minorHAnsi" w:eastAsiaTheme="minorEastAsia" w:hAnsiTheme="minorHAnsi" w:cstheme="minorBidi"/>
          <w:noProof/>
          <w:sz w:val="22"/>
        </w:rPr>
      </w:pPr>
      <w:r w:rsidRPr="00C82B69">
        <w:rPr>
          <w:b/>
          <w:noProof/>
        </w:rPr>
        <w:t>Proposal 6.</w:t>
      </w:r>
      <w:r>
        <w:rPr>
          <w:rFonts w:asciiTheme="minorHAnsi" w:eastAsiaTheme="minorEastAsia" w:hAnsiTheme="minorHAnsi" w:cstheme="minorBidi"/>
          <w:noProof/>
          <w:sz w:val="22"/>
        </w:rPr>
        <w:tab/>
      </w:r>
      <w:r>
        <w:rPr>
          <w:noProof/>
        </w:rPr>
        <w:t xml:space="preserve">Legacy </w:t>
      </w:r>
      <w:r w:rsidRPr="00C82B69">
        <w:rPr>
          <w:i/>
          <w:iCs/>
          <w:noProof/>
        </w:rPr>
        <w:t xml:space="preserve">systemInfoModification-eDRX </w:t>
      </w:r>
      <w:r>
        <w:rPr>
          <w:noProof/>
        </w:rPr>
        <w:t>indication in Short message and eDRX modification period/boundaries are also applicable for Rel-18 UEs in RRC_INACTIVE configured with eDRX &gt; 10.24sec.</w:t>
      </w:r>
    </w:p>
    <w:p w14:paraId="6B3BC7C2" w14:textId="1AFD4D68" w:rsidR="00DC0D33" w:rsidRPr="00C54F51" w:rsidRDefault="00EB410E" w:rsidP="00DC0D33">
      <w:pPr>
        <w:jc w:val="both"/>
        <w:rPr>
          <w:b/>
          <w:bCs/>
          <w:lang w:eastAsia="zh-CN"/>
        </w:rPr>
      </w:pPr>
      <w:r>
        <w:rPr>
          <w:lang w:eastAsia="zh-CN"/>
        </w:rPr>
        <w:fldChar w:fldCharType="end"/>
      </w:r>
      <w:bookmarkEnd w:id="1"/>
    </w:p>
    <w:sectPr w:rsidR="00DC0D33" w:rsidRPr="00C54F51"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altName w:val="Arial"/>
    <w:panose1 w:val="00000000000000000000"/>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969B7"/>
    <w:multiLevelType w:val="hybridMultilevel"/>
    <w:tmpl w:val="E32A4A94"/>
    <w:lvl w:ilvl="0" w:tplc="1E9CB130">
      <w:start w:val="1"/>
      <w:numFmt w:val="decimal"/>
      <w:lvlText w:val="Option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20812"/>
    <w:multiLevelType w:val="hybridMultilevel"/>
    <w:tmpl w:val="90E2BF3E"/>
    <w:lvl w:ilvl="0" w:tplc="1A745B14">
      <w:start w:val="1"/>
      <w:numFmt w:val="decimal"/>
      <w:lvlText w:val="Topic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C966D3"/>
    <w:multiLevelType w:val="hybridMultilevel"/>
    <w:tmpl w:val="720EDF52"/>
    <w:lvl w:ilvl="0" w:tplc="0192A61C">
      <w:start w:val="1"/>
      <w:numFmt w:val="lowerLetter"/>
      <w:lvlText w:val="Option 2.%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2C90C88"/>
    <w:multiLevelType w:val="hybridMultilevel"/>
    <w:tmpl w:val="318E6E28"/>
    <w:lvl w:ilvl="0" w:tplc="FFFFFFFF">
      <w:start w:val="1"/>
      <w:numFmt w:val="bullet"/>
      <w:lvlText w:val=""/>
      <w:lvlJc w:val="left"/>
      <w:pPr>
        <w:tabs>
          <w:tab w:val="num" w:pos="2339"/>
        </w:tabs>
        <w:ind w:left="2339" w:hanging="360"/>
      </w:pPr>
      <w:rPr>
        <w:rFonts w:ascii="Symbol" w:hAnsi="Symbol" w:hint="default"/>
        <w:b/>
        <w:i w:val="0"/>
        <w:color w:val="auto"/>
        <w:sz w:val="22"/>
      </w:rPr>
    </w:lvl>
    <w:lvl w:ilvl="1" w:tplc="F5042FE0">
      <w:numFmt w:val="bullet"/>
      <w:lvlText w:val="-"/>
      <w:lvlJc w:val="left"/>
      <w:pPr>
        <w:ind w:left="2160" w:hanging="360"/>
      </w:pPr>
      <w:rPr>
        <w:rFonts w:ascii="Calibri" w:eastAsiaTheme="minorHAnsi" w:hAnsi="Calibri" w:cs="Calibri" w:hint="default"/>
        <w:i/>
      </w:rPr>
    </w:lvl>
    <w:lvl w:ilvl="2" w:tplc="FFFFFFFF">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423694D"/>
    <w:multiLevelType w:val="hybridMultilevel"/>
    <w:tmpl w:val="FFDEA1A8"/>
    <w:lvl w:ilvl="0" w:tplc="9482ABDE">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D912514"/>
    <w:multiLevelType w:val="hybridMultilevel"/>
    <w:tmpl w:val="0E841AAC"/>
    <w:lvl w:ilvl="0" w:tplc="CCB01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92DED"/>
    <w:multiLevelType w:val="hybridMultilevel"/>
    <w:tmpl w:val="1D7802E6"/>
    <w:lvl w:ilvl="0" w:tplc="F4BED63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C024E1"/>
    <w:multiLevelType w:val="hybridMultilevel"/>
    <w:tmpl w:val="A4B6448C"/>
    <w:lvl w:ilvl="0" w:tplc="A7C82350">
      <w:start w:val="1"/>
      <w:numFmt w:val="decimal"/>
      <w:lvlText w:val="Mode %1)"/>
      <w:lvlJc w:val="left"/>
      <w:pPr>
        <w:ind w:left="720" w:hanging="360"/>
      </w:pPr>
      <w:rPr>
        <w:rFonts w:hint="default"/>
        <w:b/>
        <w:i w:val="0"/>
      </w:rPr>
    </w:lvl>
    <w:lvl w:ilvl="1" w:tplc="B298F620">
      <w:start w:val="1"/>
      <w:numFmt w:val="lowerLetter"/>
      <w:lvlText w:val="%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0649C2"/>
    <w:multiLevelType w:val="hybridMultilevel"/>
    <w:tmpl w:val="D4DEC9B0"/>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787E1B"/>
    <w:multiLevelType w:val="hybridMultilevel"/>
    <w:tmpl w:val="015A5814"/>
    <w:lvl w:ilvl="0" w:tplc="F5042FE0">
      <w:numFmt w:val="bullet"/>
      <w:lvlText w:val="-"/>
      <w:lvlJc w:val="left"/>
      <w:pPr>
        <w:ind w:left="720" w:hanging="360"/>
      </w:pPr>
      <w:rPr>
        <w:rFonts w:ascii="Calibri" w:eastAsiaTheme="minorHAnsi" w:hAnsi="Calibri" w:cs="Calibri"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07A3B"/>
    <w:multiLevelType w:val="hybridMultilevel"/>
    <w:tmpl w:val="577EE012"/>
    <w:lvl w:ilvl="0" w:tplc="9482A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65D51"/>
    <w:multiLevelType w:val="hybridMultilevel"/>
    <w:tmpl w:val="4844BF7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384B07"/>
    <w:multiLevelType w:val="hybridMultilevel"/>
    <w:tmpl w:val="5476A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339"/>
        </w:tabs>
        <w:ind w:left="2339" w:hanging="360"/>
      </w:pPr>
      <w:rPr>
        <w:rFonts w:ascii="Symbol" w:hAnsi="Symbol" w:hint="default"/>
        <w:b/>
        <w:i w:val="0"/>
        <w:color w:val="auto"/>
        <w:sz w:val="22"/>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475629"/>
    <w:multiLevelType w:val="hybridMultilevel"/>
    <w:tmpl w:val="30B2AA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B431A50"/>
    <w:multiLevelType w:val="hybridMultilevel"/>
    <w:tmpl w:val="45228688"/>
    <w:lvl w:ilvl="0" w:tplc="909ACB04">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2"/>
  </w:num>
  <w:num w:numId="2" w16cid:durableId="445001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4"/>
  </w:num>
  <w:num w:numId="4" w16cid:durableId="136804226">
    <w:abstractNumId w:val="7"/>
  </w:num>
  <w:num w:numId="5" w16cid:durableId="1886870302">
    <w:abstractNumId w:val="16"/>
  </w:num>
  <w:num w:numId="6" w16cid:durableId="756942600">
    <w:abstractNumId w:val="21"/>
  </w:num>
  <w:num w:numId="7" w16cid:durableId="526020091">
    <w:abstractNumId w:val="0"/>
  </w:num>
  <w:num w:numId="8" w16cid:durableId="1157039508">
    <w:abstractNumId w:val="19"/>
  </w:num>
  <w:num w:numId="9" w16cid:durableId="128516923">
    <w:abstractNumId w:val="2"/>
  </w:num>
  <w:num w:numId="10" w16cid:durableId="1104108046">
    <w:abstractNumId w:val="6"/>
  </w:num>
  <w:num w:numId="11" w16cid:durableId="1148398545">
    <w:abstractNumId w:val="5"/>
  </w:num>
  <w:num w:numId="12" w16cid:durableId="946160576">
    <w:abstractNumId w:val="27"/>
  </w:num>
  <w:num w:numId="13" w16cid:durableId="1523081911">
    <w:abstractNumId w:val="4"/>
  </w:num>
  <w:num w:numId="14" w16cid:durableId="2017342572">
    <w:abstractNumId w:val="20"/>
  </w:num>
  <w:num w:numId="15" w16cid:durableId="2088502402">
    <w:abstractNumId w:val="22"/>
  </w:num>
  <w:num w:numId="16" w16cid:durableId="1729643877">
    <w:abstractNumId w:val="13"/>
  </w:num>
  <w:num w:numId="17" w16cid:durableId="1978144850">
    <w:abstractNumId w:val="15"/>
  </w:num>
  <w:num w:numId="18" w16cid:durableId="1017121131">
    <w:abstractNumId w:val="9"/>
  </w:num>
  <w:num w:numId="19" w16cid:durableId="34164992">
    <w:abstractNumId w:val="18"/>
  </w:num>
  <w:num w:numId="20" w16cid:durableId="1003162654">
    <w:abstractNumId w:val="1"/>
  </w:num>
  <w:num w:numId="21" w16cid:durableId="465506754">
    <w:abstractNumId w:val="25"/>
  </w:num>
  <w:num w:numId="22" w16cid:durableId="491142869">
    <w:abstractNumId w:val="8"/>
  </w:num>
  <w:num w:numId="23" w16cid:durableId="603149872">
    <w:abstractNumId w:val="14"/>
  </w:num>
  <w:num w:numId="24" w16cid:durableId="991638986">
    <w:abstractNumId w:val="17"/>
  </w:num>
  <w:num w:numId="25" w16cid:durableId="1336805819">
    <w:abstractNumId w:val="3"/>
  </w:num>
  <w:num w:numId="26" w16cid:durableId="900290259">
    <w:abstractNumId w:val="11"/>
  </w:num>
  <w:num w:numId="27" w16cid:durableId="666833539">
    <w:abstractNumId w:val="23"/>
  </w:num>
  <w:num w:numId="28" w16cid:durableId="241716531">
    <w:abstractNumId w:val="23"/>
  </w:num>
  <w:num w:numId="29" w16cid:durableId="1327978435">
    <w:abstractNumId w:val="23"/>
  </w:num>
  <w:num w:numId="30" w16cid:durableId="1096898503">
    <w:abstractNumId w:val="23"/>
  </w:num>
  <w:num w:numId="31" w16cid:durableId="42486035">
    <w:abstractNumId w:val="10"/>
  </w:num>
  <w:num w:numId="32" w16cid:durableId="24445847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205"/>
    <w:rsid w:val="00001554"/>
    <w:rsid w:val="000022AD"/>
    <w:rsid w:val="00002302"/>
    <w:rsid w:val="00003F08"/>
    <w:rsid w:val="00004C3B"/>
    <w:rsid w:val="00005578"/>
    <w:rsid w:val="00011624"/>
    <w:rsid w:val="00020182"/>
    <w:rsid w:val="0002435B"/>
    <w:rsid w:val="00027530"/>
    <w:rsid w:val="000301D5"/>
    <w:rsid w:val="0003442D"/>
    <w:rsid w:val="0003708C"/>
    <w:rsid w:val="00041209"/>
    <w:rsid w:val="00042F42"/>
    <w:rsid w:val="000522CF"/>
    <w:rsid w:val="00054827"/>
    <w:rsid w:val="000558ED"/>
    <w:rsid w:val="000571DA"/>
    <w:rsid w:val="00057CF9"/>
    <w:rsid w:val="00057EAD"/>
    <w:rsid w:val="00060116"/>
    <w:rsid w:val="0006126D"/>
    <w:rsid w:val="00061456"/>
    <w:rsid w:val="0006251F"/>
    <w:rsid w:val="00070411"/>
    <w:rsid w:val="00071197"/>
    <w:rsid w:val="000718F2"/>
    <w:rsid w:val="00072CA2"/>
    <w:rsid w:val="00074C6A"/>
    <w:rsid w:val="00074CEB"/>
    <w:rsid w:val="0007643F"/>
    <w:rsid w:val="00081177"/>
    <w:rsid w:val="000849F1"/>
    <w:rsid w:val="000878C3"/>
    <w:rsid w:val="000919B7"/>
    <w:rsid w:val="00094349"/>
    <w:rsid w:val="00094BA9"/>
    <w:rsid w:val="000A490D"/>
    <w:rsid w:val="000A5A08"/>
    <w:rsid w:val="000A7007"/>
    <w:rsid w:val="000B3CDD"/>
    <w:rsid w:val="000B7159"/>
    <w:rsid w:val="000C0CFB"/>
    <w:rsid w:val="000D0813"/>
    <w:rsid w:val="000D3231"/>
    <w:rsid w:val="000D55D5"/>
    <w:rsid w:val="000D7A28"/>
    <w:rsid w:val="000E18D1"/>
    <w:rsid w:val="000E3F4C"/>
    <w:rsid w:val="000E4AD5"/>
    <w:rsid w:val="000E61E4"/>
    <w:rsid w:val="000E6934"/>
    <w:rsid w:val="000F31E6"/>
    <w:rsid w:val="000F3F56"/>
    <w:rsid w:val="001069E2"/>
    <w:rsid w:val="00107D27"/>
    <w:rsid w:val="001203C1"/>
    <w:rsid w:val="00125CE0"/>
    <w:rsid w:val="00127CCF"/>
    <w:rsid w:val="00136C12"/>
    <w:rsid w:val="00146B68"/>
    <w:rsid w:val="00147AAD"/>
    <w:rsid w:val="00147BDA"/>
    <w:rsid w:val="00150F57"/>
    <w:rsid w:val="0015249C"/>
    <w:rsid w:val="0015307E"/>
    <w:rsid w:val="001564E2"/>
    <w:rsid w:val="001565B9"/>
    <w:rsid w:val="00160B4B"/>
    <w:rsid w:val="00163E91"/>
    <w:rsid w:val="001642CF"/>
    <w:rsid w:val="001647CB"/>
    <w:rsid w:val="001669C8"/>
    <w:rsid w:val="001675EA"/>
    <w:rsid w:val="00172BC1"/>
    <w:rsid w:val="00172CAF"/>
    <w:rsid w:val="00173084"/>
    <w:rsid w:val="00175810"/>
    <w:rsid w:val="00181438"/>
    <w:rsid w:val="001A0627"/>
    <w:rsid w:val="001A29DE"/>
    <w:rsid w:val="001A322B"/>
    <w:rsid w:val="001A4784"/>
    <w:rsid w:val="001B2EF9"/>
    <w:rsid w:val="001B7465"/>
    <w:rsid w:val="001C2BC0"/>
    <w:rsid w:val="001C3453"/>
    <w:rsid w:val="001D136B"/>
    <w:rsid w:val="001D472C"/>
    <w:rsid w:val="001D5567"/>
    <w:rsid w:val="001D7705"/>
    <w:rsid w:val="001F1BBB"/>
    <w:rsid w:val="001F4844"/>
    <w:rsid w:val="001F70A0"/>
    <w:rsid w:val="001F7265"/>
    <w:rsid w:val="001F75AC"/>
    <w:rsid w:val="0021027E"/>
    <w:rsid w:val="00221AFA"/>
    <w:rsid w:val="00221CC0"/>
    <w:rsid w:val="00226CDD"/>
    <w:rsid w:val="002346E0"/>
    <w:rsid w:val="00236533"/>
    <w:rsid w:val="00243A40"/>
    <w:rsid w:val="0024785A"/>
    <w:rsid w:val="00250B9A"/>
    <w:rsid w:val="00261914"/>
    <w:rsid w:val="00264877"/>
    <w:rsid w:val="0026556A"/>
    <w:rsid w:val="00267D6A"/>
    <w:rsid w:val="00270725"/>
    <w:rsid w:val="0027570D"/>
    <w:rsid w:val="00275713"/>
    <w:rsid w:val="00276EBC"/>
    <w:rsid w:val="0028009A"/>
    <w:rsid w:val="002810CF"/>
    <w:rsid w:val="00281969"/>
    <w:rsid w:val="002849E5"/>
    <w:rsid w:val="00286811"/>
    <w:rsid w:val="002922D2"/>
    <w:rsid w:val="0029263E"/>
    <w:rsid w:val="00293ED7"/>
    <w:rsid w:val="00294FE8"/>
    <w:rsid w:val="00296B1F"/>
    <w:rsid w:val="002A0BFE"/>
    <w:rsid w:val="002A262E"/>
    <w:rsid w:val="002A70F7"/>
    <w:rsid w:val="002B1389"/>
    <w:rsid w:val="002B2980"/>
    <w:rsid w:val="002B43E1"/>
    <w:rsid w:val="002B55E3"/>
    <w:rsid w:val="002B7FC7"/>
    <w:rsid w:val="002C1877"/>
    <w:rsid w:val="002C1F41"/>
    <w:rsid w:val="002C52B5"/>
    <w:rsid w:val="002D31BD"/>
    <w:rsid w:val="002D453C"/>
    <w:rsid w:val="002E5E52"/>
    <w:rsid w:val="002F1C7B"/>
    <w:rsid w:val="002F4A24"/>
    <w:rsid w:val="0030750C"/>
    <w:rsid w:val="003076BF"/>
    <w:rsid w:val="00311ABB"/>
    <w:rsid w:val="00312762"/>
    <w:rsid w:val="003157D5"/>
    <w:rsid w:val="00327226"/>
    <w:rsid w:val="00330D12"/>
    <w:rsid w:val="00351E74"/>
    <w:rsid w:val="003521B2"/>
    <w:rsid w:val="00361CBE"/>
    <w:rsid w:val="003635ED"/>
    <w:rsid w:val="00373FEA"/>
    <w:rsid w:val="003749F4"/>
    <w:rsid w:val="00375486"/>
    <w:rsid w:val="00375BAF"/>
    <w:rsid w:val="00377800"/>
    <w:rsid w:val="00380792"/>
    <w:rsid w:val="00386524"/>
    <w:rsid w:val="003918D7"/>
    <w:rsid w:val="00393F1E"/>
    <w:rsid w:val="003940B3"/>
    <w:rsid w:val="003959E9"/>
    <w:rsid w:val="00395C2B"/>
    <w:rsid w:val="00395E4E"/>
    <w:rsid w:val="00396A9B"/>
    <w:rsid w:val="003A40AD"/>
    <w:rsid w:val="003A6AE5"/>
    <w:rsid w:val="003A7EA3"/>
    <w:rsid w:val="003B0279"/>
    <w:rsid w:val="003B501E"/>
    <w:rsid w:val="003B7944"/>
    <w:rsid w:val="003C06AD"/>
    <w:rsid w:val="003C3309"/>
    <w:rsid w:val="003C508C"/>
    <w:rsid w:val="003C59B6"/>
    <w:rsid w:val="003C6045"/>
    <w:rsid w:val="003C65E1"/>
    <w:rsid w:val="003D11F0"/>
    <w:rsid w:val="003D3003"/>
    <w:rsid w:val="003D4588"/>
    <w:rsid w:val="003D4FC3"/>
    <w:rsid w:val="003D6E10"/>
    <w:rsid w:val="003D7C38"/>
    <w:rsid w:val="003E4819"/>
    <w:rsid w:val="003E504E"/>
    <w:rsid w:val="003E5BF1"/>
    <w:rsid w:val="003E6441"/>
    <w:rsid w:val="003E751C"/>
    <w:rsid w:val="003F6587"/>
    <w:rsid w:val="003F7D0A"/>
    <w:rsid w:val="00400302"/>
    <w:rsid w:val="004008CD"/>
    <w:rsid w:val="00401A2B"/>
    <w:rsid w:val="00401EC6"/>
    <w:rsid w:val="00405D3A"/>
    <w:rsid w:val="00407E65"/>
    <w:rsid w:val="00410427"/>
    <w:rsid w:val="004119C5"/>
    <w:rsid w:val="00414436"/>
    <w:rsid w:val="0042215A"/>
    <w:rsid w:val="00422951"/>
    <w:rsid w:val="004231B7"/>
    <w:rsid w:val="004235BF"/>
    <w:rsid w:val="00426187"/>
    <w:rsid w:val="004320E2"/>
    <w:rsid w:val="00433319"/>
    <w:rsid w:val="00433797"/>
    <w:rsid w:val="00433FDE"/>
    <w:rsid w:val="00441AF7"/>
    <w:rsid w:val="00443340"/>
    <w:rsid w:val="00445FC0"/>
    <w:rsid w:val="00450858"/>
    <w:rsid w:val="004520F6"/>
    <w:rsid w:val="0045279B"/>
    <w:rsid w:val="004533FB"/>
    <w:rsid w:val="004653C1"/>
    <w:rsid w:val="00465883"/>
    <w:rsid w:val="00466831"/>
    <w:rsid w:val="00483FF5"/>
    <w:rsid w:val="00484A7A"/>
    <w:rsid w:val="00484A87"/>
    <w:rsid w:val="0048516C"/>
    <w:rsid w:val="00491750"/>
    <w:rsid w:val="00495D39"/>
    <w:rsid w:val="004A19CA"/>
    <w:rsid w:val="004A3C77"/>
    <w:rsid w:val="004A4200"/>
    <w:rsid w:val="004B0476"/>
    <w:rsid w:val="004B6D14"/>
    <w:rsid w:val="004C2B4E"/>
    <w:rsid w:val="004C3A0C"/>
    <w:rsid w:val="004C6014"/>
    <w:rsid w:val="004D5DF6"/>
    <w:rsid w:val="004D72C2"/>
    <w:rsid w:val="004D78E8"/>
    <w:rsid w:val="004D7E44"/>
    <w:rsid w:val="004E1BE6"/>
    <w:rsid w:val="004E2643"/>
    <w:rsid w:val="004E2E1E"/>
    <w:rsid w:val="004F046D"/>
    <w:rsid w:val="004F0EF6"/>
    <w:rsid w:val="004F0FC4"/>
    <w:rsid w:val="004F1361"/>
    <w:rsid w:val="004F6190"/>
    <w:rsid w:val="00505744"/>
    <w:rsid w:val="00506F13"/>
    <w:rsid w:val="00507E31"/>
    <w:rsid w:val="00510B6B"/>
    <w:rsid w:val="0051416A"/>
    <w:rsid w:val="005215D0"/>
    <w:rsid w:val="00523186"/>
    <w:rsid w:val="00523D7C"/>
    <w:rsid w:val="00526A7C"/>
    <w:rsid w:val="00526BC1"/>
    <w:rsid w:val="00530597"/>
    <w:rsid w:val="00540144"/>
    <w:rsid w:val="00544F6E"/>
    <w:rsid w:val="005533DF"/>
    <w:rsid w:val="00554097"/>
    <w:rsid w:val="0055636B"/>
    <w:rsid w:val="00561E6C"/>
    <w:rsid w:val="00563A42"/>
    <w:rsid w:val="00567B82"/>
    <w:rsid w:val="00571C00"/>
    <w:rsid w:val="00571C0A"/>
    <w:rsid w:val="00575DDB"/>
    <w:rsid w:val="00576107"/>
    <w:rsid w:val="00576836"/>
    <w:rsid w:val="0057740D"/>
    <w:rsid w:val="005810D9"/>
    <w:rsid w:val="00584929"/>
    <w:rsid w:val="005933DC"/>
    <w:rsid w:val="005A1A2F"/>
    <w:rsid w:val="005A5153"/>
    <w:rsid w:val="005C1370"/>
    <w:rsid w:val="005C1678"/>
    <w:rsid w:val="005C195E"/>
    <w:rsid w:val="005C2C92"/>
    <w:rsid w:val="005D11BF"/>
    <w:rsid w:val="005D1F24"/>
    <w:rsid w:val="005D61B7"/>
    <w:rsid w:val="005E5078"/>
    <w:rsid w:val="005E5E8D"/>
    <w:rsid w:val="005F134D"/>
    <w:rsid w:val="005F247A"/>
    <w:rsid w:val="005F5E41"/>
    <w:rsid w:val="006003A5"/>
    <w:rsid w:val="006003F0"/>
    <w:rsid w:val="00600E72"/>
    <w:rsid w:val="00601151"/>
    <w:rsid w:val="00601394"/>
    <w:rsid w:val="00602B7D"/>
    <w:rsid w:val="00604F4C"/>
    <w:rsid w:val="006076EA"/>
    <w:rsid w:val="00607BB8"/>
    <w:rsid w:val="00611AF7"/>
    <w:rsid w:val="0061378E"/>
    <w:rsid w:val="00615282"/>
    <w:rsid w:val="00632C6E"/>
    <w:rsid w:val="00640597"/>
    <w:rsid w:val="00641B1E"/>
    <w:rsid w:val="00642D1C"/>
    <w:rsid w:val="006442C2"/>
    <w:rsid w:val="006543A2"/>
    <w:rsid w:val="00660B39"/>
    <w:rsid w:val="00664458"/>
    <w:rsid w:val="00667C48"/>
    <w:rsid w:val="00675277"/>
    <w:rsid w:val="00681C69"/>
    <w:rsid w:val="0068262D"/>
    <w:rsid w:val="00683A46"/>
    <w:rsid w:val="00685B79"/>
    <w:rsid w:val="00697641"/>
    <w:rsid w:val="006A1C9E"/>
    <w:rsid w:val="006A35C6"/>
    <w:rsid w:val="006C0C9E"/>
    <w:rsid w:val="006C5A88"/>
    <w:rsid w:val="006C6B54"/>
    <w:rsid w:val="006C6D8B"/>
    <w:rsid w:val="006D1315"/>
    <w:rsid w:val="006D4957"/>
    <w:rsid w:val="006D5A5E"/>
    <w:rsid w:val="006D5E0C"/>
    <w:rsid w:val="006D605A"/>
    <w:rsid w:val="006D7C81"/>
    <w:rsid w:val="006E0D25"/>
    <w:rsid w:val="006E2B7E"/>
    <w:rsid w:val="006E3677"/>
    <w:rsid w:val="006E776B"/>
    <w:rsid w:val="006F15E1"/>
    <w:rsid w:val="006F45D8"/>
    <w:rsid w:val="006F77D2"/>
    <w:rsid w:val="0070045E"/>
    <w:rsid w:val="00702959"/>
    <w:rsid w:val="00704DCE"/>
    <w:rsid w:val="007208BA"/>
    <w:rsid w:val="0072101B"/>
    <w:rsid w:val="00722A44"/>
    <w:rsid w:val="00723F24"/>
    <w:rsid w:val="007342AA"/>
    <w:rsid w:val="00740B2E"/>
    <w:rsid w:val="00741695"/>
    <w:rsid w:val="0074449F"/>
    <w:rsid w:val="0074579E"/>
    <w:rsid w:val="00747CB8"/>
    <w:rsid w:val="00750C9C"/>
    <w:rsid w:val="00756FE1"/>
    <w:rsid w:val="007618D9"/>
    <w:rsid w:val="00763DB3"/>
    <w:rsid w:val="00765093"/>
    <w:rsid w:val="00765864"/>
    <w:rsid w:val="00772B59"/>
    <w:rsid w:val="007760D9"/>
    <w:rsid w:val="00776432"/>
    <w:rsid w:val="00776D76"/>
    <w:rsid w:val="0078428A"/>
    <w:rsid w:val="00785DB4"/>
    <w:rsid w:val="007865F1"/>
    <w:rsid w:val="0078718E"/>
    <w:rsid w:val="0079042E"/>
    <w:rsid w:val="007907C5"/>
    <w:rsid w:val="00790D08"/>
    <w:rsid w:val="00791FA9"/>
    <w:rsid w:val="0079210E"/>
    <w:rsid w:val="0079257C"/>
    <w:rsid w:val="00793661"/>
    <w:rsid w:val="00793F65"/>
    <w:rsid w:val="007A278D"/>
    <w:rsid w:val="007A3E6F"/>
    <w:rsid w:val="007A5EFB"/>
    <w:rsid w:val="007A6FBA"/>
    <w:rsid w:val="007B286B"/>
    <w:rsid w:val="007B2C8D"/>
    <w:rsid w:val="007B502D"/>
    <w:rsid w:val="007C07F1"/>
    <w:rsid w:val="007C6038"/>
    <w:rsid w:val="007C765E"/>
    <w:rsid w:val="007D484E"/>
    <w:rsid w:val="007D4899"/>
    <w:rsid w:val="007D56B0"/>
    <w:rsid w:val="007D5C12"/>
    <w:rsid w:val="007D771D"/>
    <w:rsid w:val="007E0B98"/>
    <w:rsid w:val="007E24C9"/>
    <w:rsid w:val="007E4B6A"/>
    <w:rsid w:val="007E5DE1"/>
    <w:rsid w:val="007F4E67"/>
    <w:rsid w:val="007F5177"/>
    <w:rsid w:val="007F5F43"/>
    <w:rsid w:val="007F7B68"/>
    <w:rsid w:val="007F7CA7"/>
    <w:rsid w:val="007F7D65"/>
    <w:rsid w:val="008005BE"/>
    <w:rsid w:val="0080166F"/>
    <w:rsid w:val="008029C4"/>
    <w:rsid w:val="00802AA1"/>
    <w:rsid w:val="00806BA6"/>
    <w:rsid w:val="0080742E"/>
    <w:rsid w:val="008079D8"/>
    <w:rsid w:val="00811D08"/>
    <w:rsid w:val="00822DBB"/>
    <w:rsid w:val="00822E45"/>
    <w:rsid w:val="0082499E"/>
    <w:rsid w:val="008250FF"/>
    <w:rsid w:val="00827584"/>
    <w:rsid w:val="00831185"/>
    <w:rsid w:val="008359E9"/>
    <w:rsid w:val="008452B5"/>
    <w:rsid w:val="008453FE"/>
    <w:rsid w:val="00852274"/>
    <w:rsid w:val="00852485"/>
    <w:rsid w:val="00852A9F"/>
    <w:rsid w:val="00854A0B"/>
    <w:rsid w:val="0086219C"/>
    <w:rsid w:val="00862E4B"/>
    <w:rsid w:val="00863156"/>
    <w:rsid w:val="008652C8"/>
    <w:rsid w:val="008705D9"/>
    <w:rsid w:val="0087175D"/>
    <w:rsid w:val="0087253C"/>
    <w:rsid w:val="00872AF8"/>
    <w:rsid w:val="0088303C"/>
    <w:rsid w:val="008841C8"/>
    <w:rsid w:val="0088576E"/>
    <w:rsid w:val="0088618C"/>
    <w:rsid w:val="00891FCC"/>
    <w:rsid w:val="008926C1"/>
    <w:rsid w:val="008979BD"/>
    <w:rsid w:val="008B1BF6"/>
    <w:rsid w:val="008B2588"/>
    <w:rsid w:val="008B443C"/>
    <w:rsid w:val="008B4601"/>
    <w:rsid w:val="008B56A6"/>
    <w:rsid w:val="008C04BE"/>
    <w:rsid w:val="008C1D7F"/>
    <w:rsid w:val="008C492B"/>
    <w:rsid w:val="008C59F4"/>
    <w:rsid w:val="008C663D"/>
    <w:rsid w:val="008D0C43"/>
    <w:rsid w:val="008E11D4"/>
    <w:rsid w:val="008E3C55"/>
    <w:rsid w:val="008E3E21"/>
    <w:rsid w:val="008E7225"/>
    <w:rsid w:val="008F1E94"/>
    <w:rsid w:val="008F5049"/>
    <w:rsid w:val="008F60B6"/>
    <w:rsid w:val="009035E2"/>
    <w:rsid w:val="009062BA"/>
    <w:rsid w:val="00907AE0"/>
    <w:rsid w:val="0091312A"/>
    <w:rsid w:val="0091314C"/>
    <w:rsid w:val="009171A2"/>
    <w:rsid w:val="009223FB"/>
    <w:rsid w:val="00930CA4"/>
    <w:rsid w:val="00930E37"/>
    <w:rsid w:val="0093133B"/>
    <w:rsid w:val="00934B0E"/>
    <w:rsid w:val="00944AB1"/>
    <w:rsid w:val="009535C1"/>
    <w:rsid w:val="00961507"/>
    <w:rsid w:val="00962B16"/>
    <w:rsid w:val="00970CD3"/>
    <w:rsid w:val="009755A2"/>
    <w:rsid w:val="00976C18"/>
    <w:rsid w:val="00977236"/>
    <w:rsid w:val="00981EAB"/>
    <w:rsid w:val="00982B53"/>
    <w:rsid w:val="00982CDC"/>
    <w:rsid w:val="00985395"/>
    <w:rsid w:val="0098551B"/>
    <w:rsid w:val="00990389"/>
    <w:rsid w:val="00991873"/>
    <w:rsid w:val="009A2359"/>
    <w:rsid w:val="009A6350"/>
    <w:rsid w:val="009B0EA6"/>
    <w:rsid w:val="009B228A"/>
    <w:rsid w:val="009B2ADA"/>
    <w:rsid w:val="009B2EA5"/>
    <w:rsid w:val="009B5BFC"/>
    <w:rsid w:val="009B6BCD"/>
    <w:rsid w:val="009C520A"/>
    <w:rsid w:val="009C630C"/>
    <w:rsid w:val="009D02A3"/>
    <w:rsid w:val="009D4067"/>
    <w:rsid w:val="009D6BC6"/>
    <w:rsid w:val="009D6EDC"/>
    <w:rsid w:val="009E0C84"/>
    <w:rsid w:val="009E275D"/>
    <w:rsid w:val="009E41ED"/>
    <w:rsid w:val="00A00A20"/>
    <w:rsid w:val="00A013D1"/>
    <w:rsid w:val="00A031F0"/>
    <w:rsid w:val="00A03BAB"/>
    <w:rsid w:val="00A05214"/>
    <w:rsid w:val="00A07106"/>
    <w:rsid w:val="00A1424B"/>
    <w:rsid w:val="00A1464C"/>
    <w:rsid w:val="00A23C1D"/>
    <w:rsid w:val="00A313EE"/>
    <w:rsid w:val="00A32F2D"/>
    <w:rsid w:val="00A34A8B"/>
    <w:rsid w:val="00A36F8E"/>
    <w:rsid w:val="00A3753A"/>
    <w:rsid w:val="00A4565C"/>
    <w:rsid w:val="00A4601A"/>
    <w:rsid w:val="00A51595"/>
    <w:rsid w:val="00A517B5"/>
    <w:rsid w:val="00A564BD"/>
    <w:rsid w:val="00A613B6"/>
    <w:rsid w:val="00A61524"/>
    <w:rsid w:val="00A63187"/>
    <w:rsid w:val="00A63A52"/>
    <w:rsid w:val="00A63AE7"/>
    <w:rsid w:val="00A64F2C"/>
    <w:rsid w:val="00A707AD"/>
    <w:rsid w:val="00A71120"/>
    <w:rsid w:val="00A77E55"/>
    <w:rsid w:val="00A80B48"/>
    <w:rsid w:val="00A81034"/>
    <w:rsid w:val="00A81C42"/>
    <w:rsid w:val="00A82956"/>
    <w:rsid w:val="00A839CE"/>
    <w:rsid w:val="00A85D94"/>
    <w:rsid w:val="00A947E4"/>
    <w:rsid w:val="00A9555E"/>
    <w:rsid w:val="00AA47FA"/>
    <w:rsid w:val="00AA5173"/>
    <w:rsid w:val="00AB24F5"/>
    <w:rsid w:val="00AB50E6"/>
    <w:rsid w:val="00AB5DAD"/>
    <w:rsid w:val="00AB6D6A"/>
    <w:rsid w:val="00AC1DC0"/>
    <w:rsid w:val="00AC5E63"/>
    <w:rsid w:val="00AD0208"/>
    <w:rsid w:val="00AD025B"/>
    <w:rsid w:val="00AD10F2"/>
    <w:rsid w:val="00AD139B"/>
    <w:rsid w:val="00AD3E9E"/>
    <w:rsid w:val="00AD641F"/>
    <w:rsid w:val="00AD7943"/>
    <w:rsid w:val="00AE0E06"/>
    <w:rsid w:val="00AF43C2"/>
    <w:rsid w:val="00AF4A56"/>
    <w:rsid w:val="00B063D4"/>
    <w:rsid w:val="00B06BC1"/>
    <w:rsid w:val="00B070C6"/>
    <w:rsid w:val="00B11713"/>
    <w:rsid w:val="00B1205C"/>
    <w:rsid w:val="00B225ED"/>
    <w:rsid w:val="00B23366"/>
    <w:rsid w:val="00B23C17"/>
    <w:rsid w:val="00B25DC3"/>
    <w:rsid w:val="00B2641D"/>
    <w:rsid w:val="00B26A75"/>
    <w:rsid w:val="00B304C9"/>
    <w:rsid w:val="00B41B06"/>
    <w:rsid w:val="00B421A3"/>
    <w:rsid w:val="00B42617"/>
    <w:rsid w:val="00B445D7"/>
    <w:rsid w:val="00B514B1"/>
    <w:rsid w:val="00B538A4"/>
    <w:rsid w:val="00B5497C"/>
    <w:rsid w:val="00B54C42"/>
    <w:rsid w:val="00B55961"/>
    <w:rsid w:val="00B6340D"/>
    <w:rsid w:val="00B673AD"/>
    <w:rsid w:val="00B70328"/>
    <w:rsid w:val="00B70C27"/>
    <w:rsid w:val="00B804B7"/>
    <w:rsid w:val="00B82D9E"/>
    <w:rsid w:val="00B870F3"/>
    <w:rsid w:val="00B93FFD"/>
    <w:rsid w:val="00B9612D"/>
    <w:rsid w:val="00BA0C73"/>
    <w:rsid w:val="00BA3EA4"/>
    <w:rsid w:val="00BA60D6"/>
    <w:rsid w:val="00BB1CB3"/>
    <w:rsid w:val="00BB3415"/>
    <w:rsid w:val="00BC15AE"/>
    <w:rsid w:val="00BC3D1E"/>
    <w:rsid w:val="00BC4A9F"/>
    <w:rsid w:val="00BD008C"/>
    <w:rsid w:val="00BD0345"/>
    <w:rsid w:val="00BD051F"/>
    <w:rsid w:val="00BE432D"/>
    <w:rsid w:val="00BF2711"/>
    <w:rsid w:val="00BF35DC"/>
    <w:rsid w:val="00BF75D5"/>
    <w:rsid w:val="00C00676"/>
    <w:rsid w:val="00C00DB9"/>
    <w:rsid w:val="00C01242"/>
    <w:rsid w:val="00C04F48"/>
    <w:rsid w:val="00C058D9"/>
    <w:rsid w:val="00C115A5"/>
    <w:rsid w:val="00C116BE"/>
    <w:rsid w:val="00C17437"/>
    <w:rsid w:val="00C20366"/>
    <w:rsid w:val="00C227D8"/>
    <w:rsid w:val="00C254CB"/>
    <w:rsid w:val="00C30084"/>
    <w:rsid w:val="00C31293"/>
    <w:rsid w:val="00C32D40"/>
    <w:rsid w:val="00C428E4"/>
    <w:rsid w:val="00C43501"/>
    <w:rsid w:val="00C4402D"/>
    <w:rsid w:val="00C46FE4"/>
    <w:rsid w:val="00C500E6"/>
    <w:rsid w:val="00C514EF"/>
    <w:rsid w:val="00C523E3"/>
    <w:rsid w:val="00C54F51"/>
    <w:rsid w:val="00C55351"/>
    <w:rsid w:val="00C643E9"/>
    <w:rsid w:val="00C664A8"/>
    <w:rsid w:val="00C67038"/>
    <w:rsid w:val="00C67049"/>
    <w:rsid w:val="00C72CD1"/>
    <w:rsid w:val="00C84F7A"/>
    <w:rsid w:val="00C9239D"/>
    <w:rsid w:val="00C9250F"/>
    <w:rsid w:val="00C93064"/>
    <w:rsid w:val="00C940BE"/>
    <w:rsid w:val="00C958B1"/>
    <w:rsid w:val="00CA184C"/>
    <w:rsid w:val="00CA35CF"/>
    <w:rsid w:val="00CA52A2"/>
    <w:rsid w:val="00CA53B3"/>
    <w:rsid w:val="00CA688B"/>
    <w:rsid w:val="00CB135A"/>
    <w:rsid w:val="00CB1B36"/>
    <w:rsid w:val="00CB2DB5"/>
    <w:rsid w:val="00CB4654"/>
    <w:rsid w:val="00CB6841"/>
    <w:rsid w:val="00CB6904"/>
    <w:rsid w:val="00CC11FC"/>
    <w:rsid w:val="00CC2FD3"/>
    <w:rsid w:val="00CC369B"/>
    <w:rsid w:val="00CC4993"/>
    <w:rsid w:val="00CC7FF7"/>
    <w:rsid w:val="00CD7016"/>
    <w:rsid w:val="00CE161F"/>
    <w:rsid w:val="00CE3CAD"/>
    <w:rsid w:val="00CE5EFE"/>
    <w:rsid w:val="00CF3497"/>
    <w:rsid w:val="00CF534F"/>
    <w:rsid w:val="00CF66DC"/>
    <w:rsid w:val="00CF67F2"/>
    <w:rsid w:val="00D029B9"/>
    <w:rsid w:val="00D02B8C"/>
    <w:rsid w:val="00D02D65"/>
    <w:rsid w:val="00D0589B"/>
    <w:rsid w:val="00D06D4D"/>
    <w:rsid w:val="00D1321C"/>
    <w:rsid w:val="00D15CC5"/>
    <w:rsid w:val="00D16713"/>
    <w:rsid w:val="00D17296"/>
    <w:rsid w:val="00D213EA"/>
    <w:rsid w:val="00D30149"/>
    <w:rsid w:val="00D32B6E"/>
    <w:rsid w:val="00D35413"/>
    <w:rsid w:val="00D41E63"/>
    <w:rsid w:val="00D43126"/>
    <w:rsid w:val="00D4536A"/>
    <w:rsid w:val="00D458A0"/>
    <w:rsid w:val="00D53D58"/>
    <w:rsid w:val="00D56B26"/>
    <w:rsid w:val="00D577D3"/>
    <w:rsid w:val="00D6001D"/>
    <w:rsid w:val="00D62A70"/>
    <w:rsid w:val="00D64E8A"/>
    <w:rsid w:val="00D65617"/>
    <w:rsid w:val="00D764AC"/>
    <w:rsid w:val="00D774A8"/>
    <w:rsid w:val="00D77792"/>
    <w:rsid w:val="00D80599"/>
    <w:rsid w:val="00D86701"/>
    <w:rsid w:val="00D9334C"/>
    <w:rsid w:val="00D95046"/>
    <w:rsid w:val="00DA648E"/>
    <w:rsid w:val="00DA6595"/>
    <w:rsid w:val="00DB25ED"/>
    <w:rsid w:val="00DB614A"/>
    <w:rsid w:val="00DC0D33"/>
    <w:rsid w:val="00DC2586"/>
    <w:rsid w:val="00DC25FB"/>
    <w:rsid w:val="00DC35C8"/>
    <w:rsid w:val="00DD0AAF"/>
    <w:rsid w:val="00DD75C6"/>
    <w:rsid w:val="00DE0E2A"/>
    <w:rsid w:val="00DE2804"/>
    <w:rsid w:val="00DE500C"/>
    <w:rsid w:val="00DE741B"/>
    <w:rsid w:val="00DF41C4"/>
    <w:rsid w:val="00DF6243"/>
    <w:rsid w:val="00DF7889"/>
    <w:rsid w:val="00DF7E0D"/>
    <w:rsid w:val="00E03311"/>
    <w:rsid w:val="00E03762"/>
    <w:rsid w:val="00E03A0D"/>
    <w:rsid w:val="00E05785"/>
    <w:rsid w:val="00E07C56"/>
    <w:rsid w:val="00E14310"/>
    <w:rsid w:val="00E232F1"/>
    <w:rsid w:val="00E26261"/>
    <w:rsid w:val="00E301EF"/>
    <w:rsid w:val="00E304CA"/>
    <w:rsid w:val="00E3260B"/>
    <w:rsid w:val="00E36648"/>
    <w:rsid w:val="00E45996"/>
    <w:rsid w:val="00E469F5"/>
    <w:rsid w:val="00E56421"/>
    <w:rsid w:val="00E6231A"/>
    <w:rsid w:val="00E62B5D"/>
    <w:rsid w:val="00E6369C"/>
    <w:rsid w:val="00E63BD4"/>
    <w:rsid w:val="00E65118"/>
    <w:rsid w:val="00E67755"/>
    <w:rsid w:val="00E70136"/>
    <w:rsid w:val="00E71946"/>
    <w:rsid w:val="00E73197"/>
    <w:rsid w:val="00E83D02"/>
    <w:rsid w:val="00E93545"/>
    <w:rsid w:val="00E953F1"/>
    <w:rsid w:val="00EA0B6A"/>
    <w:rsid w:val="00EA20B1"/>
    <w:rsid w:val="00EA27D6"/>
    <w:rsid w:val="00EA4561"/>
    <w:rsid w:val="00EA706B"/>
    <w:rsid w:val="00EA7BD3"/>
    <w:rsid w:val="00EB410E"/>
    <w:rsid w:val="00EB4DED"/>
    <w:rsid w:val="00EB6E4B"/>
    <w:rsid w:val="00EC126E"/>
    <w:rsid w:val="00EC2339"/>
    <w:rsid w:val="00EC3444"/>
    <w:rsid w:val="00EC4527"/>
    <w:rsid w:val="00EC4E79"/>
    <w:rsid w:val="00EC519E"/>
    <w:rsid w:val="00EC6360"/>
    <w:rsid w:val="00EC7F42"/>
    <w:rsid w:val="00ED03F6"/>
    <w:rsid w:val="00ED084F"/>
    <w:rsid w:val="00ED643F"/>
    <w:rsid w:val="00ED7D99"/>
    <w:rsid w:val="00EE4920"/>
    <w:rsid w:val="00EE4BA3"/>
    <w:rsid w:val="00EE5204"/>
    <w:rsid w:val="00EE659E"/>
    <w:rsid w:val="00EF1509"/>
    <w:rsid w:val="00EF1798"/>
    <w:rsid w:val="00EF3CB0"/>
    <w:rsid w:val="00F002DF"/>
    <w:rsid w:val="00F00DFF"/>
    <w:rsid w:val="00F03C36"/>
    <w:rsid w:val="00F17EE8"/>
    <w:rsid w:val="00F203EE"/>
    <w:rsid w:val="00F250A4"/>
    <w:rsid w:val="00F30568"/>
    <w:rsid w:val="00F34C7E"/>
    <w:rsid w:val="00F358C4"/>
    <w:rsid w:val="00F54EA5"/>
    <w:rsid w:val="00F67062"/>
    <w:rsid w:val="00F67726"/>
    <w:rsid w:val="00F73A55"/>
    <w:rsid w:val="00F766CA"/>
    <w:rsid w:val="00F77493"/>
    <w:rsid w:val="00F83391"/>
    <w:rsid w:val="00F84281"/>
    <w:rsid w:val="00F84CE5"/>
    <w:rsid w:val="00F867D3"/>
    <w:rsid w:val="00F90B21"/>
    <w:rsid w:val="00F917A1"/>
    <w:rsid w:val="00F94E58"/>
    <w:rsid w:val="00F9519A"/>
    <w:rsid w:val="00F97148"/>
    <w:rsid w:val="00F97D8E"/>
    <w:rsid w:val="00FA140F"/>
    <w:rsid w:val="00FA2619"/>
    <w:rsid w:val="00FA41DE"/>
    <w:rsid w:val="00FA7ECF"/>
    <w:rsid w:val="00FB186B"/>
    <w:rsid w:val="00FB31A8"/>
    <w:rsid w:val="00FB5B66"/>
    <w:rsid w:val="00FB63EF"/>
    <w:rsid w:val="00FB64B7"/>
    <w:rsid w:val="00FC274C"/>
    <w:rsid w:val="00FD3B5E"/>
    <w:rsid w:val="00FD50B0"/>
    <w:rsid w:val="00FD7655"/>
    <w:rsid w:val="00FE0EA3"/>
    <w:rsid w:val="00FE1D7F"/>
    <w:rsid w:val="00FE1FAD"/>
    <w:rsid w:val="00FE4D83"/>
    <w:rsid w:val="00FE593F"/>
    <w:rsid w:val="00FE752B"/>
    <w:rsid w:val="00FF03FC"/>
    <w:rsid w:val="00FF12DB"/>
    <w:rsid w:val="00FF40E6"/>
    <w:rsid w:val="019CF360"/>
    <w:rsid w:val="023980FD"/>
    <w:rsid w:val="02E29472"/>
    <w:rsid w:val="074DF140"/>
    <w:rsid w:val="09BF64F2"/>
    <w:rsid w:val="0F9094FF"/>
    <w:rsid w:val="117115D4"/>
    <w:rsid w:val="14C2860E"/>
    <w:rsid w:val="1BB6500C"/>
    <w:rsid w:val="1E717F21"/>
    <w:rsid w:val="2146B707"/>
    <w:rsid w:val="321EA33B"/>
    <w:rsid w:val="32D94687"/>
    <w:rsid w:val="347516E8"/>
    <w:rsid w:val="370AE68A"/>
    <w:rsid w:val="38A6B6EB"/>
    <w:rsid w:val="39A9DBCB"/>
    <w:rsid w:val="3B18C12C"/>
    <w:rsid w:val="3EEBD003"/>
    <w:rsid w:val="4707E1F7"/>
    <w:rsid w:val="4C1D22DB"/>
    <w:rsid w:val="5061AEED"/>
    <w:rsid w:val="515FCCE9"/>
    <w:rsid w:val="51958C4C"/>
    <w:rsid w:val="5A3641D8"/>
    <w:rsid w:val="5BB8BCC5"/>
    <w:rsid w:val="5C44F955"/>
    <w:rsid w:val="6313D736"/>
    <w:rsid w:val="66A063D8"/>
    <w:rsid w:val="672495FA"/>
    <w:rsid w:val="6C2D2CF2"/>
    <w:rsid w:val="7295EF2C"/>
    <w:rsid w:val="730FC5FA"/>
    <w:rsid w:val="772A1ED0"/>
    <w:rsid w:val="79203812"/>
    <w:rsid w:val="7AA5BD33"/>
    <w:rsid w:val="7B2C023D"/>
    <w:rsid w:val="7BE7F4F2"/>
    <w:rsid w:val="7D059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011D9155-68EC-410D-B8C8-EB553232C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22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77E55"/>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
    <w:basedOn w:val="Normal"/>
    <w:link w:val="ListParagraphChar"/>
    <w:uiPriority w:val="34"/>
    <w:qFormat/>
    <w:rsid w:val="00E67755"/>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6442C2"/>
    <w:rPr>
      <w:rFonts w:ascii="Times New Roman" w:eastAsia="SimSun" w:hAnsi="Times New Roman"/>
    </w:rPr>
  </w:style>
  <w:style w:type="character" w:styleId="Hyperlink">
    <w:name w:val="Hyperlink"/>
    <w:basedOn w:val="DefaultParagraphFont"/>
    <w:uiPriority w:val="99"/>
    <w:unhideWhenUsed/>
    <w:rsid w:val="006442C2"/>
    <w:rPr>
      <w:color w:val="0563C1" w:themeColor="hyperlink"/>
      <w:u w:val="single"/>
    </w:rPr>
  </w:style>
  <w:style w:type="character" w:styleId="UnresolvedMention">
    <w:name w:val="Unresolved Mention"/>
    <w:basedOn w:val="DefaultParagraphFont"/>
    <w:uiPriority w:val="99"/>
    <w:unhideWhenUsed/>
    <w:rsid w:val="006442C2"/>
    <w:rPr>
      <w:color w:val="605E5C"/>
      <w:shd w:val="clear" w:color="auto" w:fill="E1DFDD"/>
    </w:rPr>
  </w:style>
  <w:style w:type="character" w:styleId="CommentReference">
    <w:name w:val="annotation reference"/>
    <w:basedOn w:val="DefaultParagraphFont"/>
    <w:uiPriority w:val="99"/>
    <w:semiHidden/>
    <w:unhideWhenUsed/>
    <w:rsid w:val="00D1321C"/>
    <w:rPr>
      <w:sz w:val="16"/>
      <w:szCs w:val="16"/>
    </w:rPr>
  </w:style>
  <w:style w:type="paragraph" w:styleId="CommentText">
    <w:name w:val="annotation text"/>
    <w:basedOn w:val="Normal"/>
    <w:link w:val="CommentTextChar"/>
    <w:uiPriority w:val="99"/>
    <w:unhideWhenUsed/>
    <w:rsid w:val="00D1321C"/>
  </w:style>
  <w:style w:type="character" w:customStyle="1" w:styleId="CommentTextChar">
    <w:name w:val="Comment Text Char"/>
    <w:basedOn w:val="DefaultParagraphFont"/>
    <w:link w:val="CommentText"/>
    <w:uiPriority w:val="99"/>
    <w:rsid w:val="00D1321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D1321C"/>
    <w:rPr>
      <w:b/>
      <w:bCs/>
    </w:rPr>
  </w:style>
  <w:style w:type="character" w:customStyle="1" w:styleId="CommentSubjectChar">
    <w:name w:val="Comment Subject Char"/>
    <w:basedOn w:val="CommentTextChar"/>
    <w:link w:val="CommentSubject"/>
    <w:uiPriority w:val="99"/>
    <w:semiHidden/>
    <w:rsid w:val="00D1321C"/>
    <w:rPr>
      <w:rFonts w:ascii="Times New Roman" w:eastAsia="SimSun" w:hAnsi="Times New Roman"/>
      <w:b/>
      <w:bCs/>
    </w:rPr>
  </w:style>
  <w:style w:type="character" w:styleId="Mention">
    <w:name w:val="Mention"/>
    <w:basedOn w:val="DefaultParagraphFont"/>
    <w:uiPriority w:val="99"/>
    <w:unhideWhenUsed/>
    <w:rsid w:val="00D1321C"/>
    <w:rPr>
      <w:color w:val="2B579A"/>
      <w:shd w:val="clear" w:color="auto" w:fill="E1DFDD"/>
    </w:rPr>
  </w:style>
  <w:style w:type="paragraph" w:styleId="Revision">
    <w:name w:val="Revision"/>
    <w:hidden/>
    <w:uiPriority w:val="99"/>
    <w:semiHidden/>
    <w:rsid w:val="001D472C"/>
    <w:rPr>
      <w:rFonts w:ascii="Times New Roman" w:eastAsia="SimSun" w:hAnsi="Times New Roman"/>
    </w:rPr>
  </w:style>
  <w:style w:type="paragraph" w:customStyle="1" w:styleId="B1">
    <w:name w:val="B1"/>
    <w:basedOn w:val="List"/>
    <w:link w:val="B1Char1"/>
    <w:qFormat/>
    <w:rsid w:val="001A29DE"/>
    <w:pPr>
      <w:ind w:left="568" w:hanging="284"/>
      <w:contextualSpacing w:val="0"/>
      <w:textAlignment w:val="baseline"/>
    </w:pPr>
    <w:rPr>
      <w:rFonts w:eastAsia="Times New Roman"/>
      <w:lang w:val="en-GB" w:eastAsia="ja-JP"/>
    </w:rPr>
  </w:style>
  <w:style w:type="character" w:customStyle="1" w:styleId="B1Char1">
    <w:name w:val="B1 Char1"/>
    <w:link w:val="B1"/>
    <w:qFormat/>
    <w:rsid w:val="001A29DE"/>
    <w:rPr>
      <w:rFonts w:ascii="Times New Roman" w:eastAsia="Times New Roman" w:hAnsi="Times New Roman"/>
      <w:lang w:val="en-GB" w:eastAsia="ja-JP"/>
    </w:rPr>
  </w:style>
  <w:style w:type="paragraph" w:customStyle="1" w:styleId="B2">
    <w:name w:val="B2"/>
    <w:basedOn w:val="List2"/>
    <w:link w:val="B2Char"/>
    <w:qFormat/>
    <w:rsid w:val="001A29DE"/>
    <w:pPr>
      <w:ind w:left="851" w:hanging="284"/>
      <w:contextualSpacing w:val="0"/>
      <w:textAlignment w:val="baseline"/>
    </w:pPr>
    <w:rPr>
      <w:rFonts w:eastAsia="Times New Roman"/>
      <w:lang w:val="en-GB" w:eastAsia="ja-JP"/>
    </w:rPr>
  </w:style>
  <w:style w:type="character" w:customStyle="1" w:styleId="B2Char">
    <w:name w:val="B2 Char"/>
    <w:link w:val="B2"/>
    <w:qFormat/>
    <w:rsid w:val="001A29DE"/>
    <w:rPr>
      <w:rFonts w:ascii="Times New Roman" w:eastAsia="Times New Roman" w:hAnsi="Times New Roman"/>
      <w:lang w:val="en-GB" w:eastAsia="ja-JP"/>
    </w:rPr>
  </w:style>
  <w:style w:type="paragraph" w:styleId="List">
    <w:name w:val="List"/>
    <w:basedOn w:val="Normal"/>
    <w:uiPriority w:val="99"/>
    <w:semiHidden/>
    <w:unhideWhenUsed/>
    <w:rsid w:val="001A29DE"/>
    <w:pPr>
      <w:ind w:left="360" w:hanging="360"/>
      <w:contextualSpacing/>
    </w:pPr>
  </w:style>
  <w:style w:type="paragraph" w:styleId="List2">
    <w:name w:val="List 2"/>
    <w:basedOn w:val="Normal"/>
    <w:uiPriority w:val="99"/>
    <w:semiHidden/>
    <w:unhideWhenUsed/>
    <w:rsid w:val="001A29DE"/>
    <w:pPr>
      <w:ind w:left="720" w:hanging="360"/>
      <w:contextualSpacing/>
    </w:pPr>
  </w:style>
  <w:style w:type="paragraph" w:customStyle="1" w:styleId="Agreement">
    <w:name w:val="Agreement"/>
    <w:basedOn w:val="Normal"/>
    <w:next w:val="Normal"/>
    <w:uiPriority w:val="99"/>
    <w:qFormat/>
    <w:rsid w:val="00962B16"/>
    <w:pPr>
      <w:numPr>
        <w:numId w:val="27"/>
      </w:numPr>
      <w:overflowPunct/>
      <w:autoSpaceDE/>
      <w:autoSpaceDN/>
      <w:adjustRightInd/>
      <w:spacing w:before="60" w:after="0"/>
    </w:pPr>
    <w:rPr>
      <w:rFonts w:ascii="Arial" w:eastAsia="MS Mincho" w:hAnsi="Arial"/>
      <w:b/>
      <w:szCs w:val="24"/>
      <w:lang w:val="en-GB" w:eastAsia="en-GB"/>
    </w:rPr>
  </w:style>
  <w:style w:type="table" w:styleId="TableGrid">
    <w:name w:val="Table Grid"/>
    <w:basedOn w:val="TableNormal"/>
    <w:uiPriority w:val="39"/>
    <w:rsid w:val="00EC12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675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0377">
      <w:bodyDiv w:val="1"/>
      <w:marLeft w:val="0"/>
      <w:marRight w:val="0"/>
      <w:marTop w:val="0"/>
      <w:marBottom w:val="0"/>
      <w:divBdr>
        <w:top w:val="none" w:sz="0" w:space="0" w:color="auto"/>
        <w:left w:val="none" w:sz="0" w:space="0" w:color="auto"/>
        <w:bottom w:val="none" w:sz="0" w:space="0" w:color="auto"/>
        <w:right w:val="none" w:sz="0" w:space="0" w:color="auto"/>
      </w:divBdr>
    </w:div>
    <w:div w:id="223568551">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732779581">
      <w:bodyDiv w:val="1"/>
      <w:marLeft w:val="0"/>
      <w:marRight w:val="0"/>
      <w:marTop w:val="0"/>
      <w:marBottom w:val="0"/>
      <w:divBdr>
        <w:top w:val="none" w:sz="0" w:space="0" w:color="auto"/>
        <w:left w:val="none" w:sz="0" w:space="0" w:color="auto"/>
        <w:bottom w:val="none" w:sz="0" w:space="0" w:color="auto"/>
        <w:right w:val="none" w:sz="0" w:space="0" w:color="auto"/>
      </w:divBdr>
    </w:div>
    <w:div w:id="164280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CAD489-D937-4667-9A63-66C342F304AF}">
  <ds:schemaRefs>
    <ds:schemaRef ds:uri="http://schemas.openxmlformats.org/officeDocument/2006/bibliography"/>
  </ds:schemaRefs>
</ds:datastoreItem>
</file>

<file path=customXml/itemProps2.xml><?xml version="1.0" encoding="utf-8"?>
<ds:datastoreItem xmlns:ds="http://schemas.openxmlformats.org/officeDocument/2006/customXml" ds:itemID="{ED623CC5-C3EF-471D-87A0-FDFC1D7B0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52EBE-25B4-4449-9CD6-394912FF71E5}">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C3C3FF4-3ED0-4DD0-AD41-BED91697D9D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150</TotalTime>
  <Pages>7</Pages>
  <Words>2901</Words>
  <Characters>16541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Yi1 (Intel)</cp:lastModifiedBy>
  <cp:revision>701</cp:revision>
  <dcterms:created xsi:type="dcterms:W3CDTF">2022-08-25T20:42:00Z</dcterms:created>
  <dcterms:modified xsi:type="dcterms:W3CDTF">2023-04-07T06:55:00Z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