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1A" w:rsidRDefault="00BD4D3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 xml:space="preserve">3GPP </w:t>
      </w:r>
      <w:r w:rsidR="00EE74D1">
        <w:rPr>
          <w:rFonts w:eastAsia="宋体"/>
          <w:b/>
          <w:szCs w:val="22"/>
          <w:lang w:val="en-US" w:eastAsia="zh-CN" w:bidi="ar"/>
        </w:rPr>
        <w:t>TSG-RAN WG2 Meeting #121</w:t>
      </w:r>
      <w:r w:rsidR="00EE74D1">
        <w:rPr>
          <w:rFonts w:eastAsia="宋体"/>
          <w:b/>
          <w:szCs w:val="22"/>
          <w:lang w:val="en-US" w:eastAsia="zh-CN" w:bidi="ar"/>
        </w:rPr>
        <w:tab/>
        <w:t>R2-2301712</w:t>
      </w:r>
    </w:p>
    <w:p w:rsidR="0091111A" w:rsidRDefault="00BD4D3D">
      <w:pPr>
        <w:pStyle w:val="af3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 w:rsidR="0091111A" w:rsidRDefault="0091111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91111A" w:rsidRDefault="00BD4D3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91111A" w:rsidRDefault="00BD4D3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Further Consideration on the Intra-band ENDC Capability</w:t>
      </w:r>
    </w:p>
    <w:p w:rsidR="0091111A" w:rsidRDefault="00BD4D3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>6.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</w:t>
      </w:r>
      <w:r>
        <w:rPr>
          <w:rFonts w:ascii="Arial" w:hAnsi="Arial" w:cs="Arial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2</w:t>
      </w:r>
    </w:p>
    <w:p w:rsidR="0091111A" w:rsidRDefault="00BD4D3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91111A" w:rsidRDefault="00BD4D3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91111A" w:rsidRDefault="00BD4D3D">
      <w:r>
        <w:rPr>
          <w:rFonts w:hint="eastAsia"/>
        </w:rPr>
        <w:t xml:space="preserve">In the last meeting, there was a hot discussion on the </w:t>
      </w:r>
      <w:r>
        <w:rPr>
          <w:rFonts w:hint="eastAsia"/>
          <w:lang w:eastAsia="ja-JP"/>
        </w:rPr>
        <w:t>intraBandENDC-Support</w:t>
      </w:r>
      <w:r>
        <w:rPr>
          <w:rFonts w:hint="eastAsia"/>
        </w:rPr>
        <w:t>, and meanwhile a L</w:t>
      </w:r>
      <w:r w:rsidR="00EE74D1">
        <w:t>S</w:t>
      </w:r>
      <w:r>
        <w:rPr>
          <w:rFonts w:hint="eastAsia"/>
        </w:rPr>
        <w:t xml:space="preserve"> was also received from RAN4, in which a candidate solution was provided for the UL-DL inconsistent cases as below:</w:t>
      </w:r>
    </w:p>
    <w:p w:rsidR="0091111A" w:rsidRDefault="00BD4D3D">
      <w:pPr>
        <w:pStyle w:val="afe"/>
        <w:numPr>
          <w:ilvl w:val="0"/>
          <w:numId w:val="5"/>
        </w:numPr>
        <w:spacing w:after="60"/>
        <w:ind w:left="714" w:firstLineChars="0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Case 3: All CCs are contiguous in DL but neither carrier is contiguous to each other in UL, including 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1883"/>
      </w:tblGrid>
      <w:tr w:rsidR="0091111A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840" w:type="pct"/>
          </w:tcPr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</w:tc>
      </w:tr>
      <w:tr w:rsidR="0091111A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DC_(n)48CA</w:t>
            </w:r>
          </w:p>
        </w:tc>
        <w:tc>
          <w:tcPr>
            <w:tcW w:w="2840" w:type="pct"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rFonts w:eastAsia="PMingLiU"/>
                <w:lang w:eastAsia="zh-TW"/>
              </w:rPr>
              <w:t>DC_</w:t>
            </w:r>
            <w:r>
              <w:rPr>
                <w:lang w:eastAsia="zh-CN"/>
              </w:rPr>
              <w:t>48A_n48A</w:t>
            </w:r>
          </w:p>
        </w:tc>
      </w:tr>
      <w:tr w:rsidR="0091111A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DC_(n)48DA</w:t>
            </w:r>
          </w:p>
        </w:tc>
        <w:tc>
          <w:tcPr>
            <w:tcW w:w="2840" w:type="pct"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rFonts w:eastAsia="PMingLiU"/>
                <w:lang w:eastAsia="zh-TW"/>
              </w:rPr>
              <w:t>DC_</w:t>
            </w:r>
            <w:r>
              <w:rPr>
                <w:lang w:eastAsia="zh-CN"/>
              </w:rPr>
              <w:t>48A_n48A</w:t>
            </w:r>
          </w:p>
        </w:tc>
      </w:tr>
    </w:tbl>
    <w:p w:rsidR="0091111A" w:rsidRDefault="00BD4D3D">
      <w:pPr>
        <w:pStyle w:val="afe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60"/>
        <w:ind w:left="567" w:firstLineChars="0" w:hanging="215"/>
        <w:jc w:val="left"/>
        <w:textAlignment w:val="baseline"/>
        <w:rPr>
          <w:rFonts w:ascii="Arial" w:eastAsia="Malgun Gothic" w:hAnsi="Arial" w:cs="Arial"/>
          <w:color w:val="000000"/>
          <w:sz w:val="20"/>
          <w:lang w:eastAsia="ko-KR"/>
        </w:rPr>
      </w:pPr>
      <w:r>
        <w:rPr>
          <w:rFonts w:ascii="Arial" w:eastAsia="Malgun Gothic" w:hAnsi="Arial" w:cs="Arial"/>
          <w:color w:val="000000"/>
          <w:sz w:val="20"/>
          <w:lang w:eastAsia="ko-KR"/>
        </w:rPr>
        <w:t>Case 4: One of LTE carriers and the NR carrier are contiguous in DL, contiguous and non-contiguous are both supported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735"/>
      </w:tblGrid>
      <w:tr w:rsidR="0091111A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616" w:type="pct"/>
          </w:tcPr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</w:tc>
      </w:tr>
      <w:tr w:rsidR="0091111A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:rsidR="0091111A" w:rsidRDefault="00BD4D3D">
            <w:pPr>
              <w:pStyle w:val="TAC"/>
              <w:rPr>
                <w:rFonts w:eastAsia="PMingLiU"/>
                <w:vertAlign w:val="superscript"/>
                <w:lang w:val="de-DE" w:eastAsia="zh-TW"/>
              </w:rPr>
            </w:pPr>
            <w:r>
              <w:rPr>
                <w:lang w:val="de-DE" w:eastAsia="fi-FI"/>
              </w:rPr>
              <w:t>DC_48A_(n)48A</w:t>
            </w:r>
            <w:r>
              <w:rPr>
                <w:lang w:val="de-DE" w:eastAsia="zh-CN"/>
              </w:rPr>
              <w:t>A</w:t>
            </w:r>
          </w:p>
        </w:tc>
        <w:tc>
          <w:tcPr>
            <w:tcW w:w="2616" w:type="pct"/>
          </w:tcPr>
          <w:p w:rsidR="0091111A" w:rsidRDefault="00BD4D3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DC_(n)48AA</w:t>
            </w:r>
          </w:p>
          <w:p w:rsidR="0091111A" w:rsidRDefault="00BD4D3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DC_48A_n48A</w:t>
            </w:r>
          </w:p>
        </w:tc>
      </w:tr>
    </w:tbl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1111A" w:rsidTr="00EE74D1">
        <w:tc>
          <w:tcPr>
            <w:tcW w:w="9771" w:type="dxa"/>
          </w:tcPr>
          <w:p w:rsidR="0091111A" w:rsidRDefault="00BD4D3D">
            <w:pPr>
              <w:numPr>
                <w:ilvl w:val="0"/>
                <w:numId w:val="7"/>
              </w:numPr>
              <w:spacing w:afterLines="50" w:after="156"/>
            </w:pPr>
            <w:r>
              <w:t>For case 3: “both” includes UE supports non-contiguous in UL paired with contiguous in DL.</w:t>
            </w:r>
          </w:p>
          <w:p w:rsidR="0091111A" w:rsidRDefault="00BD4D3D">
            <w:pPr>
              <w:numPr>
                <w:ilvl w:val="0"/>
                <w:numId w:val="7"/>
              </w:numPr>
              <w:spacing w:afterLines="50" w:after="156"/>
            </w:pPr>
            <w:r>
              <w:t>For case 4: “both” includes UE supports contiguous in DL paired with contiguous/non-contiguous in UL. Meanwhile, RAN4 also considers that “both” capability for intra-band EN-DC combination for case 4 (with three band entries) is limited to two sub-blocks for UL or DL configurations, i.e. two contiguous spectrum sub-blocks with only one gap in-between the blocks, and one of the sub-blocks consists of a contiguous EN-DC configuration in Table 5.3B.0-1 in TS 38.101-3.</w:t>
            </w:r>
          </w:p>
        </w:tc>
      </w:tr>
    </w:tbl>
    <w:p w:rsidR="0091111A" w:rsidRDefault="00EE74D1">
      <w:r>
        <w:t>Furthermore</w:t>
      </w:r>
      <w:r w:rsidR="00BD4D3D">
        <w:rPr>
          <w:rFonts w:hint="eastAsia"/>
        </w:rPr>
        <w:t>, in RAN2, a potential solution was also provided in [2][3]. In this paper, we share our further vies on these on Table solutions.</w:t>
      </w:r>
    </w:p>
    <w:p w:rsidR="0091111A" w:rsidRDefault="00BD4D3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Discussion</w:t>
      </w:r>
    </w:p>
    <w:p w:rsidR="0091111A" w:rsidRDefault="00BD4D3D">
      <w:r>
        <w:rPr>
          <w:rFonts w:hint="eastAsia"/>
        </w:rPr>
        <w:t xml:space="preserve">In this chapter, we first analyse the solutions in [1][2][3], and then share our views on this topic. </w:t>
      </w:r>
    </w:p>
    <w:p w:rsidR="0091111A" w:rsidRDefault="00BD4D3D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2.1 Solutions</w:t>
      </w:r>
    </w:p>
    <w:p w:rsidR="0091111A" w:rsidRDefault="00BD4D3D">
      <w:r>
        <w:rPr>
          <w:rFonts w:hint="eastAsia"/>
        </w:rPr>
        <w:t>The solutions in the [1][2][3] can be summarized as below, in which we include the basic cases for the case 3 and case 4 to simplify the discussion. In the table, we note the RAN4 suggested solution as solution 1, while the solution in the [2][3] as solution 2</w:t>
      </w:r>
      <w:r w:rsidR="00EE74D1">
        <w:t xml:space="preserve"> </w:t>
      </w:r>
    </w:p>
    <w:p w:rsidR="00EE74D1" w:rsidRPr="00EE74D1" w:rsidRDefault="00EE74D1" w:rsidP="00EE74D1">
      <w:pPr>
        <w:jc w:val="center"/>
        <w:rPr>
          <w:b/>
        </w:rPr>
      </w:pPr>
      <w:r w:rsidRPr="00EE74D1">
        <w:rPr>
          <w:b/>
        </w:rPr>
        <w:t>Table 1: Solutions in [1][2][3]</w:t>
      </w:r>
    </w:p>
    <w:tbl>
      <w:tblPr>
        <w:tblpPr w:leftFromText="180" w:rightFromText="180" w:vertAnchor="text" w:horzAnchor="page" w:tblpXSpec="center" w:tblpY="1254"/>
        <w:tblOverlap w:val="never"/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1693"/>
        <w:gridCol w:w="1438"/>
        <w:gridCol w:w="1467"/>
        <w:gridCol w:w="1365"/>
        <w:gridCol w:w="3816"/>
      </w:tblGrid>
      <w:tr w:rsidR="0091111A" w:rsidTr="000E2880">
        <w:trPr>
          <w:trHeight w:val="795"/>
          <w:jc w:val="center"/>
        </w:trPr>
        <w:tc>
          <w:tcPr>
            <w:tcW w:w="750" w:type="dxa"/>
            <w:shd w:val="clear" w:color="auto" w:fill="auto"/>
          </w:tcPr>
          <w:p w:rsidR="0091111A" w:rsidRDefault="00BD4D3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</w:t>
            </w:r>
          </w:p>
        </w:tc>
        <w:tc>
          <w:tcPr>
            <w:tcW w:w="1693" w:type="dxa"/>
            <w:shd w:val="clear" w:color="auto" w:fill="auto"/>
          </w:tcPr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91111A" w:rsidRDefault="00BD4D3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8" w:type="dxa"/>
          </w:tcPr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91111A" w:rsidRDefault="00BD4D3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:rsidR="0091111A" w:rsidRDefault="00BD4D3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Legacy can work?</w:t>
            </w:r>
          </w:p>
        </w:tc>
        <w:tc>
          <w:tcPr>
            <w:tcW w:w="1365" w:type="dxa"/>
            <w:shd w:val="clear" w:color="auto" w:fill="auto"/>
          </w:tcPr>
          <w:p w:rsidR="0091111A" w:rsidRDefault="00BD4D3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RAN4 Suggestion [1]</w:t>
            </w:r>
          </w:p>
        </w:tc>
        <w:tc>
          <w:tcPr>
            <w:tcW w:w="3816" w:type="dxa"/>
            <w:shd w:val="clear" w:color="auto" w:fill="auto"/>
          </w:tcPr>
          <w:p w:rsidR="0091111A" w:rsidRDefault="00BD4D3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Solution in [2][3]</w:t>
            </w:r>
          </w:p>
          <w:p w:rsidR="0091111A" w:rsidRDefault="00BD4D3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(Noted as Solution 2)</w:t>
            </w:r>
          </w:p>
        </w:tc>
      </w:tr>
      <w:tr w:rsidR="0091111A" w:rsidTr="000E2880">
        <w:trPr>
          <w:trHeight w:val="1040"/>
          <w:jc w:val="center"/>
        </w:trPr>
        <w:tc>
          <w:tcPr>
            <w:tcW w:w="750" w:type="dxa"/>
            <w:shd w:val="clear" w:color="auto" w:fill="auto"/>
            <w:noWrap/>
          </w:tcPr>
          <w:p w:rsidR="0091111A" w:rsidRDefault="00BD4D3D">
            <w:pPr>
              <w:pStyle w:val="TAC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3" w:type="dxa"/>
            <w:shd w:val="clear" w:color="auto" w:fill="auto"/>
            <w:noWrap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DC_(n)48DA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38" w:type="dxa"/>
          </w:tcPr>
          <w:p w:rsidR="0091111A" w:rsidRDefault="00BD4D3D">
            <w:pPr>
              <w:pStyle w:val="TAC"/>
              <w:rPr>
                <w:vertAlign w:val="superscript"/>
                <w:lang w:eastAsia="zh-TW"/>
              </w:rPr>
            </w:pPr>
            <w:r>
              <w:rPr>
                <w:lang w:eastAsia="zh-CN"/>
              </w:rPr>
              <w:t>DC_(n)48AA</w:t>
            </w:r>
            <w:r>
              <w:rPr>
                <w:vertAlign w:val="superscript"/>
                <w:lang w:eastAsia="zh-TW"/>
              </w:rPr>
              <w:t>6</w:t>
            </w:r>
          </w:p>
          <w:p w:rsidR="0091111A" w:rsidRDefault="0091111A">
            <w:pPr>
              <w:pStyle w:val="TAC"/>
              <w:rPr>
                <w:lang w:eastAsia="zh-TW"/>
              </w:rPr>
            </w:pPr>
          </w:p>
        </w:tc>
        <w:tc>
          <w:tcPr>
            <w:tcW w:w="1467" w:type="dxa"/>
            <w:shd w:val="clear" w:color="auto" w:fill="auto"/>
            <w:noWrap/>
          </w:tcPr>
          <w:p w:rsidR="0091111A" w:rsidRDefault="00BD4D3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Yes(Contiguous)</w:t>
            </w:r>
          </w:p>
        </w:tc>
        <w:tc>
          <w:tcPr>
            <w:tcW w:w="1365" w:type="dxa"/>
            <w:shd w:val="clear" w:color="auto" w:fill="auto"/>
            <w:noWrap/>
          </w:tcPr>
          <w:p w:rsidR="0091111A" w:rsidRDefault="0091111A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1111A" w:rsidRDefault="0091111A">
            <w:pPr>
              <w:pStyle w:val="TAC"/>
              <w:jc w:val="both"/>
              <w:rPr>
                <w:rFonts w:eastAsia="宋体"/>
                <w:lang w:val="en-US" w:eastAsia="zh-CN"/>
              </w:rPr>
            </w:pPr>
          </w:p>
        </w:tc>
      </w:tr>
      <w:tr w:rsidR="0091111A" w:rsidTr="000E2880">
        <w:trPr>
          <w:trHeight w:val="904"/>
          <w:jc w:val="center"/>
        </w:trPr>
        <w:tc>
          <w:tcPr>
            <w:tcW w:w="750" w:type="dxa"/>
            <w:shd w:val="clear" w:color="auto" w:fill="auto"/>
            <w:noWrap/>
          </w:tcPr>
          <w:p w:rsidR="0091111A" w:rsidRDefault="00BD4D3D">
            <w:pPr>
              <w:pStyle w:val="TAC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3a</w:t>
            </w:r>
          </w:p>
        </w:tc>
        <w:tc>
          <w:tcPr>
            <w:tcW w:w="1693" w:type="dxa"/>
            <w:shd w:val="clear" w:color="auto" w:fill="auto"/>
            <w:noWrap/>
          </w:tcPr>
          <w:p w:rsidR="0091111A" w:rsidRDefault="00BD4D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DC_(n)48DA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38" w:type="dxa"/>
          </w:tcPr>
          <w:p w:rsidR="0091111A" w:rsidRDefault="00BD4D3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DC_</w:t>
            </w:r>
            <w:r>
              <w:rPr>
                <w:lang w:eastAsia="zh-CN"/>
              </w:rPr>
              <w:t>48A_n48A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67" w:type="dxa"/>
            <w:shd w:val="clear" w:color="auto" w:fill="auto"/>
            <w:noWrap/>
          </w:tcPr>
          <w:p w:rsidR="0091111A" w:rsidRDefault="00BD4D3D">
            <w:pPr>
              <w:pStyle w:val="TAC"/>
              <w:rPr>
                <w:lang w:val="en-US" w:eastAsia="fi-FI"/>
              </w:rPr>
            </w:pPr>
            <w:r>
              <w:rPr>
                <w:rFonts w:eastAsia="宋体" w:hint="eastAsia"/>
                <w:color w:val="FF0000"/>
                <w:lang w:val="en-US" w:eastAsia="zh-CN"/>
              </w:rPr>
              <w:t>No</w:t>
            </w:r>
          </w:p>
        </w:tc>
        <w:tc>
          <w:tcPr>
            <w:tcW w:w="1365" w:type="dxa"/>
            <w:shd w:val="clear" w:color="auto" w:fill="auto"/>
            <w:noWrap/>
          </w:tcPr>
          <w:p w:rsidR="0091111A" w:rsidRDefault="00BD4D3D">
            <w:pPr>
              <w:spacing w:afterLines="50" w:after="156"/>
              <w:rPr>
                <w:rFonts w:eastAsia="宋体"/>
              </w:rPr>
            </w:pPr>
            <w:r>
              <w:rPr>
                <w:rFonts w:eastAsia="宋体" w:hint="eastAsia"/>
              </w:rPr>
              <w:t>Yes with legacy signaling set to Both (Note 2)</w:t>
            </w:r>
          </w:p>
        </w:tc>
        <w:tc>
          <w:tcPr>
            <w:tcW w:w="3816" w:type="dxa"/>
            <w:shd w:val="clear" w:color="auto" w:fill="auto"/>
            <w:noWrap/>
          </w:tcPr>
          <w:p w:rsidR="0091111A" w:rsidRPr="00EE74D1" w:rsidRDefault="00BD4D3D">
            <w:pPr>
              <w:spacing w:afterLines="50" w:after="156"/>
              <w:rPr>
                <w:rFonts w:eastAsia="宋体"/>
                <w:color w:val="FF0000"/>
              </w:rPr>
            </w:pPr>
            <w:r w:rsidRPr="00EE74D1">
              <w:rPr>
                <w:rFonts w:eastAsia="宋体" w:hint="eastAsia"/>
                <w:color w:val="FF0000"/>
              </w:rPr>
              <w:t>Legacy filed = ?</w:t>
            </w:r>
          </w:p>
          <w:p w:rsidR="0091111A" w:rsidRDefault="00BD4D3D">
            <w:pPr>
              <w:spacing w:afterLines="50" w:after="156"/>
              <w:ind w:left="630" w:hangingChars="300" w:hanging="630"/>
              <w:jc w:val="left"/>
              <w:rPr>
                <w:rFonts w:eastAsia="宋体"/>
              </w:rPr>
            </w:pPr>
            <w:r>
              <w:rPr>
                <w:rFonts w:eastAsia="宋体" w:hint="eastAsia"/>
                <w:lang w:eastAsia="en-GB"/>
              </w:rPr>
              <w:t>intrabandENDC-SupportDL-v17x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“</w:t>
            </w:r>
            <w:r>
              <w:rPr>
                <w:rFonts w:eastAsia="宋体" w:hint="eastAsia"/>
              </w:rPr>
              <w:t>absent</w:t>
            </w:r>
            <w:r>
              <w:rPr>
                <w:rFonts w:eastAsia="宋体"/>
              </w:rPr>
              <w:t>”</w:t>
            </w:r>
          </w:p>
          <w:p w:rsidR="0091111A" w:rsidRDefault="00BD4D3D">
            <w:pPr>
              <w:spacing w:afterLines="50" w:after="156"/>
              <w:ind w:left="630" w:hangingChars="300" w:hanging="630"/>
              <w:jc w:val="left"/>
              <w:rPr>
                <w:rFonts w:eastAsia="宋体"/>
                <w:lang w:eastAsia="en-GB"/>
              </w:rPr>
            </w:pPr>
            <w:r>
              <w:rPr>
                <w:rFonts w:eastAsia="宋体" w:hint="eastAsia"/>
                <w:lang w:eastAsia="en-GB"/>
              </w:rPr>
              <w:t xml:space="preserve">intrabandENDC-SupportUL-v17xy </w:t>
            </w:r>
          </w:p>
          <w:p w:rsidR="0091111A" w:rsidRDefault="00BD4D3D">
            <w:pPr>
              <w:spacing w:afterLines="50" w:after="156"/>
              <w:rPr>
                <w:rFonts w:eastAsia="宋体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宋体" w:hint="eastAsia"/>
              </w:rPr>
              <w:t>Non-Contiguous</w:t>
            </w:r>
            <w:r>
              <w:rPr>
                <w:rFonts w:eastAsia="宋体"/>
              </w:rPr>
              <w:t>”</w:t>
            </w:r>
          </w:p>
        </w:tc>
      </w:tr>
      <w:tr w:rsidR="0091111A" w:rsidTr="000E2880">
        <w:trPr>
          <w:trHeight w:val="413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1A" w:rsidRDefault="00BD4D3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 w:hint="eastAsia"/>
                <w:color w:val="FF0000"/>
                <w:lang w:val="en-US" w:eastAsia="zh-CN"/>
              </w:rPr>
              <w:t>Yes(Contiguous)</w:t>
            </w:r>
          </w:p>
          <w:p w:rsidR="0091111A" w:rsidRDefault="00BD4D3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Note 1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 with legacy signaling set to Both (Note 3)</w:t>
            </w:r>
          </w:p>
          <w:p w:rsidR="0091111A" w:rsidRDefault="0091111A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1111A" w:rsidRDefault="0091111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91111A" w:rsidTr="000E2880">
        <w:trPr>
          <w:trHeight w:val="538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1A" w:rsidRDefault="00BD4D3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FF0000"/>
                <w:lang w:val="en-US" w:eastAsia="zh-CN"/>
              </w:rPr>
              <w:t>No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91111A" w:rsidRDefault="0091111A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91111A" w:rsidRPr="00EE74D1" w:rsidRDefault="00BD4D3D">
            <w:pPr>
              <w:spacing w:afterLines="50" w:after="156"/>
              <w:rPr>
                <w:rFonts w:eastAsia="宋体"/>
                <w:color w:val="FF0000"/>
              </w:rPr>
            </w:pPr>
            <w:r w:rsidRPr="00EE74D1">
              <w:rPr>
                <w:rFonts w:eastAsia="宋体" w:hint="eastAsia"/>
                <w:color w:val="FF0000"/>
              </w:rPr>
              <w:t>Legacy filed = ?</w:t>
            </w:r>
          </w:p>
          <w:p w:rsidR="0091111A" w:rsidRDefault="00BD4D3D">
            <w:pPr>
              <w:spacing w:afterLines="50" w:after="156"/>
              <w:ind w:left="630" w:hangingChars="300" w:hanging="630"/>
              <w:rPr>
                <w:rFonts w:eastAsia="宋体"/>
              </w:rPr>
            </w:pPr>
            <w:r>
              <w:rPr>
                <w:rFonts w:eastAsia="宋体" w:hint="eastAsia"/>
                <w:lang w:eastAsia="en-GB"/>
              </w:rPr>
              <w:t>intrabandENDC-SupportDL-v17x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“</w:t>
            </w:r>
            <w:r>
              <w:rPr>
                <w:rFonts w:eastAsia="宋体" w:hint="eastAsia"/>
              </w:rPr>
              <w:t>absent</w:t>
            </w:r>
            <w:r>
              <w:rPr>
                <w:rFonts w:eastAsia="宋体"/>
              </w:rPr>
              <w:t>”</w:t>
            </w:r>
          </w:p>
          <w:p w:rsidR="0091111A" w:rsidRDefault="00BD4D3D">
            <w:pPr>
              <w:spacing w:afterLines="50" w:after="156"/>
              <w:ind w:left="630" w:hangingChars="300" w:hanging="630"/>
              <w:rPr>
                <w:rFonts w:eastAsia="宋体"/>
                <w:lang w:eastAsia="en-GB"/>
              </w:rPr>
            </w:pPr>
            <w:r>
              <w:rPr>
                <w:rFonts w:eastAsia="宋体" w:hint="eastAsia"/>
                <w:lang w:eastAsia="en-GB"/>
              </w:rPr>
              <w:t xml:space="preserve">intrabandENDC-SupportUL-v17xy </w:t>
            </w:r>
          </w:p>
          <w:p w:rsidR="0091111A" w:rsidRDefault="00BD4D3D">
            <w:pPr>
              <w:spacing w:afterLines="50" w:after="156"/>
              <w:rPr>
                <w:rFonts w:eastAsia="宋体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宋体" w:hint="eastAsia"/>
              </w:rPr>
              <w:t>Non-Contiguous</w:t>
            </w:r>
            <w:r>
              <w:rPr>
                <w:rFonts w:eastAsia="宋体"/>
              </w:rPr>
              <w:t>”</w:t>
            </w:r>
          </w:p>
        </w:tc>
      </w:tr>
      <w:tr w:rsidR="0091111A" w:rsidTr="000E2880">
        <w:trPr>
          <w:trHeight w:val="538"/>
          <w:jc w:val="center"/>
        </w:trPr>
        <w:tc>
          <w:tcPr>
            <w:tcW w:w="10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111A" w:rsidRDefault="00BD4D3D">
            <w:pPr>
              <w:spacing w:afterLines="50" w:after="15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Note 1: For the case 4, we think the network can defer that the LTE side CA are non-contiguous, for the EN-DC part both the DL and UL are contiguous, so it can be expressed with legacy signaling = contiguous.</w:t>
            </w:r>
          </w:p>
          <w:p w:rsidR="0091111A" w:rsidRDefault="00BD4D3D">
            <w:pPr>
              <w:spacing w:afterLines="50" w:after="156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Note 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 xml:space="preserve">: </w:t>
            </w:r>
            <w:r>
              <w:rPr>
                <w:rFonts w:hint="eastAsia"/>
                <w:szCs w:val="21"/>
              </w:rPr>
              <w:t>According to the RAN4 LS, f</w:t>
            </w:r>
            <w:r>
              <w:rPr>
                <w:szCs w:val="21"/>
              </w:rPr>
              <w:t xml:space="preserve">or case 3: “both” includes UE supports non-contiguous in UL paired with contiguous </w:t>
            </w:r>
            <w:r>
              <w:rPr>
                <w:szCs w:val="21"/>
              </w:rPr>
              <w:lastRenderedPageBreak/>
              <w:t>in DL.</w:t>
            </w:r>
          </w:p>
          <w:p w:rsidR="0091111A" w:rsidRDefault="00BD4D3D">
            <w:pPr>
              <w:pStyle w:val="TAC"/>
              <w:jc w:val="left"/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Note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  <w:lang w:val="en-US" w:eastAsia="zh-CN"/>
              </w:rPr>
              <w:t xml:space="preserve">: </w:t>
            </w:r>
            <w:r>
              <w:rPr>
                <w:rFonts w:ascii="Times New Roman" w:eastAsiaTheme="minorEastAsia" w:hAnsi="Times New Roman" w:cs="Times New Roman" w:hint="eastAsia"/>
                <w:kern w:val="2"/>
                <w:sz w:val="21"/>
                <w:szCs w:val="21"/>
                <w:lang w:val="en-US" w:eastAsia="zh-CN"/>
              </w:rPr>
              <w:t>According to the RAN4 LS, f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  <w:lang w:val="en-US" w:eastAsia="zh-CN"/>
              </w:rPr>
              <w:t>or ca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se 4: “both” includes UE supports contiguous in DL paired with contiguous/non-contiguous in UL. Meanwhile, RAN4 also considers that “both” capability for intra-band EN-DC combination for case 4 (with three band entries) is limited to two sub-blocks for UL or DL configurations, i.e. two contiguous spectrum sub-blocks with only one gap in-between the blocks, and one of the sub-blocks consists of a contiguous EN-DC configuration in Table 5.3B.0-1 in TS 38.101-3.</w:t>
            </w:r>
          </w:p>
        </w:tc>
      </w:tr>
    </w:tbl>
    <w:p w:rsidR="0091111A" w:rsidRDefault="00BD4D3D">
      <w:r>
        <w:rPr>
          <w:rFonts w:hint="eastAsia"/>
        </w:rPr>
        <w:lastRenderedPageBreak/>
        <w:t>According to the above table, both solutions have its drawbacks:</w:t>
      </w:r>
    </w:p>
    <w:p w:rsidR="0091111A" w:rsidRDefault="00BD4D3D">
      <w:pPr>
        <w:jc w:val="center"/>
        <w:rPr>
          <w:b/>
          <w:bCs/>
        </w:rPr>
      </w:pPr>
      <w:r>
        <w:rPr>
          <w:rFonts w:hint="eastAsia"/>
          <w:b/>
          <w:bCs/>
        </w:rPr>
        <w:t>Table 2: Solution 1 Vs Solution 2</w:t>
      </w:r>
    </w:p>
    <w:tbl>
      <w:tblPr>
        <w:tblStyle w:val="af5"/>
        <w:tblW w:w="6870" w:type="dxa"/>
        <w:jc w:val="center"/>
        <w:tblLook w:val="04A0" w:firstRow="1" w:lastRow="0" w:firstColumn="1" w:lastColumn="0" w:noHBand="0" w:noVBand="1"/>
      </w:tblPr>
      <w:tblGrid>
        <w:gridCol w:w="1408"/>
        <w:gridCol w:w="3092"/>
        <w:gridCol w:w="2370"/>
      </w:tblGrid>
      <w:tr w:rsidR="0091111A" w:rsidTr="00EE74D1">
        <w:trPr>
          <w:jc w:val="center"/>
        </w:trPr>
        <w:tc>
          <w:tcPr>
            <w:tcW w:w="1408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</w:tcPr>
          <w:p w:rsidR="0091111A" w:rsidRDefault="00BD4D3D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Solutions</w:t>
            </w:r>
          </w:p>
        </w:tc>
        <w:tc>
          <w:tcPr>
            <w:tcW w:w="3092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</w:tcPr>
          <w:p w:rsidR="0091111A" w:rsidRDefault="00BD4D3D" w:rsidP="00EE74D1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Cons</w:t>
            </w:r>
          </w:p>
        </w:tc>
        <w:tc>
          <w:tcPr>
            <w:tcW w:w="2370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</w:tcPr>
          <w:p w:rsidR="0091111A" w:rsidRDefault="00BD4D3D" w:rsidP="00EE74D1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Pros</w:t>
            </w:r>
          </w:p>
        </w:tc>
      </w:tr>
      <w:tr w:rsidR="0091111A" w:rsidTr="00EE74D1">
        <w:trPr>
          <w:jc w:val="center"/>
        </w:trPr>
        <w:tc>
          <w:tcPr>
            <w:tcW w:w="1408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</w:tcPr>
          <w:p w:rsidR="0091111A" w:rsidRDefault="00BD4D3D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Solution 1</w:t>
            </w:r>
          </w:p>
        </w:tc>
        <w:tc>
          <w:tcPr>
            <w:tcW w:w="3092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</w:tcPr>
          <w:p w:rsidR="0091111A" w:rsidRDefault="00BD4D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Change the definition of the </w:t>
            </w:r>
            <w:r>
              <w:rPr>
                <w:color w:val="000000"/>
              </w:rPr>
              <w:t>“</w:t>
            </w:r>
            <w:r>
              <w:rPr>
                <w:rFonts w:hint="eastAsia"/>
                <w:color w:val="000000"/>
              </w:rPr>
              <w:t>Both</w:t>
            </w:r>
            <w:r>
              <w:rPr>
                <w:color w:val="000000"/>
              </w:rPr>
              <w:t>”</w:t>
            </w:r>
            <w:r>
              <w:rPr>
                <w:rFonts w:hint="eastAsia"/>
                <w:color w:val="000000"/>
              </w:rPr>
              <w:t>,</w:t>
            </w:r>
          </w:p>
          <w:p w:rsidR="0091111A" w:rsidRDefault="00BD4D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The UE have to support case 4 if it support case 4a</w:t>
            </w:r>
          </w:p>
        </w:tc>
        <w:tc>
          <w:tcPr>
            <w:tcW w:w="2370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</w:tcPr>
          <w:p w:rsidR="0091111A" w:rsidRDefault="00BD4D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No need to introduce the new signaling</w:t>
            </w:r>
          </w:p>
        </w:tc>
      </w:tr>
      <w:tr w:rsidR="0091111A" w:rsidTr="00EE74D1">
        <w:trPr>
          <w:jc w:val="center"/>
        </w:trPr>
        <w:tc>
          <w:tcPr>
            <w:tcW w:w="14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111A" w:rsidRDefault="00BD4D3D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Solution 2</w:t>
            </w:r>
          </w:p>
        </w:tc>
        <w:tc>
          <w:tcPr>
            <w:tcW w:w="30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111A" w:rsidRDefault="00BD4D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It</w:t>
            </w:r>
            <w:r>
              <w:rPr>
                <w:color w:val="000000"/>
              </w:rPr>
              <w:t>’</w:t>
            </w:r>
            <w:r>
              <w:rPr>
                <w:rFonts w:hint="eastAsia"/>
                <w:color w:val="000000"/>
              </w:rPr>
              <w:t>s hard to set the legacy field, there may</w:t>
            </w:r>
            <w:r w:rsidR="00EE74D1"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be NBC issues</w:t>
            </w:r>
          </w:p>
        </w:tc>
        <w:tc>
          <w:tcPr>
            <w:tcW w:w="2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111A" w:rsidRDefault="00BD4D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Can indicate different cases separately</w:t>
            </w:r>
          </w:p>
        </w:tc>
      </w:tr>
    </w:tbl>
    <w:p w:rsidR="0091111A" w:rsidRDefault="00BD4D3D">
      <w:r>
        <w:rPr>
          <w:rFonts w:hint="eastAsia"/>
        </w:rPr>
        <w:t>To reduce the impact of the solution 1, this solution shall be limited to some certain bands with DL/UL inconsistent case (e.g band 48). Furthermore, the solution 1 can be optimized as below for the case 4.</w:t>
      </w:r>
    </w:p>
    <w:tbl>
      <w:tblPr>
        <w:tblStyle w:val="af5"/>
        <w:tblW w:w="0" w:type="auto"/>
        <w:tblInd w:w="748" w:type="dxa"/>
        <w:tblLook w:val="04A0" w:firstRow="1" w:lastRow="0" w:firstColumn="1" w:lastColumn="0" w:noHBand="0" w:noVBand="1"/>
      </w:tblPr>
      <w:tblGrid>
        <w:gridCol w:w="1751"/>
        <w:gridCol w:w="1894"/>
        <w:gridCol w:w="1905"/>
        <w:gridCol w:w="2565"/>
      </w:tblGrid>
      <w:tr w:rsidR="0091111A">
        <w:trPr>
          <w:trHeight w:val="728"/>
        </w:trPr>
        <w:tc>
          <w:tcPr>
            <w:tcW w:w="1751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1894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05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2565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color w:val="FF0000"/>
                <w:lang w:val="en-US" w:eastAsia="zh-CN"/>
              </w:rPr>
              <w:t>Yes(Contiguous)</w:t>
            </w:r>
          </w:p>
        </w:tc>
      </w:tr>
      <w:tr w:rsidR="0091111A">
        <w:tc>
          <w:tcPr>
            <w:tcW w:w="1751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4a</w:t>
            </w:r>
          </w:p>
        </w:tc>
        <w:tc>
          <w:tcPr>
            <w:tcW w:w="1894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05" w:type="dxa"/>
          </w:tcPr>
          <w:p w:rsidR="0091111A" w:rsidRDefault="00BD4D3D">
            <w:pPr>
              <w:pStyle w:val="TAC"/>
              <w:rPr>
                <w:lang w:val="en-US"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2565" w:type="dxa"/>
          </w:tcPr>
          <w:p w:rsidR="0091111A" w:rsidRDefault="00BD4D3D">
            <w:pPr>
              <w:pStyle w:val="TAC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color w:val="FF0000"/>
                <w:lang w:val="en-US" w:eastAsia="zh-CN"/>
              </w:rPr>
              <w:t xml:space="preserve"> Both</w:t>
            </w:r>
          </w:p>
        </w:tc>
      </w:tr>
    </w:tbl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>Observation 1: The solution 1 can be further optimized by indicating case 4 as contiguous and case 4a as both</w:t>
      </w:r>
    </w:p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>Proposal 1: The solution 1 (Ran 4 suggested solution) shall be limited to the BC that including bands with DL/UL in-consistence (e.g</w:t>
      </w:r>
      <w:r w:rsidR="00EE74D1">
        <w:rPr>
          <w:b/>
          <w:bCs/>
        </w:rPr>
        <w:t>.</w:t>
      </w:r>
      <w:r>
        <w:rPr>
          <w:rFonts w:hint="eastAsia"/>
          <w:b/>
          <w:bCs/>
        </w:rPr>
        <w:t xml:space="preserve"> band 48) to reduce its impact.</w:t>
      </w:r>
    </w:p>
    <w:p w:rsidR="0091111A" w:rsidRDefault="00BD4D3D">
      <w:r>
        <w:rPr>
          <w:rFonts w:hint="eastAsia"/>
        </w:rPr>
        <w:t>For the solution 2, to solve this issue, one way is to require the UE support the case 3a/4a shall always support the case 3/4, then the legacy field can be set to contiguous.</w:t>
      </w:r>
    </w:p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>Observation 2: To solve the potential NBC issue of the solution 2, it may require the UE that support case 3a/4a shall always support the case 3/4.</w:t>
      </w:r>
    </w:p>
    <w:p w:rsidR="0091111A" w:rsidRDefault="00BD4D3D">
      <w:r>
        <w:rPr>
          <w:rFonts w:hint="eastAsia"/>
        </w:rPr>
        <w:t xml:space="preserve">Furthermore, with this solution, the </w:t>
      </w:r>
      <w:r>
        <w:rPr>
          <w:rFonts w:hint="eastAsia"/>
          <w:lang w:eastAsia="en-GB"/>
        </w:rPr>
        <w:t>intrabandENDC-Support</w:t>
      </w:r>
      <w:r>
        <w:rPr>
          <w:rFonts w:hint="eastAsia"/>
        </w:rPr>
        <w:t>DL</w:t>
      </w:r>
      <w:r>
        <w:rPr>
          <w:rFonts w:hint="eastAsia"/>
          <w:lang w:eastAsia="en-GB"/>
        </w:rPr>
        <w:t xml:space="preserve">-v17xy </w:t>
      </w:r>
      <w:r>
        <w:rPr>
          <w:rFonts w:hint="eastAsia"/>
        </w:rPr>
        <w:t>would not be needed for that until now we don</w:t>
      </w:r>
      <w:r>
        <w:t>’</w:t>
      </w:r>
      <w:r>
        <w:rPr>
          <w:rFonts w:hint="eastAsia"/>
        </w:rPr>
        <w:t xml:space="preserve">t see the case with non-contiguous DL but with contiguous UL. With the legacy field and </w:t>
      </w:r>
      <w:r>
        <w:rPr>
          <w:rFonts w:hint="eastAsia"/>
          <w:lang w:eastAsia="en-GB"/>
        </w:rPr>
        <w:t>intrabandENDC-SupportUL-v17xy</w:t>
      </w:r>
      <w:r>
        <w:rPr>
          <w:rFonts w:hint="eastAsia"/>
        </w:rPr>
        <w:t xml:space="preserve">, the UE can indicate DL/UL contiguous case with legacy field, and </w:t>
      </w:r>
      <w:r>
        <w:rPr>
          <w:rFonts w:hint="eastAsia"/>
          <w:lang w:eastAsia="en-GB"/>
        </w:rPr>
        <w:t>intrabandENDC-SupportUL-v17x</w:t>
      </w:r>
      <w:r>
        <w:rPr>
          <w:rFonts w:hint="eastAsia"/>
        </w:rPr>
        <w:t xml:space="preserve"> to indicate whether the UE further support UL non-contiguous case.</w:t>
      </w:r>
    </w:p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>Proposal 2: RAN2 to confirm which solution is preferred based on the above O1/2 and P1.</w:t>
      </w:r>
    </w:p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 xml:space="preserve">Proposal 2a: If solution2 was preferred, it can be further optimized by only introducing </w:t>
      </w:r>
      <w:r>
        <w:rPr>
          <w:rFonts w:hint="eastAsia"/>
          <w:b/>
          <w:bCs/>
          <w:lang w:eastAsia="en-GB"/>
        </w:rPr>
        <w:t>intrabandENDC-</w:t>
      </w:r>
      <w:r>
        <w:rPr>
          <w:rFonts w:hint="eastAsia"/>
          <w:b/>
          <w:bCs/>
          <w:lang w:eastAsia="en-GB"/>
        </w:rPr>
        <w:lastRenderedPageBreak/>
        <w:t>SupportUL-v17x</w:t>
      </w:r>
      <w:r>
        <w:rPr>
          <w:rFonts w:hint="eastAsia"/>
          <w:b/>
          <w:bCs/>
        </w:rPr>
        <w:t xml:space="preserve">. </w:t>
      </w:r>
    </w:p>
    <w:p w:rsidR="0091111A" w:rsidRDefault="00BD4D3D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2.3 Signaling for the Contiguous Entry</w:t>
      </w:r>
    </w:p>
    <w:p w:rsidR="0091111A" w:rsidRDefault="00BD4D3D">
      <w:r>
        <w:rPr>
          <w:rFonts w:hint="eastAsia"/>
        </w:rPr>
        <w:t xml:space="preserve">Besides the above DL/UL separation issue, another issue is that for the case </w:t>
      </w:r>
      <w:r>
        <w:t>with both contiguous and non-contiguous ENDC BC,</w:t>
      </w:r>
      <w:r>
        <w:rPr>
          <w:rFonts w:hint="eastAsia"/>
        </w:rPr>
        <w:t xml:space="preserve"> the network is unable to know which band entry of LTE is contiguous with NR</w:t>
      </w:r>
      <w:r>
        <w:t xml:space="preserve">. Take the above case </w:t>
      </w:r>
      <w:r>
        <w:rPr>
          <w:rFonts w:hint="eastAsia"/>
        </w:rPr>
        <w:t xml:space="preserve">7: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>
        <w:rPr>
          <w:vertAlign w:val="superscript"/>
        </w:rPr>
        <w:t xml:space="preserve"> </w:t>
      </w:r>
      <w:r>
        <w:t xml:space="preserve">as an example, </w:t>
      </w:r>
      <w:r>
        <w:rPr>
          <w:rFonts w:hint="eastAsia"/>
        </w:rPr>
        <w:t>there would be 3 band Entries:</w:t>
      </w:r>
    </w:p>
    <w:p w:rsidR="0091111A" w:rsidRDefault="00BD4D3D">
      <w:pPr>
        <w:numPr>
          <w:ilvl w:val="0"/>
          <w:numId w:val="8"/>
        </w:numPr>
      </w:pPr>
      <w:r>
        <w:rPr>
          <w:rFonts w:hint="eastAsia"/>
        </w:rPr>
        <w:t xml:space="preserve">BandEntrylist[0] =48A;    BandEntrylist[1] =48A;  BandEntrylist[2] =n48A  </w:t>
      </w:r>
    </w:p>
    <w:p w:rsidR="0091111A" w:rsidRDefault="00BD4D3D">
      <w:pPr>
        <w:rPr>
          <w:rFonts w:eastAsia="宋体"/>
        </w:rPr>
      </w:pPr>
      <w:r>
        <w:t>Each</w:t>
      </w:r>
      <w:r>
        <w:rPr>
          <w:rFonts w:hint="eastAsia"/>
        </w:rPr>
        <w:t xml:space="preserve"> band entr</w:t>
      </w:r>
      <w:r>
        <w:t>y</w:t>
      </w:r>
      <w:r>
        <w:rPr>
          <w:rFonts w:hint="eastAsia"/>
        </w:rPr>
        <w:t xml:space="preserve"> </w:t>
      </w:r>
      <w:r>
        <w:rPr>
          <w:rFonts w:eastAsia="宋体" w:hint="eastAsia"/>
        </w:rPr>
        <w:t xml:space="preserve">may </w:t>
      </w:r>
      <w:r>
        <w:rPr>
          <w:rFonts w:hint="eastAsia"/>
        </w:rPr>
        <w:t xml:space="preserve">refer to </w:t>
      </w:r>
      <w:r>
        <w:t>a</w:t>
      </w:r>
      <w:r>
        <w:rPr>
          <w:rFonts w:hint="eastAsia"/>
        </w:rPr>
        <w:t xml:space="preserve"> featureset </w:t>
      </w:r>
      <w:r>
        <w:rPr>
          <w:rFonts w:eastAsia="宋体" w:hint="eastAsia"/>
        </w:rPr>
        <w:t>e.g.</w:t>
      </w:r>
    </w:p>
    <w:p w:rsidR="0091111A" w:rsidRDefault="00BD4D3D">
      <w:pPr>
        <w:numPr>
          <w:ilvl w:val="0"/>
          <w:numId w:val="9"/>
        </w:numPr>
      </w:pPr>
      <w:r>
        <w:rPr>
          <w:rFonts w:hint="eastAsia"/>
        </w:rPr>
        <w:t>BandEntrylist[0] =48A   Eutra Featureset 1with MIMO layer = 2, bandwidth = 100M</w:t>
      </w:r>
    </w:p>
    <w:p w:rsidR="0091111A" w:rsidRDefault="00BD4D3D">
      <w:pPr>
        <w:numPr>
          <w:ilvl w:val="0"/>
          <w:numId w:val="9"/>
        </w:numPr>
      </w:pPr>
      <w:r>
        <w:rPr>
          <w:rFonts w:hint="eastAsia"/>
        </w:rPr>
        <w:t>BandEntrylist[1] =48A   Eutra Featureset 2 with MIMO layer = 4, bandwidth = 30M</w:t>
      </w:r>
    </w:p>
    <w:p w:rsidR="0091111A" w:rsidRDefault="00BD4D3D">
      <w:pPr>
        <w:numPr>
          <w:ilvl w:val="0"/>
          <w:numId w:val="9"/>
        </w:numPr>
      </w:pPr>
      <w:r>
        <w:rPr>
          <w:rFonts w:hint="eastAsia"/>
        </w:rPr>
        <w:t>BandEntrylist[2] =n48A  NR featureSet  3 with MIMO layer = 2</w:t>
      </w:r>
    </w:p>
    <w:p w:rsidR="0091111A" w:rsidRDefault="00BD4D3D">
      <w:r>
        <w:t xml:space="preserve">Then the question is how does the network know which LTE entry is contiguous with NR entry. </w:t>
      </w:r>
      <w:r>
        <w:rPr>
          <w:rFonts w:hint="eastAsia"/>
        </w:rPr>
        <w:t>There would be 3 cases:</w:t>
      </w:r>
    </w:p>
    <w:p w:rsidR="0091111A" w:rsidRDefault="00BD4D3D">
      <w:pPr>
        <w:numPr>
          <w:ilvl w:val="0"/>
          <w:numId w:val="10"/>
        </w:numPr>
      </w:pPr>
      <w:r>
        <w:rPr>
          <w:rFonts w:hint="eastAsia"/>
        </w:rPr>
        <w:t xml:space="preserve">Case 1: The UE only support contiguous EN-DC with BandEntrylist[0]; </w:t>
      </w:r>
    </w:p>
    <w:p w:rsidR="0091111A" w:rsidRDefault="00BD4D3D">
      <w:pPr>
        <w:numPr>
          <w:ilvl w:val="0"/>
          <w:numId w:val="10"/>
        </w:numPr>
      </w:pPr>
      <w:r>
        <w:rPr>
          <w:rFonts w:hint="eastAsia"/>
        </w:rPr>
        <w:t xml:space="preserve">Case 2: The UE only support contiguous EN-DC with BandEntrylist[1]; </w:t>
      </w:r>
    </w:p>
    <w:p w:rsidR="0091111A" w:rsidRDefault="00BD4D3D">
      <w:pPr>
        <w:numPr>
          <w:ilvl w:val="0"/>
          <w:numId w:val="10"/>
        </w:numPr>
      </w:pPr>
      <w:r>
        <w:rPr>
          <w:rFonts w:hint="eastAsia"/>
        </w:rPr>
        <w:t>Case 3: The UE support contiguous EN-DC with BandEntrylist[0] and contiguous EN-DC with BandEntrylist[1]</w:t>
      </w:r>
    </w:p>
    <w:p w:rsidR="0091111A" w:rsidRDefault="00BD4D3D">
      <w:r>
        <w:rPr>
          <w:rFonts w:hint="eastAsia"/>
        </w:rPr>
        <w:t xml:space="preserve">However, </w:t>
      </w:r>
      <w:r>
        <w:t>with the current capability signaling</w:t>
      </w:r>
      <w:r>
        <w:rPr>
          <w:rFonts w:hint="eastAsia"/>
        </w:rPr>
        <w:t>, the network doesn</w:t>
      </w:r>
      <w:r>
        <w:t>’</w:t>
      </w:r>
      <w:r>
        <w:rPr>
          <w:rFonts w:hint="eastAsia"/>
        </w:rPr>
        <w:t xml:space="preserve">t know which case is supported by the UE. </w:t>
      </w:r>
    </w:p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>Observation 3: For the BC involves both contiguous and non-contiguous EN-DC, with the current signaling, the network can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know which LTE band Entry </w:t>
      </w:r>
      <w:r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NR band entry.</w:t>
      </w:r>
    </w:p>
    <w:p w:rsidR="000E2880" w:rsidRDefault="00BD4D3D" w:rsidP="000E2880">
      <w:pPr>
        <w:rPr>
          <w:bCs/>
        </w:rPr>
      </w:pPr>
      <w:r>
        <w:rPr>
          <w:rFonts w:hint="eastAsia"/>
        </w:rPr>
        <w:t xml:space="preserve">In the last meeting, companies also tend to agree with case 3 for that there is no sequence requirement on each featureSet in the current featureSetCombination. </w:t>
      </w:r>
      <w:r w:rsidR="000E2880">
        <w:t>A</w:t>
      </w:r>
      <w:r>
        <w:rPr>
          <w:rFonts w:hint="eastAsia"/>
        </w:rPr>
        <w:t xml:space="preserve">ccording to the Table </w:t>
      </w:r>
      <w:r>
        <w:rPr>
          <w:bCs/>
        </w:rPr>
        <w:t>5.3B.1.3-2</w:t>
      </w:r>
      <w:r>
        <w:rPr>
          <w:rFonts w:hint="eastAsia"/>
          <w:bCs/>
        </w:rPr>
        <w:t xml:space="preserve"> of 38.101-3</w:t>
      </w:r>
      <w:r w:rsidR="000E2880">
        <w:rPr>
          <w:rFonts w:hint="eastAsia"/>
          <w:bCs/>
        </w:rPr>
        <w:t xml:space="preserve">, </w:t>
      </w:r>
      <w:r>
        <w:rPr>
          <w:rFonts w:hint="eastAsia"/>
          <w:bCs/>
        </w:rPr>
        <w:t xml:space="preserve">it </w:t>
      </w:r>
      <w:r w:rsidR="000E2880">
        <w:rPr>
          <w:bCs/>
        </w:rPr>
        <w:t xml:space="preserve">only </w:t>
      </w:r>
      <w:r>
        <w:rPr>
          <w:rFonts w:hint="eastAsia"/>
          <w:bCs/>
        </w:rPr>
        <w:t>requires the NR band entry shall not be in the m</w:t>
      </w:r>
      <w:r w:rsidR="000E2880">
        <w:rPr>
          <w:rFonts w:hint="eastAsia"/>
          <w:bCs/>
        </w:rPr>
        <w:t>iddle of the 2 LTE band entries</w:t>
      </w:r>
      <w:r w:rsidR="000E2880">
        <w:rPr>
          <w:bCs/>
        </w:rPr>
        <w:t>. In other words, the NR band can only be set at the right or the left of the LTE non-contiguous CA. Furthermore, the supported bandwidth of each band entry are the same whatever the NR band en</w:t>
      </w:r>
      <w:r w:rsidR="00EE74D1">
        <w:rPr>
          <w:bCs/>
        </w:rPr>
        <w:t xml:space="preserve">try is at the right or the left, thus it seems that </w:t>
      </w:r>
      <w:r w:rsidR="00EE74D1" w:rsidRPr="00EE74D1">
        <w:rPr>
          <w:rFonts w:hint="eastAsia"/>
          <w:bCs/>
        </w:rPr>
        <w:t xml:space="preserve">for the case with both contiguous and non-contiguous part, the </w:t>
      </w:r>
      <w:r w:rsidR="00EE74D1" w:rsidRPr="00EE74D1">
        <w:rPr>
          <w:bCs/>
        </w:rPr>
        <w:t>NR</w:t>
      </w:r>
      <w:r w:rsidR="00EE74D1" w:rsidRPr="00EE74D1">
        <w:rPr>
          <w:rFonts w:hint="eastAsia"/>
          <w:bCs/>
        </w:rPr>
        <w:t xml:space="preserve"> band Entry </w:t>
      </w:r>
      <w:r w:rsidR="00EE74D1" w:rsidRPr="00EE74D1">
        <w:rPr>
          <w:bCs/>
        </w:rPr>
        <w:t>can be</w:t>
      </w:r>
      <w:r w:rsidR="00EE74D1" w:rsidRPr="00EE74D1">
        <w:rPr>
          <w:rFonts w:hint="eastAsia"/>
          <w:bCs/>
        </w:rPr>
        <w:t xml:space="preserve"> contiguous with </w:t>
      </w:r>
      <w:r w:rsidR="00EE74D1" w:rsidRPr="00EE74D1">
        <w:rPr>
          <w:bCs/>
        </w:rPr>
        <w:t>any LTE</w:t>
      </w:r>
      <w:r w:rsidR="00EE74D1" w:rsidRPr="00EE74D1">
        <w:rPr>
          <w:rFonts w:hint="eastAsia"/>
          <w:bCs/>
        </w:rPr>
        <w:t xml:space="preserve"> band entry.</w:t>
      </w:r>
    </w:p>
    <w:p w:rsidR="0091111A" w:rsidRDefault="00BD4D3D">
      <w:pPr>
        <w:pStyle w:val="TH"/>
        <w:rPr>
          <w:b w:val="0"/>
          <w:bCs/>
          <w:color w:val="auto"/>
        </w:rPr>
      </w:pPr>
      <w:r>
        <w:rPr>
          <w:b w:val="0"/>
          <w:bCs/>
          <w:color w:val="auto"/>
        </w:rPr>
        <w:lastRenderedPageBreak/>
        <w:t>Table 5.3B.1.3-2: EN-DC configurations and bandwidth combination sets defined for intra-band EN-DC mixed intra-band contiguous and non-contiguous EN-DC</w:t>
      </w:r>
    </w:p>
    <w:tbl>
      <w:tblPr>
        <w:tblW w:w="9732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134"/>
        <w:gridCol w:w="2268"/>
        <w:gridCol w:w="1144"/>
        <w:gridCol w:w="3817"/>
      </w:tblGrid>
      <w:tr w:rsidR="000E2880" w:rsidTr="000E2880">
        <w:trPr>
          <w:trHeight w:val="187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:rsidR="000E2880" w:rsidRDefault="000E288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</w:tr>
      <w:tr w:rsidR="000E2880" w:rsidTr="000E2880">
        <w:trPr>
          <w:trHeight w:val="187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80" w:rsidRDefault="000E2880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880" w:rsidRDefault="000E2880">
            <w:pPr>
              <w:pStyle w:val="TAC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</w:tr>
      <w:tr w:rsidR="000E2880" w:rsidTr="000E2880">
        <w:trPr>
          <w:trHeight w:val="187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DC_48A-(n)48AA</w:t>
            </w:r>
            <w:r>
              <w:rPr>
                <w:vertAlign w:val="superscript"/>
                <w:lang w:eastAsia="zh-TW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DC_(n)48AA</w:t>
            </w:r>
            <w:r>
              <w:rPr>
                <w:vertAlign w:val="superscript"/>
                <w:lang w:eastAsia="zh-TW"/>
              </w:rPr>
              <w:t>2</w:t>
            </w:r>
          </w:p>
          <w:p w:rsidR="000E2880" w:rsidRDefault="000E288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DC_48A_n48A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en-GB"/>
              </w:rPr>
            </w:pPr>
            <w:r>
              <w:rPr>
                <w:color w:val="FF0000"/>
                <w:szCs w:val="18"/>
              </w:rPr>
              <w:t>See CA_48A-48A Bandwidth Combination Set 0 in TS 36.101 Table 5.6A.1-3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0E2880" w:rsidTr="000E2880">
        <w:trPr>
          <w:trHeight w:val="187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880" w:rsidRDefault="000E288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FF0000"/>
                <w:szCs w:val="18"/>
              </w:rPr>
              <w:t>See CA_48A-48A Bandwidth Combination Set 0 in TS 36.101 Table 5.6A.1-3</w:t>
            </w:r>
          </w:p>
        </w:tc>
      </w:tr>
    </w:tbl>
    <w:p w:rsidR="0091111A" w:rsidRDefault="0091111A"/>
    <w:p w:rsidR="0091111A" w:rsidRDefault="00BD4D3D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EE74D1">
        <w:rPr>
          <w:b/>
          <w:bCs/>
        </w:rPr>
        <w:t>3</w:t>
      </w:r>
      <w:r>
        <w:rPr>
          <w:rFonts w:hint="eastAsia"/>
          <w:b/>
          <w:bCs/>
        </w:rPr>
        <w:t xml:space="preserve">: RAN2 to confirm that for the case with both contiguous and non-contiguous part, the </w:t>
      </w:r>
      <w:r w:rsidR="000E2880">
        <w:rPr>
          <w:b/>
          <w:bCs/>
        </w:rPr>
        <w:t>NR</w:t>
      </w:r>
      <w:r>
        <w:rPr>
          <w:rFonts w:hint="eastAsia"/>
          <w:b/>
          <w:bCs/>
        </w:rPr>
        <w:t xml:space="preserve"> band Entry </w:t>
      </w:r>
      <w:r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</w:t>
      </w:r>
      <w:r w:rsidR="000E2880">
        <w:rPr>
          <w:b/>
          <w:bCs/>
        </w:rPr>
        <w:t>any LTE</w:t>
      </w:r>
      <w:r>
        <w:rPr>
          <w:rFonts w:hint="eastAsia"/>
          <w:b/>
          <w:bCs/>
        </w:rPr>
        <w:t xml:space="preserve"> band entry.</w:t>
      </w:r>
    </w:p>
    <w:p w:rsidR="0091111A" w:rsidRDefault="00BD4D3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Conclusion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91111A" w:rsidRDefault="00BD4D3D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EE74D1" w:rsidRDefault="00EE74D1" w:rsidP="00EE74D1">
      <w:pPr>
        <w:rPr>
          <w:b/>
          <w:bCs/>
        </w:rPr>
      </w:pPr>
      <w:r>
        <w:rPr>
          <w:rFonts w:hint="eastAsia"/>
          <w:b/>
          <w:bCs/>
        </w:rPr>
        <w:t>Observation 1: The solution 1 can be further optimized by indicating case 4 as contiguous and case 4a as both</w:t>
      </w:r>
    </w:p>
    <w:p w:rsidR="00EE74D1" w:rsidRDefault="00EE74D1" w:rsidP="00EE74D1">
      <w:pPr>
        <w:rPr>
          <w:b/>
          <w:bCs/>
        </w:rPr>
      </w:pPr>
      <w:r>
        <w:rPr>
          <w:rFonts w:hint="eastAsia"/>
          <w:b/>
          <w:bCs/>
        </w:rPr>
        <w:t>Proposal 1: The solution 1 (Ran 4 suggested solution) shall be limited to the BC that including bands with DL/UL in-consistence (e.g</w:t>
      </w:r>
      <w:r>
        <w:rPr>
          <w:b/>
          <w:bCs/>
        </w:rPr>
        <w:t>.</w:t>
      </w:r>
      <w:r>
        <w:rPr>
          <w:rFonts w:hint="eastAsia"/>
          <w:b/>
          <w:bCs/>
        </w:rPr>
        <w:t xml:space="preserve"> band 48) to reduce its impact.</w:t>
      </w:r>
    </w:p>
    <w:p w:rsidR="00EE7885" w:rsidRDefault="00EE7885" w:rsidP="00EE7885">
      <w:pPr>
        <w:rPr>
          <w:b/>
          <w:bCs/>
        </w:rPr>
      </w:pPr>
      <w:r>
        <w:rPr>
          <w:rFonts w:hint="eastAsia"/>
          <w:b/>
          <w:bCs/>
        </w:rPr>
        <w:t>Observation 2: To solve the potential NBC issue of the solution 2, it may require the UE that support case 3a/4a shall always support the case 3/4.</w:t>
      </w:r>
    </w:p>
    <w:p w:rsidR="00EE74D1" w:rsidRDefault="00EE74D1" w:rsidP="00EE74D1">
      <w:pPr>
        <w:rPr>
          <w:b/>
          <w:bCs/>
        </w:rPr>
      </w:pPr>
      <w:bookmarkStart w:id="2" w:name="_GoBack"/>
      <w:bookmarkEnd w:id="2"/>
      <w:r>
        <w:rPr>
          <w:rFonts w:hint="eastAsia"/>
          <w:b/>
          <w:bCs/>
        </w:rPr>
        <w:t>Proposal 2: RAN2 to confirm which solution is preferred based on the above O1/2 and P1.</w:t>
      </w:r>
    </w:p>
    <w:p w:rsidR="0091111A" w:rsidRDefault="00EE74D1" w:rsidP="00EE74D1">
      <w:pPr>
        <w:rPr>
          <w:b/>
          <w:bCs/>
        </w:rPr>
      </w:pPr>
      <w:r>
        <w:rPr>
          <w:rFonts w:hint="eastAsia"/>
          <w:b/>
          <w:bCs/>
        </w:rPr>
        <w:t xml:space="preserve">Proposal 2a: If solution2 was preferred, it can be further optimized by only introducing </w:t>
      </w:r>
      <w:r>
        <w:rPr>
          <w:rFonts w:hint="eastAsia"/>
          <w:b/>
          <w:bCs/>
          <w:lang w:eastAsia="en-GB"/>
        </w:rPr>
        <w:t>intrabandENDC-</w:t>
      </w:r>
      <w:r w:rsidRPr="00EE74D1">
        <w:rPr>
          <w:rFonts w:hint="eastAsia"/>
          <w:b/>
          <w:bCs/>
          <w:lang w:eastAsia="en-GB"/>
        </w:rPr>
        <w:t xml:space="preserve"> </w:t>
      </w:r>
      <w:r>
        <w:rPr>
          <w:rFonts w:hint="eastAsia"/>
          <w:b/>
          <w:bCs/>
          <w:lang w:eastAsia="en-GB"/>
        </w:rPr>
        <w:t>SupportUL-v17x</w:t>
      </w:r>
      <w:r>
        <w:rPr>
          <w:rFonts w:hint="eastAsia"/>
          <w:b/>
          <w:bCs/>
        </w:rPr>
        <w:t>.</w:t>
      </w:r>
    </w:p>
    <w:p w:rsidR="00EE74D1" w:rsidRDefault="00EE74D1" w:rsidP="00EE74D1">
      <w:pPr>
        <w:rPr>
          <w:b/>
          <w:bCs/>
        </w:rPr>
      </w:pPr>
      <w:r>
        <w:rPr>
          <w:rFonts w:hint="eastAsia"/>
          <w:b/>
          <w:bCs/>
        </w:rPr>
        <w:t>Observation 3: For the BC involves both contiguous and non-contiguous EN-DC, with the current signaling, the network can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know which LTE band Entry </w:t>
      </w:r>
      <w:r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NR band entry.</w:t>
      </w:r>
    </w:p>
    <w:p w:rsidR="00EE74D1" w:rsidRPr="00EE74D1" w:rsidRDefault="00EE74D1" w:rsidP="00EE74D1">
      <w:pPr>
        <w:rPr>
          <w:b/>
          <w:bCs/>
        </w:rPr>
      </w:pPr>
      <w:r>
        <w:rPr>
          <w:rFonts w:hint="eastAsia"/>
          <w:b/>
          <w:bCs/>
        </w:rPr>
        <w:lastRenderedPageBreak/>
        <w:t xml:space="preserve">Proposal </w:t>
      </w:r>
      <w:r>
        <w:rPr>
          <w:b/>
          <w:bCs/>
        </w:rPr>
        <w:t>3</w:t>
      </w:r>
      <w:r>
        <w:rPr>
          <w:rFonts w:hint="eastAsia"/>
          <w:b/>
          <w:bCs/>
        </w:rPr>
        <w:t xml:space="preserve">: RAN2 to confirm that for the case with both contiguous and non-contiguous part, the </w:t>
      </w:r>
      <w:r>
        <w:rPr>
          <w:b/>
          <w:bCs/>
        </w:rPr>
        <w:t>NR</w:t>
      </w:r>
      <w:r>
        <w:rPr>
          <w:rFonts w:hint="eastAsia"/>
          <w:b/>
          <w:bCs/>
        </w:rPr>
        <w:t xml:space="preserve"> band Entry </w:t>
      </w:r>
      <w:r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</w:t>
      </w:r>
      <w:r>
        <w:rPr>
          <w:b/>
          <w:bCs/>
        </w:rPr>
        <w:t>any LTE</w:t>
      </w:r>
      <w:r>
        <w:rPr>
          <w:rFonts w:hint="eastAsia"/>
          <w:b/>
          <w:bCs/>
        </w:rPr>
        <w:t xml:space="preserve"> band entry.</w:t>
      </w:r>
    </w:p>
    <w:p w:rsidR="0091111A" w:rsidRDefault="00BD4D3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91111A" w:rsidRDefault="00BD4D3D">
      <w:pPr>
        <w:numPr>
          <w:ilvl w:val="0"/>
          <w:numId w:val="11"/>
        </w:numPr>
        <w:rPr>
          <w:rFonts w:ascii="Arial" w:hAnsi="Arial" w:cs="Arial"/>
          <w:bCs/>
        </w:rPr>
      </w:pPr>
      <w:r>
        <w:rPr>
          <w:rFonts w:cs="Arial"/>
        </w:rPr>
        <w:t>R</w:t>
      </w:r>
      <w:r>
        <w:rPr>
          <w:rFonts w:cs="Arial" w:hint="eastAsia"/>
        </w:rPr>
        <w:t xml:space="preserve">4-2220837 </w:t>
      </w:r>
      <w:r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</w:t>
      </w:r>
      <w:r>
        <w:t xml:space="preserve"> </w:t>
      </w:r>
      <w:r>
        <w:rPr>
          <w:rFonts w:ascii="Arial" w:hAnsi="Arial" w:cs="Arial" w:hint="eastAsia"/>
        </w:rPr>
        <w:t>intraBandENDC</w:t>
      </w:r>
      <w:r>
        <w:rPr>
          <w:rFonts w:ascii="Arial" w:hAnsi="Arial" w:cs="Arial"/>
        </w:rPr>
        <w:t>-Support</w:t>
      </w:r>
      <w:r>
        <w:rPr>
          <w:rFonts w:ascii="Arial" w:hAnsi="Arial" w:cs="Arial" w:hint="eastAsia"/>
        </w:rPr>
        <w:t xml:space="preserve">  RAN4</w:t>
      </w:r>
    </w:p>
    <w:p w:rsidR="0091111A" w:rsidRDefault="00BD4D3D">
      <w:pPr>
        <w:numPr>
          <w:ilvl w:val="0"/>
          <w:numId w:val="11"/>
        </w:numPr>
        <w:rPr>
          <w:rFonts w:cs="Arial"/>
        </w:rPr>
      </w:pPr>
      <w:r>
        <w:rPr>
          <w:rFonts w:cs="Arial"/>
        </w:rPr>
        <w:t>R2-2213262</w:t>
      </w:r>
      <w:r>
        <w:rPr>
          <w:rFonts w:cs="Arial"/>
        </w:rPr>
        <w:tab/>
        <w:t>Introduction of intra-band EN-DC contigous capability for DL and UL</w:t>
      </w:r>
      <w:r>
        <w:rPr>
          <w:rFonts w:cs="Arial"/>
        </w:rPr>
        <w:tab/>
        <w:t>Huawei, HiSilicon</w:t>
      </w:r>
      <w:r>
        <w:rPr>
          <w:rFonts w:cs="Arial"/>
        </w:rPr>
        <w:tab/>
        <w:t>CR</w:t>
      </w:r>
      <w:r>
        <w:rPr>
          <w:rFonts w:cs="Arial"/>
        </w:rPr>
        <w:tab/>
        <w:t>Rel-17</w:t>
      </w:r>
      <w:r>
        <w:rPr>
          <w:rFonts w:cs="Arial"/>
        </w:rPr>
        <w:tab/>
        <w:t>38.331</w:t>
      </w:r>
      <w:r>
        <w:rPr>
          <w:rFonts w:cs="Arial"/>
        </w:rPr>
        <w:tab/>
        <w:t>17.2.0</w:t>
      </w:r>
      <w:r>
        <w:rPr>
          <w:rFonts w:cs="Arial"/>
        </w:rPr>
        <w:tab/>
        <w:t>3758</w:t>
      </w:r>
      <w:r>
        <w:rPr>
          <w:rFonts w:cs="Arial"/>
        </w:rPr>
        <w:tab/>
        <w:t>-</w:t>
      </w:r>
      <w:r>
        <w:rPr>
          <w:rFonts w:cs="Arial"/>
        </w:rPr>
        <w:tab/>
        <w:t>F</w:t>
      </w:r>
      <w:r>
        <w:rPr>
          <w:rFonts w:cs="Arial"/>
        </w:rPr>
        <w:tab/>
        <w:t>TEI17</w:t>
      </w:r>
    </w:p>
    <w:p w:rsidR="0091111A" w:rsidRPr="00EE7885" w:rsidRDefault="00BD4D3D" w:rsidP="00EE7885">
      <w:pPr>
        <w:numPr>
          <w:ilvl w:val="0"/>
          <w:numId w:val="11"/>
        </w:numPr>
        <w:rPr>
          <w:lang w:val="en-GB"/>
        </w:rPr>
      </w:pPr>
      <w:r w:rsidRPr="00EE7885">
        <w:rPr>
          <w:rFonts w:cs="Arial"/>
        </w:rPr>
        <w:t>R2-2213263</w:t>
      </w:r>
      <w:r w:rsidRPr="00EE7885">
        <w:rPr>
          <w:rFonts w:cs="Arial"/>
        </w:rPr>
        <w:tab/>
        <w:t>Introduction of intra-band EN-DC contigous capability for DL and UL</w:t>
      </w:r>
      <w:r w:rsidRPr="00EE7885">
        <w:rPr>
          <w:rFonts w:cs="Arial"/>
        </w:rPr>
        <w:tab/>
        <w:t>Huawei, HiSilicon</w:t>
      </w:r>
      <w:r w:rsidRPr="00EE7885">
        <w:rPr>
          <w:rFonts w:cs="Arial"/>
        </w:rPr>
        <w:tab/>
        <w:t>CR</w:t>
      </w:r>
      <w:r w:rsidRPr="00EE7885">
        <w:rPr>
          <w:rFonts w:cs="Arial"/>
        </w:rPr>
        <w:tab/>
        <w:t>Rel-17</w:t>
      </w:r>
      <w:r w:rsidRPr="00EE7885">
        <w:rPr>
          <w:rFonts w:cs="Arial"/>
        </w:rPr>
        <w:tab/>
        <w:t>38.306</w:t>
      </w:r>
      <w:r w:rsidRPr="00EE7885">
        <w:rPr>
          <w:rFonts w:cs="Arial"/>
        </w:rPr>
        <w:tab/>
        <w:t>17.2.0</w:t>
      </w:r>
      <w:r w:rsidRPr="00EE7885">
        <w:rPr>
          <w:rFonts w:cs="Arial"/>
        </w:rPr>
        <w:tab/>
        <w:t>0851</w:t>
      </w:r>
      <w:r w:rsidRPr="00EE7885">
        <w:rPr>
          <w:rFonts w:cs="Arial"/>
        </w:rPr>
        <w:tab/>
        <w:t>-</w:t>
      </w:r>
      <w:r w:rsidRPr="00EE7885">
        <w:rPr>
          <w:rFonts w:cs="Arial"/>
        </w:rPr>
        <w:tab/>
        <w:t>F</w:t>
      </w:r>
      <w:r w:rsidRPr="00EE7885">
        <w:rPr>
          <w:rFonts w:cs="Arial"/>
        </w:rPr>
        <w:tab/>
        <w:t>TEI17</w:t>
      </w:r>
    </w:p>
    <w:sectPr w:rsidR="0091111A" w:rsidRPr="00EE7885">
      <w:headerReference w:type="default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045" w:rsidRDefault="000C0045">
      <w:pPr>
        <w:spacing w:line="240" w:lineRule="auto"/>
      </w:pPr>
      <w:r>
        <w:separator/>
      </w:r>
    </w:p>
  </w:endnote>
  <w:endnote w:type="continuationSeparator" w:id="0">
    <w:p w:rsidR="000C0045" w:rsidRDefault="000C00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1A" w:rsidRDefault="0091111A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045" w:rsidRDefault="000C0045">
      <w:pPr>
        <w:spacing w:after="0"/>
      </w:pPr>
      <w:r>
        <w:separator/>
      </w:r>
    </w:p>
  </w:footnote>
  <w:footnote w:type="continuationSeparator" w:id="0">
    <w:p w:rsidR="000C0045" w:rsidRDefault="000C00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1A" w:rsidRDefault="0091111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7331B9"/>
    <w:multiLevelType w:val="singleLevel"/>
    <w:tmpl w:val="817331B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CBECE6D"/>
    <w:multiLevelType w:val="singleLevel"/>
    <w:tmpl w:val="ACBECE6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E2620BAF"/>
    <w:multiLevelType w:val="singleLevel"/>
    <w:tmpl w:val="E2620BAF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454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72899C"/>
    <w:multiLevelType w:val="singleLevel"/>
    <w:tmpl w:val="3F72899C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5E6361"/>
    <w:multiLevelType w:val="multilevel"/>
    <w:tmpl w:val="665E6361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10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0A25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045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880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14A0"/>
    <w:rsid w:val="005657FC"/>
    <w:rsid w:val="00567054"/>
    <w:rsid w:val="00567A9A"/>
    <w:rsid w:val="00570FEC"/>
    <w:rsid w:val="00571A8C"/>
    <w:rsid w:val="0057377D"/>
    <w:rsid w:val="005749AF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28C7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2BF6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4540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11A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5963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359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1399"/>
    <w:rsid w:val="00B025A0"/>
    <w:rsid w:val="00B029C1"/>
    <w:rsid w:val="00B03E14"/>
    <w:rsid w:val="00B043DA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4D3D"/>
    <w:rsid w:val="00BD4F3F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088C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E74D1"/>
    <w:rsid w:val="00EE7885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A44DDB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A177C5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CF65DC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8E6F70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DE7432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AF0DD8"/>
    <w:rsid w:val="32C750C6"/>
    <w:rsid w:val="32D86BA1"/>
    <w:rsid w:val="32DB0A60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DE42F7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300A8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B5B08"/>
    <w:rsid w:val="43FE396A"/>
    <w:rsid w:val="440B3EAF"/>
    <w:rsid w:val="44192256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6B0B29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31DA5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F1B2C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AB6680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1953E0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B717CB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22BC3E-ED50-43AD-998B-6676F827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C8A6E3-37C7-492B-B9DB-EA12F2EC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1410</Words>
  <Characters>8042</Characters>
  <Application>Microsoft Office Word</Application>
  <DocSecurity>0</DocSecurity>
  <Lines>67</Lines>
  <Paragraphs>18</Paragraphs>
  <ScaleCrop>false</ScaleCrop>
  <Company>www.zte.com.cn</Company>
  <LinksUpToDate>false</LinksUpToDate>
  <CharactersWithSpaces>9434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3</cp:revision>
  <cp:lastPrinted>2113-01-01T00:00:00Z</cp:lastPrinted>
  <dcterms:created xsi:type="dcterms:W3CDTF">2023-02-17T04:44:00Z</dcterms:created>
  <dcterms:modified xsi:type="dcterms:W3CDTF">2023-02-17T05:54:00Z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