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76E" w:rsidRDefault="00931792">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 xml:space="preserve">3GPP </w:t>
      </w:r>
      <w:r w:rsidR="00426DAD">
        <w:rPr>
          <w:rFonts w:eastAsia="宋体"/>
          <w:b/>
          <w:szCs w:val="22"/>
          <w:lang w:val="en-US" w:eastAsia="zh-CN" w:bidi="ar"/>
        </w:rPr>
        <w:t>TSG-RAN WG2 Meeting #121</w:t>
      </w:r>
      <w:r w:rsidR="00426DAD">
        <w:rPr>
          <w:rFonts w:eastAsia="宋体"/>
          <w:b/>
          <w:szCs w:val="22"/>
          <w:lang w:val="en-US" w:eastAsia="zh-CN" w:bidi="ar"/>
        </w:rPr>
        <w:tab/>
        <w:t>R2-2301708</w:t>
      </w:r>
    </w:p>
    <w:p w:rsidR="007B076E" w:rsidRDefault="00931792">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27 February – 3 March, 2023</w:t>
      </w:r>
    </w:p>
    <w:p w:rsidR="007B076E" w:rsidRDefault="007B076E">
      <w:pPr>
        <w:pStyle w:val="af3"/>
        <w:tabs>
          <w:tab w:val="right" w:pos="9645"/>
        </w:tabs>
        <w:spacing w:before="0" w:beforeAutospacing="0" w:after="0" w:afterAutospacing="0"/>
        <w:jc w:val="both"/>
        <w:rPr>
          <w:rFonts w:ascii="Arial" w:hAnsi="Arial" w:cs="Arial"/>
          <w:b/>
          <w:bCs/>
        </w:rPr>
      </w:pPr>
    </w:p>
    <w:p w:rsidR="007B076E" w:rsidRDefault="0093179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7B076E" w:rsidRDefault="0093179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Consideration on the IDC Capabilities</w:t>
      </w:r>
    </w:p>
    <w:p w:rsidR="007B076E" w:rsidRDefault="0093179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 xml:space="preserve">    </w:t>
      </w:r>
      <w:r>
        <w:rPr>
          <w:rFonts w:ascii="Arial" w:hAnsi="Arial" w:cs="Arial"/>
          <w:b/>
          <w:bCs/>
          <w:snapToGrid w:val="0"/>
          <w:kern w:val="0"/>
          <w:sz w:val="24"/>
        </w:rPr>
        <w:t>8.10.</w:t>
      </w:r>
      <w:r>
        <w:rPr>
          <w:rFonts w:ascii="Arial" w:hAnsi="Arial" w:cs="Arial" w:hint="eastAsia"/>
          <w:b/>
          <w:bCs/>
          <w:snapToGrid w:val="0"/>
          <w:kern w:val="0"/>
          <w:sz w:val="24"/>
        </w:rPr>
        <w:t>4</w:t>
      </w:r>
    </w:p>
    <w:p w:rsidR="007B076E" w:rsidRDefault="00931792">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B076E" w:rsidRDefault="0093179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7B076E" w:rsidRDefault="00931792">
      <w:r>
        <w:rPr>
          <w:rFonts w:hint="eastAsia"/>
        </w:rPr>
        <w:t>About the UE capability for the IDC, some legacy UE capabilit</w:t>
      </w:r>
      <w:r w:rsidR="00426DAD">
        <w:t>ies</w:t>
      </w:r>
      <w:r w:rsidR="00426DAD">
        <w:rPr>
          <w:rFonts w:hint="eastAsia"/>
        </w:rPr>
        <w:t xml:space="preserve"> w</w:t>
      </w:r>
      <w:r w:rsidR="00426DAD">
        <w:t>ere</w:t>
      </w:r>
      <w:r>
        <w:rPr>
          <w:rFonts w:hint="eastAsia"/>
        </w:rPr>
        <w:t xml:space="preserve"> defined as below.</w:t>
      </w:r>
    </w:p>
    <w:tbl>
      <w:tblPr>
        <w:tblStyle w:val="af5"/>
        <w:tblW w:w="0" w:type="auto"/>
        <w:tblLayout w:type="fixed"/>
        <w:tblLook w:val="04A0" w:firstRow="1" w:lastRow="0" w:firstColumn="1" w:lastColumn="0" w:noHBand="0" w:noVBand="1"/>
      </w:tblPr>
      <w:tblGrid>
        <w:gridCol w:w="2998"/>
        <w:gridCol w:w="6999"/>
      </w:tblGrid>
      <w:tr w:rsidR="007B076E">
        <w:tc>
          <w:tcPr>
            <w:tcW w:w="2998" w:type="dxa"/>
          </w:tcPr>
          <w:p w:rsidR="007B076E" w:rsidRDefault="00931792">
            <w:pPr>
              <w:spacing w:after="0" w:line="240" w:lineRule="exact"/>
              <w:ind w:left="422" w:hangingChars="200" w:hanging="422"/>
              <w:rPr>
                <w:b/>
                <w:bCs/>
                <w:szCs w:val="21"/>
              </w:rPr>
            </w:pPr>
            <w:bookmarkStart w:id="2" w:name="_Toc37152883"/>
            <w:bookmarkStart w:id="3" w:name="_Toc29241414"/>
            <w:bookmarkStart w:id="4" w:name="_Toc37236820"/>
            <w:r>
              <w:rPr>
                <w:rFonts w:hint="eastAsia"/>
                <w:b/>
                <w:bCs/>
                <w:szCs w:val="21"/>
              </w:rPr>
              <w:t>inDeviceCoexInd-r11</w:t>
            </w:r>
            <w:bookmarkEnd w:id="2"/>
            <w:bookmarkEnd w:id="3"/>
            <w:bookmarkEnd w:id="4"/>
          </w:p>
          <w:p w:rsidR="007B076E" w:rsidRDefault="007B076E"/>
        </w:tc>
        <w:tc>
          <w:tcPr>
            <w:tcW w:w="6999" w:type="dxa"/>
          </w:tcPr>
          <w:p w:rsidR="007B076E" w:rsidRDefault="00931792">
            <w:pPr>
              <w:spacing w:after="0" w:line="240" w:lineRule="exact"/>
              <w:ind w:leftChars="200" w:left="420"/>
            </w:pPr>
            <w:r>
              <w:rPr>
                <w:rFonts w:hint="eastAsia"/>
                <w:szCs w:val="21"/>
              </w:rPr>
              <w:t>This parameter defines whether the UE supports in-device coexistence indication as well as autonomous denial functionality as specified in TS 36.331 [5].</w:t>
            </w:r>
          </w:p>
        </w:tc>
      </w:tr>
      <w:tr w:rsidR="007B076E">
        <w:tc>
          <w:tcPr>
            <w:tcW w:w="2998" w:type="dxa"/>
          </w:tcPr>
          <w:p w:rsidR="007B076E" w:rsidRDefault="00931792">
            <w:pPr>
              <w:spacing w:after="0" w:line="240" w:lineRule="exact"/>
              <w:ind w:left="422" w:hangingChars="200" w:hanging="422"/>
              <w:rPr>
                <w:b/>
                <w:bCs/>
                <w:szCs w:val="21"/>
              </w:rPr>
            </w:pPr>
            <w:bookmarkStart w:id="5" w:name="_Toc37152889"/>
            <w:bookmarkStart w:id="6" w:name="_Toc37236826"/>
            <w:bookmarkStart w:id="7" w:name="_Toc29241420"/>
            <w:r>
              <w:rPr>
                <w:rFonts w:hint="eastAsia"/>
                <w:b/>
                <w:bCs/>
                <w:szCs w:val="21"/>
              </w:rPr>
              <w:t>inDeviceCoexInd-UL-CA-r11</w:t>
            </w:r>
            <w:bookmarkEnd w:id="5"/>
            <w:bookmarkEnd w:id="6"/>
            <w:bookmarkEnd w:id="7"/>
          </w:p>
          <w:p w:rsidR="007B076E" w:rsidRDefault="007B076E"/>
        </w:tc>
        <w:tc>
          <w:tcPr>
            <w:tcW w:w="6999" w:type="dxa"/>
          </w:tcPr>
          <w:p w:rsidR="007B076E" w:rsidRDefault="00931792">
            <w:pPr>
              <w:spacing w:after="0" w:line="240" w:lineRule="exact"/>
              <w:ind w:leftChars="200" w:left="420"/>
            </w:pPr>
            <w:r>
              <w:rPr>
                <w:rFonts w:hint="eastAsia"/>
                <w:szCs w:val="21"/>
              </w:rPr>
              <w:t xml:space="preserve">This parameter defines whether the UE supports UL CA related in-device coexistence indication as specified in TS 36.331 [5]. </w:t>
            </w:r>
            <w:r>
              <w:rPr>
                <w:rFonts w:hint="eastAsia"/>
                <w:szCs w:val="21"/>
                <w:lang w:eastAsia="en-GB"/>
              </w:rPr>
              <w:t>A UE that supports UL CA related in-device coexistence indication shall also support in-device coexistence indication.</w:t>
            </w:r>
          </w:p>
        </w:tc>
      </w:tr>
      <w:tr w:rsidR="007B076E">
        <w:tc>
          <w:tcPr>
            <w:tcW w:w="2998" w:type="dxa"/>
          </w:tcPr>
          <w:p w:rsidR="007B076E" w:rsidRDefault="00931792">
            <w:pPr>
              <w:spacing w:after="0" w:line="240" w:lineRule="exact"/>
              <w:ind w:left="422" w:hangingChars="200" w:hanging="422"/>
            </w:pPr>
            <w:bookmarkStart w:id="8" w:name="_Toc29241422"/>
            <w:bookmarkStart w:id="9" w:name="_Toc37236828"/>
            <w:bookmarkStart w:id="10" w:name="_Toc37152891"/>
            <w:r>
              <w:rPr>
                <w:rFonts w:hint="eastAsia"/>
                <w:b/>
                <w:bCs/>
                <w:szCs w:val="21"/>
              </w:rPr>
              <w:t>inDeviceCoexInd-HardwareSharingInd-r13</w:t>
            </w:r>
            <w:bookmarkEnd w:id="8"/>
            <w:bookmarkEnd w:id="9"/>
            <w:bookmarkEnd w:id="10"/>
          </w:p>
        </w:tc>
        <w:tc>
          <w:tcPr>
            <w:tcW w:w="6999" w:type="dxa"/>
          </w:tcPr>
          <w:p w:rsidR="007B076E" w:rsidRDefault="00931792">
            <w:pPr>
              <w:spacing w:after="0" w:line="240" w:lineRule="exact"/>
              <w:ind w:leftChars="200" w:left="420"/>
            </w:pPr>
            <w:r>
              <w:rPr>
                <w:rFonts w:hint="eastAsia"/>
                <w:szCs w:val="21"/>
              </w:rPr>
              <w:t>This parameter defines whether the UE supports hardware sharing indication as specified in TS 36.331 [5]. A UE that supports hardware sharing indication shall also indicate support of LAA operation.</w:t>
            </w:r>
          </w:p>
        </w:tc>
      </w:tr>
      <w:tr w:rsidR="007B076E">
        <w:tc>
          <w:tcPr>
            <w:tcW w:w="2998" w:type="dxa"/>
          </w:tcPr>
          <w:p w:rsidR="007B076E" w:rsidRDefault="00931792">
            <w:pPr>
              <w:spacing w:after="0" w:line="240" w:lineRule="exact"/>
              <w:ind w:left="422" w:hangingChars="200" w:hanging="422"/>
              <w:rPr>
                <w:b/>
                <w:bCs/>
                <w:szCs w:val="21"/>
              </w:rPr>
            </w:pPr>
            <w:bookmarkStart w:id="11" w:name="_Toc37152896"/>
            <w:bookmarkStart w:id="12" w:name="_Toc29241427"/>
            <w:bookmarkStart w:id="13" w:name="_Toc37236833"/>
            <w:r>
              <w:rPr>
                <w:rFonts w:hint="eastAsia"/>
                <w:b/>
                <w:bCs/>
                <w:szCs w:val="21"/>
              </w:rPr>
              <w:t>inDeviceCoexInd-ENDC-r15</w:t>
            </w:r>
            <w:bookmarkEnd w:id="11"/>
            <w:bookmarkEnd w:id="12"/>
            <w:bookmarkEnd w:id="13"/>
          </w:p>
          <w:p w:rsidR="007B076E" w:rsidRDefault="007B076E"/>
        </w:tc>
        <w:tc>
          <w:tcPr>
            <w:tcW w:w="6999" w:type="dxa"/>
          </w:tcPr>
          <w:p w:rsidR="007B076E" w:rsidRDefault="00931792">
            <w:pPr>
              <w:spacing w:after="0" w:line="240" w:lineRule="exact"/>
              <w:ind w:leftChars="200" w:left="420"/>
            </w:pPr>
            <w:r>
              <w:rPr>
                <w:rFonts w:hint="eastAsia"/>
                <w:szCs w:val="21"/>
              </w:rPr>
              <w:t>This parameter defines whether the UE supports in-device coexistence indication for EN-DC operation as specified in TS 36.331 [5]. A UE that supports in-device coexistence indication for EN-DC operation shall also support in-device coexistence indication.</w:t>
            </w:r>
          </w:p>
        </w:tc>
      </w:tr>
      <w:tr w:rsidR="007B076E">
        <w:tc>
          <w:tcPr>
            <w:tcW w:w="2998" w:type="dxa"/>
          </w:tcPr>
          <w:p w:rsidR="007B076E" w:rsidRDefault="00931792">
            <w:pPr>
              <w:spacing w:after="0" w:line="240" w:lineRule="exact"/>
              <w:ind w:left="422" w:hangingChars="200" w:hanging="422"/>
              <w:rPr>
                <w:b/>
                <w:bCs/>
                <w:szCs w:val="21"/>
              </w:rPr>
            </w:pPr>
            <w:r>
              <w:rPr>
                <w:rFonts w:hint="eastAsia"/>
                <w:b/>
                <w:bCs/>
                <w:szCs w:val="21"/>
              </w:rPr>
              <w:t>inDeviceCoexInd-r16</w:t>
            </w:r>
          </w:p>
          <w:p w:rsidR="007B076E" w:rsidRDefault="007B076E"/>
        </w:tc>
        <w:tc>
          <w:tcPr>
            <w:tcW w:w="6999" w:type="dxa"/>
          </w:tcPr>
          <w:p w:rsidR="007B076E" w:rsidRDefault="00931792">
            <w:pPr>
              <w:ind w:leftChars="200" w:left="420"/>
            </w:pPr>
            <w:r>
              <w:rPr>
                <w:rFonts w:hint="eastAsia"/>
                <w:szCs w:val="21"/>
              </w:rPr>
              <w:t>Indicates whether the UE supports IDC (In-Device Coexistence) assistance information as specified in TS 38.331 [9].</w:t>
            </w:r>
          </w:p>
        </w:tc>
      </w:tr>
    </w:tbl>
    <w:p w:rsidR="007B076E" w:rsidRDefault="00931792">
      <w:r>
        <w:rPr>
          <w:rFonts w:hint="eastAsia"/>
        </w:rPr>
        <w:t>.In this paper, we focus on the R18 IDC capability indication.</w:t>
      </w:r>
    </w:p>
    <w:p w:rsidR="007B076E" w:rsidRDefault="0093179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B076E" w:rsidRDefault="00931792">
      <w:pPr>
        <w:rPr>
          <w:rFonts w:eastAsia="宋体"/>
        </w:rPr>
      </w:pPr>
      <w:r>
        <w:rPr>
          <w:rFonts w:eastAsia="宋体" w:hint="eastAsia"/>
        </w:rPr>
        <w:t>For the R18 IDC capability reporting, we can discuss it from the below aspect:</w:t>
      </w:r>
    </w:p>
    <w:p w:rsidR="007B076E" w:rsidRDefault="00931792">
      <w:pPr>
        <w:numPr>
          <w:ilvl w:val="0"/>
          <w:numId w:val="5"/>
        </w:numPr>
        <w:rPr>
          <w:rFonts w:eastAsia="宋体"/>
        </w:rPr>
      </w:pPr>
      <w:r>
        <w:rPr>
          <w:rFonts w:eastAsia="宋体" w:hint="eastAsia"/>
        </w:rPr>
        <w:t xml:space="preserve">Whether there is a </w:t>
      </w:r>
      <w:r w:rsidR="00426DAD">
        <w:rPr>
          <w:rFonts w:eastAsia="宋体" w:hint="eastAsia"/>
        </w:rPr>
        <w:t>need to distinguish TDM and FDM</w:t>
      </w:r>
      <w:r>
        <w:rPr>
          <w:rFonts w:eastAsia="宋体" w:hint="eastAsia"/>
        </w:rPr>
        <w:t>?</w:t>
      </w:r>
    </w:p>
    <w:p w:rsidR="007B076E" w:rsidRDefault="00931792">
      <w:pPr>
        <w:numPr>
          <w:ilvl w:val="0"/>
          <w:numId w:val="5"/>
        </w:numPr>
        <w:rPr>
          <w:rFonts w:eastAsia="宋体"/>
        </w:rPr>
      </w:pPr>
      <w:r>
        <w:rPr>
          <w:rFonts w:eastAsia="宋体" w:hint="eastAsia"/>
        </w:rPr>
        <w:t>Whether there is a need to distinguish IMD and Adjacent Channel Interference?</w:t>
      </w:r>
    </w:p>
    <w:p w:rsidR="007B076E" w:rsidRDefault="00931792">
      <w:pPr>
        <w:numPr>
          <w:ilvl w:val="0"/>
          <w:numId w:val="5"/>
        </w:numPr>
        <w:rPr>
          <w:rFonts w:eastAsia="宋体"/>
        </w:rPr>
      </w:pPr>
      <w:r>
        <w:rPr>
          <w:rFonts w:eastAsia="宋体" w:hint="eastAsia"/>
        </w:rPr>
        <w:t>Whether there is a need to distinguish EN-DC and NR-DC?</w:t>
      </w:r>
    </w:p>
    <w:p w:rsidR="007B076E" w:rsidRPr="00426DAD" w:rsidRDefault="00931792">
      <w:r>
        <w:rPr>
          <w:rFonts w:hint="eastAsia"/>
        </w:rPr>
        <w:t xml:space="preserve">For the </w:t>
      </w:r>
      <w:r w:rsidR="00426DAD">
        <w:t>issue</w:t>
      </w:r>
      <w:r>
        <w:rPr>
          <w:rFonts w:hint="eastAsia"/>
        </w:rPr>
        <w:t xml:space="preserve"> 1, besides the autonomous denial, the network would not configure additional information for the TDM. The UE would report the TDM assistance information together with the Frequency band Info. Furthermore in the LTE, the autonomous denial capability was defined together with IDC capa</w:t>
      </w:r>
      <w:r w:rsidRPr="00426DAD">
        <w:rPr>
          <w:rFonts w:hint="eastAsia"/>
        </w:rPr>
        <w:t xml:space="preserve">bility. </w:t>
      </w:r>
      <w:r w:rsidR="00426DAD" w:rsidRPr="00426DAD">
        <w:t>Thus, there is no</w:t>
      </w:r>
      <w:bookmarkStart w:id="14" w:name="_GoBack"/>
      <w:bookmarkEnd w:id="14"/>
      <w:r w:rsidR="00426DAD" w:rsidRPr="00426DAD">
        <w:rPr>
          <w:rFonts w:hint="eastAsia"/>
          <w:bCs/>
        </w:rPr>
        <w:t xml:space="preserve"> need to distinguish TDM and FDM from the UE capability aspect.</w:t>
      </w:r>
    </w:p>
    <w:tbl>
      <w:tblPr>
        <w:tblStyle w:val="af5"/>
        <w:tblW w:w="0" w:type="auto"/>
        <w:tblInd w:w="935" w:type="dxa"/>
        <w:tblLayout w:type="fixed"/>
        <w:tblLook w:val="04A0" w:firstRow="1" w:lastRow="0" w:firstColumn="1" w:lastColumn="0" w:noHBand="0" w:noVBand="1"/>
      </w:tblPr>
      <w:tblGrid>
        <w:gridCol w:w="2063"/>
        <w:gridCol w:w="6999"/>
      </w:tblGrid>
      <w:tr w:rsidR="007B076E">
        <w:tc>
          <w:tcPr>
            <w:tcW w:w="2063" w:type="dxa"/>
          </w:tcPr>
          <w:p w:rsidR="007B076E" w:rsidRDefault="00931792" w:rsidP="00A53E0F">
            <w:pPr>
              <w:spacing w:after="0" w:line="240" w:lineRule="exact"/>
              <w:ind w:left="422" w:hangingChars="200" w:hanging="422"/>
            </w:pPr>
            <w:r>
              <w:rPr>
                <w:rFonts w:hint="eastAsia"/>
                <w:b/>
                <w:bCs/>
                <w:szCs w:val="21"/>
              </w:rPr>
              <w:t>inDeviceCoexInd-r11</w:t>
            </w:r>
          </w:p>
        </w:tc>
        <w:tc>
          <w:tcPr>
            <w:tcW w:w="6999" w:type="dxa"/>
          </w:tcPr>
          <w:p w:rsidR="007B076E" w:rsidRDefault="00931792">
            <w:pPr>
              <w:spacing w:after="0" w:line="240" w:lineRule="exact"/>
              <w:ind w:left="420" w:hangingChars="200" w:hanging="420"/>
            </w:pPr>
            <w:r>
              <w:rPr>
                <w:rFonts w:hint="eastAsia"/>
                <w:szCs w:val="21"/>
              </w:rPr>
              <w:t>This parameter defines whether the UE supports in-device coexistence indication as well as autonomous denial functionality as specified in TS 36.331 [5].</w:t>
            </w:r>
          </w:p>
        </w:tc>
      </w:tr>
    </w:tbl>
    <w:p w:rsidR="007B076E" w:rsidRDefault="00931792">
      <w:pPr>
        <w:rPr>
          <w:b/>
          <w:bCs/>
        </w:rPr>
      </w:pPr>
      <w:r>
        <w:rPr>
          <w:rFonts w:hint="eastAsia"/>
          <w:b/>
          <w:bCs/>
        </w:rPr>
        <w:lastRenderedPageBreak/>
        <w:t>Proposal 1: There is no need to distinguish TDM and FDM from the UE capability aspect.</w:t>
      </w:r>
    </w:p>
    <w:p w:rsidR="007B076E" w:rsidRDefault="00931792">
      <w:pPr>
        <w:rPr>
          <w:b/>
          <w:bCs/>
        </w:rPr>
      </w:pPr>
      <w:r>
        <w:rPr>
          <w:rFonts w:hint="eastAsia"/>
        </w:rPr>
        <w:t xml:space="preserve">For the bullet 2, in the LTE, the IMD interference and </w:t>
      </w:r>
      <w:r>
        <w:rPr>
          <w:rFonts w:eastAsia="宋体" w:hint="eastAsia"/>
        </w:rPr>
        <w:t xml:space="preserve">Adjacent Channel Interference were discussed at the different stage, thus 2 different capabilities </w:t>
      </w:r>
      <w:r w:rsidR="00426DAD">
        <w:rPr>
          <w:rFonts w:eastAsia="宋体"/>
        </w:rPr>
        <w:t>were</w:t>
      </w:r>
      <w:r>
        <w:rPr>
          <w:rFonts w:eastAsia="宋体" w:hint="eastAsia"/>
        </w:rPr>
        <w:t xml:space="preserve"> defined. In NR, the CA/DC are quite normal cases, </w:t>
      </w:r>
      <w:r w:rsidR="00426DAD">
        <w:rPr>
          <w:rFonts w:eastAsia="宋体"/>
        </w:rPr>
        <w:t xml:space="preserve">it’s not enough for </w:t>
      </w:r>
      <w:r>
        <w:rPr>
          <w:rFonts w:eastAsia="宋体" w:hint="eastAsia"/>
        </w:rPr>
        <w:t xml:space="preserve">the UE </w:t>
      </w:r>
      <w:r w:rsidR="00426DAD">
        <w:rPr>
          <w:rFonts w:eastAsia="宋体"/>
        </w:rPr>
        <w:t xml:space="preserve">to </w:t>
      </w:r>
      <w:r>
        <w:rPr>
          <w:rFonts w:eastAsia="宋体" w:hint="eastAsia"/>
        </w:rPr>
        <w:t xml:space="preserve">only report the </w:t>
      </w:r>
      <w:r w:rsidR="00426DAD">
        <w:rPr>
          <w:rFonts w:eastAsia="宋体"/>
        </w:rPr>
        <w:t>adjacent</w:t>
      </w:r>
      <w:r>
        <w:rPr>
          <w:rFonts w:eastAsia="宋体" w:hint="eastAsia"/>
        </w:rPr>
        <w:t xml:space="preserve"> channel interference. Thus it suggests the UE to report both the IMD interference and Adjacent Channel Int</w:t>
      </w:r>
      <w:r w:rsidR="00426DAD">
        <w:rPr>
          <w:rFonts w:eastAsia="宋体" w:hint="eastAsia"/>
        </w:rPr>
        <w:t>erference together. In other w</w:t>
      </w:r>
      <w:r w:rsidR="00426DAD">
        <w:rPr>
          <w:rFonts w:eastAsia="宋体"/>
        </w:rPr>
        <w:t>or</w:t>
      </w:r>
      <w:r>
        <w:rPr>
          <w:rFonts w:eastAsia="宋体" w:hint="eastAsia"/>
        </w:rPr>
        <w:t xml:space="preserve">ds, there is no need to distinguish </w:t>
      </w:r>
      <w:r>
        <w:rPr>
          <w:rFonts w:hint="eastAsia"/>
        </w:rPr>
        <w:t xml:space="preserve">IMD interference and </w:t>
      </w:r>
      <w:r>
        <w:rPr>
          <w:rFonts w:eastAsia="宋体" w:hint="eastAsia"/>
        </w:rPr>
        <w:t xml:space="preserve">Adjacent Channel Interference </w:t>
      </w:r>
      <w:r>
        <w:rPr>
          <w:rFonts w:hint="eastAsia"/>
        </w:rPr>
        <w:t>from the UE capability aspect.</w:t>
      </w:r>
    </w:p>
    <w:p w:rsidR="007B076E" w:rsidRDefault="00931792">
      <w:pPr>
        <w:rPr>
          <w:b/>
          <w:bCs/>
        </w:rPr>
      </w:pPr>
      <w:r>
        <w:rPr>
          <w:rFonts w:hint="eastAsia"/>
          <w:b/>
          <w:bCs/>
        </w:rPr>
        <w:t xml:space="preserve">Proposal 2: There is no need to distinguish IMD interference and </w:t>
      </w:r>
      <w:r>
        <w:rPr>
          <w:rFonts w:eastAsia="宋体" w:hint="eastAsia"/>
          <w:b/>
          <w:bCs/>
        </w:rPr>
        <w:t xml:space="preserve">Adjacent Channel Interference </w:t>
      </w:r>
      <w:r>
        <w:rPr>
          <w:rFonts w:hint="eastAsia"/>
          <w:b/>
          <w:bCs/>
        </w:rPr>
        <w:t>from the UE capability aspect.</w:t>
      </w:r>
    </w:p>
    <w:p w:rsidR="007B076E" w:rsidRDefault="00931792">
      <w:pPr>
        <w:rPr>
          <w:rFonts w:eastAsia="宋体"/>
        </w:rPr>
      </w:pPr>
      <w:r>
        <w:rPr>
          <w:rFonts w:eastAsia="宋体" w:hint="eastAsia"/>
        </w:rPr>
        <w:t>For the bullet 3, as discussed in the previous meeting, no enhancement to the LTE carrier would be introduced, and most companies prefer to reduce its impact to the LTE spec. Thus even for the EN-DC, the main enhancement would be at the NR side. Thus there is no motivation to distinguish EN-DC and NR-DC from UE capability aspect.</w:t>
      </w:r>
    </w:p>
    <w:p w:rsidR="007B076E" w:rsidRDefault="00931792">
      <w:pPr>
        <w:rPr>
          <w:b/>
          <w:bCs/>
        </w:rPr>
      </w:pPr>
      <w:r>
        <w:rPr>
          <w:rFonts w:hint="eastAsia"/>
          <w:b/>
          <w:bCs/>
        </w:rPr>
        <w:t xml:space="preserve">Proposal 3: There is no need to distinguish </w:t>
      </w:r>
      <w:r>
        <w:rPr>
          <w:rFonts w:eastAsia="宋体" w:hint="eastAsia"/>
          <w:b/>
          <w:bCs/>
        </w:rPr>
        <w:t xml:space="preserve">EN-DC and NR-DC </w:t>
      </w:r>
      <w:r>
        <w:rPr>
          <w:rFonts w:hint="eastAsia"/>
          <w:b/>
          <w:bCs/>
        </w:rPr>
        <w:t>from the UE capability aspect.</w:t>
      </w:r>
    </w:p>
    <w:p w:rsidR="007B076E" w:rsidRDefault="00931792">
      <w:pPr>
        <w:rPr>
          <w:rFonts w:eastAsia="宋体"/>
        </w:rPr>
      </w:pPr>
      <w:r>
        <w:rPr>
          <w:rFonts w:eastAsia="宋体" w:hint="eastAsia"/>
        </w:rPr>
        <w:t>Based on the proposal 1~3, we can see that only one capability is enough to indicate supporting of R18 IDC feature.</w:t>
      </w:r>
    </w:p>
    <w:p w:rsidR="007B076E" w:rsidRPr="00426DAD" w:rsidRDefault="00931792" w:rsidP="00426DAD">
      <w:pPr>
        <w:rPr>
          <w:rFonts w:eastAsia="宋体"/>
          <w:b/>
          <w:bCs/>
        </w:rPr>
      </w:pPr>
      <w:r>
        <w:rPr>
          <w:rFonts w:eastAsia="宋体" w:hint="eastAsia"/>
          <w:b/>
          <w:bCs/>
        </w:rPr>
        <w:t>Proposal 4</w:t>
      </w:r>
      <w:r>
        <w:rPr>
          <w:rFonts w:eastAsia="宋体" w:hint="eastAsia"/>
          <w:b/>
          <w:bCs/>
        </w:rPr>
        <w:t>：</w:t>
      </w:r>
      <w:r>
        <w:rPr>
          <w:rFonts w:eastAsia="宋体" w:hint="eastAsia"/>
          <w:b/>
          <w:bCs/>
        </w:rPr>
        <w:t>Introduce only one Capability to indicate supporting of R18 IDC feature.</w:t>
      </w:r>
      <w:r w:rsidR="00426DAD">
        <w:rPr>
          <w:rFonts w:eastAsia="宋体"/>
          <w:b/>
          <w:bCs/>
        </w:rPr>
        <w:tab/>
      </w:r>
    </w:p>
    <w:p w:rsidR="007B076E" w:rsidRDefault="0093179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B076E" w:rsidRDefault="00931792">
      <w:pPr>
        <w:spacing w:beforeLines="50" w:before="156"/>
      </w:pPr>
      <w:r>
        <w:rPr>
          <w:rFonts w:hint="eastAsia"/>
        </w:rPr>
        <w:t xml:space="preserve">With the above analysis, we have the following </w:t>
      </w:r>
      <w:r>
        <w:t>proposals</w:t>
      </w:r>
      <w:r>
        <w:rPr>
          <w:rFonts w:hint="eastAsia"/>
        </w:rPr>
        <w:t>:</w:t>
      </w:r>
    </w:p>
    <w:p w:rsidR="00426DAD" w:rsidRDefault="00426DAD" w:rsidP="00426DAD">
      <w:pPr>
        <w:rPr>
          <w:b/>
          <w:bCs/>
        </w:rPr>
      </w:pPr>
      <w:r>
        <w:rPr>
          <w:rFonts w:hint="eastAsia"/>
          <w:b/>
          <w:bCs/>
        </w:rPr>
        <w:t>Proposal 1: There is no need to distinguish TDM and FDM from the UE capability aspect.</w:t>
      </w:r>
    </w:p>
    <w:p w:rsidR="00426DAD" w:rsidRDefault="00426DAD" w:rsidP="00426DAD">
      <w:pPr>
        <w:rPr>
          <w:b/>
          <w:bCs/>
        </w:rPr>
      </w:pPr>
      <w:r>
        <w:rPr>
          <w:rFonts w:hint="eastAsia"/>
          <w:b/>
          <w:bCs/>
        </w:rPr>
        <w:t xml:space="preserve">Proposal 2: There is no need to distinguish IMD interference and </w:t>
      </w:r>
      <w:r>
        <w:rPr>
          <w:rFonts w:eastAsia="宋体" w:hint="eastAsia"/>
          <w:b/>
          <w:bCs/>
        </w:rPr>
        <w:t xml:space="preserve">Adjacent Channel Interference </w:t>
      </w:r>
      <w:r>
        <w:rPr>
          <w:rFonts w:hint="eastAsia"/>
          <w:b/>
          <w:bCs/>
        </w:rPr>
        <w:t>from the UE capability aspect.</w:t>
      </w:r>
    </w:p>
    <w:p w:rsidR="00426DAD" w:rsidRDefault="00426DAD" w:rsidP="00426DAD">
      <w:pPr>
        <w:rPr>
          <w:b/>
          <w:bCs/>
        </w:rPr>
      </w:pPr>
      <w:r>
        <w:rPr>
          <w:rFonts w:hint="eastAsia"/>
          <w:b/>
          <w:bCs/>
        </w:rPr>
        <w:t xml:space="preserve">Proposal 3: There is no need to distinguish </w:t>
      </w:r>
      <w:r>
        <w:rPr>
          <w:rFonts w:eastAsia="宋体" w:hint="eastAsia"/>
          <w:b/>
          <w:bCs/>
        </w:rPr>
        <w:t xml:space="preserve">EN-DC and NR-DC </w:t>
      </w:r>
      <w:r>
        <w:rPr>
          <w:rFonts w:hint="eastAsia"/>
          <w:b/>
          <w:bCs/>
        </w:rPr>
        <w:t>from the UE capability aspect.</w:t>
      </w:r>
    </w:p>
    <w:p w:rsidR="00426DAD" w:rsidRDefault="00426DAD" w:rsidP="00426DAD">
      <w:pPr>
        <w:rPr>
          <w:rFonts w:eastAsia="宋体"/>
          <w:b/>
          <w:bCs/>
        </w:rPr>
      </w:pPr>
      <w:r>
        <w:rPr>
          <w:rFonts w:eastAsia="宋体" w:hint="eastAsia"/>
          <w:b/>
          <w:bCs/>
        </w:rPr>
        <w:t>Proposal 4</w:t>
      </w:r>
      <w:r>
        <w:rPr>
          <w:rFonts w:eastAsia="宋体" w:hint="eastAsia"/>
          <w:b/>
          <w:bCs/>
        </w:rPr>
        <w:t>：</w:t>
      </w:r>
      <w:r>
        <w:rPr>
          <w:rFonts w:eastAsia="宋体" w:hint="eastAsia"/>
          <w:b/>
          <w:bCs/>
        </w:rPr>
        <w:t>Introduce only one Capability to indicate supporting of R18 IDC feature.</w:t>
      </w:r>
    </w:p>
    <w:sectPr w:rsidR="00426DAD">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C20" w:rsidRDefault="00E96C20">
      <w:pPr>
        <w:spacing w:line="240" w:lineRule="auto"/>
      </w:pPr>
      <w:r>
        <w:separator/>
      </w:r>
    </w:p>
  </w:endnote>
  <w:endnote w:type="continuationSeparator" w:id="0">
    <w:p w:rsidR="00E96C20" w:rsidRDefault="00E96C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76E" w:rsidRDefault="007B076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C20" w:rsidRDefault="00E96C20">
      <w:pPr>
        <w:spacing w:after="0"/>
      </w:pPr>
      <w:r>
        <w:separator/>
      </w:r>
    </w:p>
  </w:footnote>
  <w:footnote w:type="continuationSeparator" w:id="0">
    <w:p w:rsidR="00E96C20" w:rsidRDefault="00E96C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76E" w:rsidRDefault="007B076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762B17"/>
    <w:multiLevelType w:val="singleLevel"/>
    <w:tmpl w:val="91762B17"/>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6DAD"/>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76E"/>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31792"/>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3E0F"/>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96C20"/>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3C13BD"/>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A37E0D"/>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EF574FF"/>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E75D1"/>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0D7068"/>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977B42"/>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5676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9FB13B3"/>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E9C3FC-FC5D-4D16-9B7B-4279D98B0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F36A9-13B3-4240-9A3A-42D9074E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3543</Characters>
  <Application>Microsoft Office Word</Application>
  <DocSecurity>0</DocSecurity>
  <Lines>29</Lines>
  <Paragraphs>8</Paragraphs>
  <ScaleCrop>false</ScaleCrop>
  <Company>www.zte.com.cn</Company>
  <LinksUpToDate>false</LinksUpToDate>
  <CharactersWithSpaces>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2023-02-17T05:03:00Z</dcterms:created>
  <dcterms:modified xsi:type="dcterms:W3CDTF">2023-02-17T05:49:00Z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