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TSG-RAN WG2 Meeting #121</w:t>
      </w:r>
      <w:r>
        <w:rPr>
          <w:rFonts w:eastAsia="宋体"/>
          <w:b/>
          <w:szCs w:val="22"/>
          <w:lang w:val="en-US" w:eastAsia="zh-CN" w:bidi="ar"/>
        </w:rPr>
        <w:tab/>
      </w:r>
      <w:r>
        <w:rPr>
          <w:rFonts w:eastAsia="宋体"/>
          <w:b/>
          <w:szCs w:val="22"/>
          <w:lang w:val="en-US" w:eastAsia="zh-CN" w:bidi="ar"/>
        </w:rPr>
        <w:t>R2-2301706</w:t>
      </w:r>
    </w:p>
    <w:p>
      <w:pPr>
        <w:pStyle w:val="53"/>
        <w:tabs>
          <w:tab w:val="right" w:pos="9645"/>
        </w:tabs>
        <w:spacing w:before="0" w:beforeAutospacing="0" w:after="0" w:afterAutospacing="0"/>
        <w:jc w:val="both"/>
        <w:outlineLvl w:val="0"/>
        <w:rPr>
          <w:rFonts w:eastAsia="宋体"/>
          <w:b/>
          <w:szCs w:val="22"/>
          <w:lang w:val="en-US" w:eastAsia="zh-CN" w:bidi="ar"/>
        </w:rPr>
      </w:pPr>
      <w:r>
        <w:rPr>
          <w:rFonts w:eastAsia="宋体"/>
          <w:b/>
          <w:szCs w:val="22"/>
          <w:lang w:val="en-US" w:eastAsia="zh-CN" w:bidi="ar"/>
        </w:rPr>
        <w:t>27 February – 3 March, 2023</w:t>
      </w:r>
    </w:p>
    <w:p>
      <w:pPr>
        <w:overflowPunct w:val="0"/>
        <w:autoSpaceDE w:val="0"/>
        <w:autoSpaceDN w:val="0"/>
        <w:adjustRightInd w:val="0"/>
        <w:snapToGrid w:val="0"/>
        <w:spacing w:before="156" w:beforeLines="50" w:line="240" w:lineRule="auto"/>
        <w:textAlignment w:val="baseline"/>
        <w:rPr>
          <w:rFonts w:ascii="Arial" w:hAnsi="Arial" w:cs="Arial"/>
          <w:b/>
          <w:bCs/>
          <w:kern w:val="0"/>
          <w:sz w:val="24"/>
        </w:rPr>
      </w:pPr>
    </w:p>
    <w:p>
      <w:pPr>
        <w:overflowPunct w:val="0"/>
        <w:autoSpaceDE w:val="0"/>
        <w:autoSpaceDN w:val="0"/>
        <w:adjustRightInd w:val="0"/>
        <w:snapToGrid w:val="0"/>
        <w:spacing w:before="156" w:beforeLines="50"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jc w:val="left"/>
        <w:rPr>
          <w:rFonts w:ascii="Arial" w:hAnsi="Arial"/>
          <w:color w:val="000000"/>
          <w:sz w:val="16"/>
        </w:rPr>
      </w:pPr>
      <w:r>
        <w:rPr>
          <w:rFonts w:ascii="Arial" w:hAnsi="Arial" w:cs="Arial"/>
          <w:b/>
          <w:bCs/>
          <w:snapToGrid w:val="0"/>
          <w:kern w:val="0"/>
          <w:sz w:val="24"/>
        </w:rPr>
        <w:t xml:space="preserve">Title: </w:t>
      </w:r>
      <w:r>
        <w:rPr>
          <w:rFonts w:hint="eastAsia" w:ascii="Arial" w:hAnsi="Arial" w:cs="Arial"/>
          <w:b/>
          <w:bCs/>
          <w:snapToGrid w:val="0"/>
          <w:kern w:val="0"/>
          <w:sz w:val="24"/>
        </w:rPr>
        <w:t xml:space="preserve">          </w:t>
      </w:r>
      <w:r>
        <w:rPr>
          <w:rFonts w:ascii="Arial" w:hAnsi="Arial" w:cs="Arial"/>
          <w:b/>
          <w:bCs/>
          <w:snapToGrid w:val="0"/>
          <w:kern w:val="0"/>
          <w:sz w:val="24"/>
        </w:rPr>
        <w:tab/>
      </w:r>
      <w:r>
        <w:rPr>
          <w:rFonts w:hint="eastAsia" w:ascii="Arial" w:hAnsi="Arial" w:cs="Arial"/>
          <w:b/>
          <w:bCs/>
          <w:snapToGrid w:val="0"/>
          <w:kern w:val="0"/>
          <w:sz w:val="24"/>
        </w:rPr>
        <w:t xml:space="preserve">Further Consideration on the IDC FDM </w:t>
      </w:r>
      <w:r>
        <w:rPr>
          <w:rFonts w:ascii="Arial" w:hAnsi="Arial" w:cs="Arial"/>
          <w:b/>
          <w:bCs/>
          <w:snapToGrid w:val="0"/>
          <w:kern w:val="0"/>
          <w:sz w:val="24"/>
        </w:rPr>
        <w:t>S</w:t>
      </w:r>
      <w:r>
        <w:rPr>
          <w:rFonts w:hint="eastAsia" w:ascii="Arial" w:hAnsi="Arial" w:cs="Arial"/>
          <w:b/>
          <w:bCs/>
          <w:snapToGrid w:val="0"/>
          <w:kern w:val="0"/>
          <w:sz w:val="24"/>
        </w:rPr>
        <w:t>olutions</w:t>
      </w:r>
    </w:p>
    <w:p>
      <w:pPr>
        <w:overflowPunct w:val="0"/>
        <w:autoSpaceDE w:val="0"/>
        <w:autoSpaceDN w:val="0"/>
        <w:adjustRightInd w:val="0"/>
        <w:snapToGrid w:val="0"/>
        <w:spacing w:before="156" w:beforeLines="50"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8.10.2</w:t>
      </w:r>
    </w:p>
    <w:p>
      <w:pPr>
        <w:overflowPunct w:val="0"/>
        <w:autoSpaceDE w:val="0"/>
        <w:autoSpaceDN w:val="0"/>
        <w:adjustRightInd w:val="0"/>
        <w:snapToGrid w:val="0"/>
        <w:spacing w:before="156" w:beforeLines="50"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pPr>
      <w:r>
        <w:rPr>
          <w:rFonts w:ascii="Arial" w:hAnsi="Arial" w:cs="Arial"/>
          <w:b w:val="0"/>
          <w:bCs w:val="0"/>
          <w:kern w:val="0"/>
          <w:sz w:val="32"/>
          <w:szCs w:val="36"/>
        </w:rPr>
        <w:t>Introductio</w:t>
      </w:r>
      <w:r>
        <w:rPr>
          <w:rFonts w:hint="eastAsia" w:ascii="Arial" w:hAnsi="Arial" w:cs="Arial"/>
          <w:b w:val="0"/>
          <w:bCs w:val="0"/>
          <w:kern w:val="0"/>
          <w:sz w:val="32"/>
          <w:szCs w:val="36"/>
        </w:rPr>
        <w:t>n</w:t>
      </w:r>
    </w:p>
    <w:p>
      <w:r>
        <w:rPr>
          <w:rFonts w:hint="eastAsia"/>
        </w:rPr>
        <w:t xml:space="preserve">In the previous meeting, many agreements were achieved for the IDC FDM enhancement. In the last meeting, for the MR-DC, it has been agreed that </w:t>
      </w:r>
      <w:r>
        <w:t>MN can configure IDC</w:t>
      </w:r>
      <w:r>
        <w:rPr>
          <w:rFonts w:hint="eastAsia"/>
        </w:rPr>
        <w:t>. About</w:t>
      </w:r>
      <w:r>
        <w:t xml:space="preserve"> whether SN can configure IDC for SN</w:t>
      </w:r>
      <w:r>
        <w:rPr>
          <w:rFonts w:hint="eastAsia"/>
        </w:rPr>
        <w:t>, it was left a post email discussion together with the FDM enhancement impact on the MR-DC coordination. According to the summary of this post meeting email discussion, 3 proposals were given as below for the MR-DC coordination.</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rPr>
                <w:lang w:eastAsia="en-US"/>
              </w:rPr>
            </w:pPr>
            <w:r>
              <w:rPr>
                <w:lang w:eastAsia="en-US"/>
              </w:rPr>
              <w:t>Proposal 6: [To agree] [9/11] In MR-DC scenarios, SN can also configure the UE for IDC reporting, including both FDM and TDM solution.</w:t>
            </w:r>
          </w:p>
          <w:p>
            <w:pPr>
              <w:rPr>
                <w:lang w:eastAsia="en-US"/>
              </w:rPr>
            </w:pPr>
            <w:r>
              <w:rPr>
                <w:lang w:eastAsia="en-US"/>
              </w:rPr>
              <w:t>Proposal 7: [To agree] [8/11] RAN 2 agrees that no additional co-ordination is needed for IDC configuration, apart from the existing mechanism between MN and SN.</w:t>
            </w:r>
          </w:p>
          <w:p>
            <w:pPr>
              <w:rPr>
                <w:lang w:eastAsia="en-US"/>
              </w:rPr>
            </w:pPr>
            <w:r>
              <w:rPr>
                <w:lang w:eastAsia="en-US"/>
              </w:rPr>
              <w:t>Proposal 8: [To discuss] RAN 2 further discuss whether the inter node co-ordination for IDC solutions to address the IMD issue where combination of frequencies involving MN and SN are affected is needed.</w:t>
            </w:r>
          </w:p>
        </w:tc>
      </w:tr>
    </w:tbl>
    <w:p>
      <w:r>
        <w:rPr>
          <w:rFonts w:hint="eastAsia"/>
        </w:rPr>
        <w:t>In this paper, we</w:t>
      </w:r>
      <w:r>
        <w:t>’</w:t>
      </w:r>
      <w:r>
        <w:rPr>
          <w:rFonts w:hint="eastAsia"/>
        </w:rPr>
        <w:t>d like to share our further thinking on the IDC enhancement impact to the MR-DC.</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pPr>
        <w:widowControl/>
        <w:overflowPunct w:val="0"/>
        <w:autoSpaceDE w:val="0"/>
        <w:autoSpaceDN w:val="0"/>
        <w:adjustRightInd w:val="0"/>
        <w:spacing w:after="180" w:line="240" w:lineRule="auto"/>
        <w:textAlignment w:val="baseline"/>
        <w:rPr>
          <w:rFonts w:hint="eastAsia"/>
        </w:rPr>
      </w:pPr>
      <w:r>
        <w:rPr>
          <w:rFonts w:hint="eastAsia"/>
        </w:rPr>
        <w:t>In this chapter, we first share our understanding on the MN configured IDC, then discuss whether and how does the SN configure the UE for the IDC reporting, at last we analyze the FDM enhancement impact on the MR-DC coordination</w:t>
      </w:r>
      <w:r>
        <w:t xml:space="preserve"> and also its potential impact on the RAN3.</w:t>
      </w:r>
    </w:p>
    <w:p>
      <w:pPr>
        <w:pStyle w:val="3"/>
        <w:ind w:left="0" w:firstLine="0"/>
        <w:rPr>
          <w:rFonts w:ascii="Times New Roman" w:hAnsi="Times New Roman"/>
          <w:lang w:val="en-US"/>
        </w:rPr>
      </w:pPr>
      <w:r>
        <w:rPr>
          <w:rFonts w:hint="eastAsia" w:ascii="Times New Roman" w:hAnsi="Times New Roman"/>
          <w:lang w:val="en-US"/>
        </w:rPr>
        <w:t>2.1 MN Config the IDC</w:t>
      </w:r>
    </w:p>
    <w:p>
      <w:r>
        <w:rPr>
          <w:rFonts w:hint="eastAsia"/>
        </w:rPr>
        <w:t>As agree</w:t>
      </w:r>
      <w:r>
        <w:t>d</w:t>
      </w:r>
      <w:r>
        <w:rPr>
          <w:rFonts w:hint="eastAsia"/>
        </w:rPr>
        <w:t xml:space="preserve"> in the last meeting, IDC configured by the MN shall be supported. So in this sub-chapter, we share our views on MN configured IDC procedure. According how to indicate the candidate Frequency list of MN and SN, generally, there are 2 options:</w:t>
      </w:r>
    </w:p>
    <w:p>
      <w:pPr>
        <w:numPr>
          <w:ilvl w:val="0"/>
          <w:numId w:val="5"/>
        </w:numPr>
        <w:rPr>
          <w:bCs/>
        </w:rPr>
      </w:pPr>
      <w:r>
        <w:rPr>
          <w:rFonts w:hint="eastAsia"/>
          <w:bCs/>
        </w:rPr>
        <w:t>Option 1: Similar to the legacy EN-DC IDC reporting, the MN indicates the candidate frequency list from both MN and SN with one list to the UE</w:t>
      </w:r>
    </w:p>
    <w:p>
      <w:pPr>
        <w:numPr>
          <w:ilvl w:val="0"/>
          <w:numId w:val="5"/>
        </w:numPr>
        <w:rPr>
          <w:bCs/>
        </w:rPr>
      </w:pPr>
      <w:r>
        <w:rPr>
          <w:rFonts w:hint="eastAsia"/>
          <w:bCs/>
        </w:rPr>
        <w:t>Option 2: The MN indicates the candidate frequency list from the MN and SN separately to the UE</w:t>
      </w:r>
    </w:p>
    <w:p>
      <w:pPr>
        <w:rPr>
          <w:b/>
          <w:bCs/>
          <w:i/>
          <w:iCs/>
          <w:u w:val="single"/>
        </w:rPr>
      </w:pPr>
      <w:r>
        <w:rPr>
          <w:rFonts w:hint="eastAsia"/>
          <w:b/>
          <w:bCs/>
          <w:i/>
          <w:iCs/>
          <w:u w:val="single"/>
        </w:rPr>
        <w:t>Procedure for the option 1</w:t>
      </w:r>
    </w:p>
    <w:p>
      <w:pPr>
        <w:jc w:val="center"/>
      </w:pPr>
      <w:r>
        <w:object>
          <v:shape id="_x0000_i1025" o:spt="75" type="#_x0000_t75" style="height:227.25pt;width:350.25pt;" o:ole="t" filled="f" o:preferrelative="t" stroked="f" coordsize="21600,21600">
            <v:path/>
            <v:fill on="f" focussize="0,0"/>
            <v:stroke on="f" joinstyle="miter"/>
            <v:imagedata r:id="rId9" o:title=""/>
            <o:lock v:ext="edit" aspectratio="f"/>
            <w10:wrap type="none"/>
            <w10:anchorlock/>
          </v:shape>
          <o:OLEObject Type="Embed" ProgID="Visio.Drawing.15" ShapeID="_x0000_i1025" DrawAspect="Content" ObjectID="_1468075725" r:id="rId8">
            <o:LockedField>false</o:LockedField>
          </o:OLEObject>
        </w:object>
      </w:r>
    </w:p>
    <w:p>
      <w:pPr>
        <w:jc w:val="center"/>
        <w:rPr>
          <w:b/>
          <w:bCs/>
        </w:rPr>
      </w:pPr>
      <w:r>
        <w:rPr>
          <w:rFonts w:hint="eastAsia"/>
          <w:b/>
          <w:bCs/>
        </w:rPr>
        <w:t>Fig 1:</w:t>
      </w:r>
      <w:r>
        <w:rPr>
          <w:b/>
          <w:bCs/>
        </w:rPr>
        <w:t xml:space="preserve"> </w:t>
      </w:r>
      <w:r>
        <w:rPr>
          <w:rFonts w:hint="eastAsia"/>
          <w:b/>
          <w:bCs/>
        </w:rPr>
        <w:t>Option 1 One Candidate Frequency list</w:t>
      </w:r>
    </w:p>
    <w:tbl>
      <w:tblPr>
        <w:tblStyle w:val="57"/>
        <w:tblW w:w="0" w:type="auto"/>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4" w:type="dxa"/>
          </w:tcPr>
          <w:p>
            <w:pPr>
              <w:jc w:val="left"/>
              <w:rPr>
                <w:lang w:eastAsia="en-US"/>
              </w:rPr>
            </w:pPr>
            <w:r>
              <w:rPr>
                <w:rFonts w:hint="eastAsia"/>
                <w:lang w:eastAsia="en-US"/>
              </w:rPr>
              <w:t>Step 1: SN indicate the candidate frequency list to the MN</w:t>
            </w:r>
          </w:p>
          <w:p>
            <w:pPr>
              <w:jc w:val="left"/>
              <w:rPr>
                <w:lang w:eastAsia="en-US"/>
              </w:rPr>
            </w:pPr>
            <w:r>
              <w:rPr>
                <w:rFonts w:hint="eastAsia"/>
                <w:lang w:eastAsia="en-US"/>
              </w:rPr>
              <w:t>Step 2: MN indicates the candidate frequency list ( include both the candidate frequency for the MN and SN) to the UE</w:t>
            </w:r>
          </w:p>
          <w:p>
            <w:pPr>
              <w:jc w:val="left"/>
              <w:rPr>
                <w:lang w:eastAsia="en-US"/>
              </w:rPr>
            </w:pPr>
            <w:r>
              <w:rPr>
                <w:rFonts w:hint="eastAsia"/>
                <w:lang w:eastAsia="en-US"/>
              </w:rPr>
              <w:t>Step 3: UE report the IDC that related to the carriers within the candidate frequency list.</w:t>
            </w:r>
          </w:p>
          <w:p>
            <w:pPr>
              <w:jc w:val="left"/>
              <w:rPr>
                <w:b/>
                <w:bCs/>
                <w:lang w:eastAsia="en-US"/>
              </w:rPr>
            </w:pPr>
            <w:r>
              <w:rPr>
                <w:rFonts w:hint="eastAsia"/>
                <w:lang w:eastAsia="en-US"/>
              </w:rPr>
              <w:t>Step 4</w:t>
            </w:r>
            <w:bookmarkStart w:id="2" w:name="OLE_LINK2"/>
            <w:r>
              <w:rPr>
                <w:rFonts w:hint="eastAsia"/>
                <w:lang w:eastAsia="en-US"/>
              </w:rPr>
              <w:t>: The MN forward the IDC that only related to the SN indicated candidate frequencies to the SN</w:t>
            </w:r>
            <w:bookmarkEnd w:id="2"/>
            <w:r>
              <w:rPr>
                <w:rFonts w:hint="eastAsia"/>
                <w:lang w:eastAsia="en-US"/>
              </w:rPr>
              <w:t xml:space="preserve">. (or all of the UE reported IDC)  </w:t>
            </w:r>
          </w:p>
        </w:tc>
      </w:tr>
    </w:tbl>
    <w:p>
      <w:r>
        <w:rPr>
          <w:rFonts w:hint="eastAsia"/>
        </w:rPr>
        <w:t xml:space="preserve">    </w:t>
      </w:r>
    </w:p>
    <w:p>
      <w:pPr>
        <w:rPr>
          <w:b/>
          <w:bCs/>
          <w:i/>
          <w:iCs/>
          <w:u w:val="single"/>
        </w:rPr>
      </w:pPr>
      <w:r>
        <w:rPr>
          <w:rFonts w:hint="eastAsia"/>
          <w:b/>
          <w:bCs/>
          <w:i/>
          <w:iCs/>
          <w:u w:val="single"/>
        </w:rPr>
        <w:t>Procedure for the option 2</w:t>
      </w:r>
    </w:p>
    <w:p>
      <w:pPr>
        <w:tabs>
          <w:tab w:val="left" w:pos="2561"/>
        </w:tabs>
        <w:jc w:val="center"/>
      </w:pPr>
      <w:bookmarkStart w:id="3" w:name="OLE_LINK1"/>
      <w:r>
        <w:object>
          <v:shape id="_x0000_i1026" o:spt="75" type="#_x0000_t75" style="height:205.5pt;width:373.5pt;" o:ole="t" filled="f" o:preferrelative="t" stroked="f" coordsize="21600,21600">
            <v:path/>
            <v:fill on="f" focussize="0,0"/>
            <v:stroke on="f" joinstyle="miter"/>
            <v:imagedata r:id="rId11" o:title=""/>
            <o:lock v:ext="edit" aspectratio="f"/>
            <w10:wrap type="none"/>
            <w10:anchorlock/>
          </v:shape>
          <o:OLEObject Type="Embed" ProgID="Visio.Drawing.15" ShapeID="_x0000_i1026" DrawAspect="Content" ObjectID="_1468075726" r:id="rId10">
            <o:LockedField>false</o:LockedField>
          </o:OLEObject>
        </w:object>
      </w:r>
      <w:bookmarkEnd w:id="3"/>
    </w:p>
    <w:p>
      <w:pPr>
        <w:jc w:val="center"/>
        <w:rPr>
          <w:b/>
          <w:bCs/>
        </w:rPr>
      </w:pPr>
      <w:r>
        <w:rPr>
          <w:rFonts w:hint="eastAsia"/>
          <w:b/>
          <w:bCs/>
        </w:rPr>
        <w:t>Fig 1b: Option 2 Separate frequency list</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rPr>
                <w:lang w:eastAsia="en-US"/>
              </w:rPr>
            </w:pPr>
            <w:r>
              <w:rPr>
                <w:rFonts w:hint="eastAsia"/>
                <w:lang w:eastAsia="en-US"/>
              </w:rPr>
              <w:t>Step 1: SN indicate the candidate frequency list to the MN</w:t>
            </w:r>
          </w:p>
          <w:p>
            <w:pPr>
              <w:rPr>
                <w:lang w:eastAsia="en-US"/>
              </w:rPr>
            </w:pPr>
            <w:r>
              <w:rPr>
                <w:rFonts w:hint="eastAsia"/>
                <w:lang w:eastAsia="en-US"/>
              </w:rPr>
              <w:t>Step 2: MN indicates the candidate frequency lists (e.g. one for MN and the other for SN) to the UE</w:t>
            </w:r>
          </w:p>
          <w:p>
            <w:pPr>
              <w:rPr>
                <w:lang w:eastAsia="en-US"/>
              </w:rPr>
            </w:pPr>
            <w:r>
              <w:rPr>
                <w:rFonts w:hint="eastAsia"/>
                <w:lang w:eastAsia="en-US"/>
              </w:rPr>
              <w:t>Step 3: UE report the IDC for the MN/SN/MR-DC respectively</w:t>
            </w:r>
          </w:p>
          <w:p>
            <w:pPr>
              <w:rPr>
                <w:b/>
                <w:bCs/>
                <w:lang w:eastAsia="en-US"/>
              </w:rPr>
            </w:pPr>
            <w:r>
              <w:rPr>
                <w:rFonts w:hint="eastAsia"/>
                <w:lang w:eastAsia="en-US"/>
              </w:rPr>
              <w:t>Step 4: The MN forward the IDC that only related to the SN indicated candidate frequencies to the SN.</w:t>
            </w:r>
          </w:p>
        </w:tc>
      </w:tr>
    </w:tbl>
    <w:p>
      <w:pPr>
        <w:rPr>
          <w:b/>
          <w:bCs/>
        </w:rPr>
      </w:pPr>
      <w:r>
        <w:rPr>
          <w:rFonts w:hint="eastAsia"/>
          <w:b/>
          <w:bCs/>
        </w:rPr>
        <w:t>Proposal 1: Ran2 to confirm which option shall be selected as baseline for the MN configured IDC procedure.</w:t>
      </w:r>
    </w:p>
    <w:p>
      <w:pPr>
        <w:numPr>
          <w:ilvl w:val="0"/>
          <w:numId w:val="5"/>
        </w:numPr>
        <w:rPr>
          <w:b/>
          <w:bCs/>
        </w:rPr>
      </w:pPr>
      <w:r>
        <w:rPr>
          <w:rFonts w:hint="eastAsia"/>
          <w:b/>
          <w:bCs/>
        </w:rPr>
        <w:t>Option 1: Similar to the legacy EN-DC IDC reporting, the MN indicates the candidate frequency list from both MN and SN with one list to the UE</w:t>
      </w:r>
    </w:p>
    <w:p>
      <w:pPr>
        <w:numPr>
          <w:ilvl w:val="0"/>
          <w:numId w:val="5"/>
        </w:numPr>
        <w:rPr>
          <w:b/>
          <w:bCs/>
        </w:rPr>
      </w:pPr>
      <w:r>
        <w:rPr>
          <w:rFonts w:hint="eastAsia"/>
          <w:b/>
          <w:bCs/>
        </w:rPr>
        <w:t>Option 2: The MN indicates the candidate frequency list from the MN and SN separately to the UE</w:t>
      </w:r>
    </w:p>
    <w:p>
      <w:r>
        <w:rPr>
          <w:rFonts w:hint="eastAsia"/>
        </w:rPr>
        <w:t>With the option 1, the MN node may need to filter the IDC that related to the SN and forward it to the SN node. With option 2, the UE divided the IDC into 3 part for the MN only, SN only and MR-DC respectively, then the MN doesn</w:t>
      </w:r>
      <w:r>
        <w:t>’</w:t>
      </w:r>
      <w:r>
        <w:rPr>
          <w:rFonts w:hint="eastAsia"/>
        </w:rPr>
        <w:t>t need to do any filtering. However, it will also introduce more specification work.</w:t>
      </w:r>
    </w:p>
    <w:p>
      <w:pPr>
        <w:rPr>
          <w:b/>
          <w:bCs/>
        </w:rPr>
      </w:pPr>
      <w:r>
        <w:rPr>
          <w:rFonts w:hint="eastAsia"/>
          <w:b/>
          <w:bCs/>
        </w:rPr>
        <w:t>Proposal 1a: Take the above option 1 as baseline for the MN configured IDC Procedure.</w:t>
      </w:r>
    </w:p>
    <w:p>
      <w:r>
        <w:rPr>
          <w:rFonts w:hint="eastAsia"/>
        </w:rPr>
        <w:t>For the option 1, compared with the legacy scheme, some enhancement maybe needed. As summarized in the post email discussion, a bandwidth maybe included for each candidate frequency, then which would also be needed for the SN to indicate to candidate frequency to the MN</w:t>
      </w:r>
    </w:p>
    <w:p>
      <w:pPr>
        <w:rPr>
          <w:b/>
          <w:bCs/>
        </w:rPr>
      </w:pPr>
      <w:r>
        <w:rPr>
          <w:rFonts w:hint="eastAsia"/>
          <w:b/>
          <w:bCs/>
        </w:rPr>
        <w:t>Proposal 2: If the bandwidth would be added to the air interface for the IDC configuration, it shall also be added for the MN-SN interface (E.g. for the SN candidate frequency indication to the MN)</w:t>
      </w:r>
    </w:p>
    <w:p>
      <w:pPr>
        <w:pStyle w:val="3"/>
        <w:ind w:left="0" w:firstLine="0"/>
        <w:rPr>
          <w:rFonts w:ascii="Times New Roman" w:hAnsi="Times New Roman"/>
          <w:lang w:val="en-US"/>
        </w:rPr>
      </w:pPr>
      <w:r>
        <w:rPr>
          <w:rFonts w:hint="eastAsia" w:ascii="Times New Roman" w:hAnsi="Times New Roman"/>
          <w:lang w:val="en-US"/>
        </w:rPr>
        <w:t>2.2 SN Configure the IDC</w:t>
      </w:r>
    </w:p>
    <w:p>
      <w:r>
        <w:rPr>
          <w:rFonts w:hint="eastAsia"/>
        </w:rPr>
        <w:t>In this chapter, we discuss how SN configure</w:t>
      </w:r>
      <w:r>
        <w:t>s</w:t>
      </w:r>
      <w:r>
        <w:rPr>
          <w:rFonts w:hint="eastAsia"/>
        </w:rPr>
        <w:t xml:space="preserve"> the IDC independently. We would focus on the case without SRB3. For the case with SRB3, the only difference is that the SN can configure the UE through SRB3 directly. Before we discuss whether the SN can configure the IDC, we</w:t>
      </w:r>
      <w:r>
        <w:t>’</w:t>
      </w:r>
      <w:r>
        <w:rPr>
          <w:rFonts w:hint="eastAsia"/>
        </w:rPr>
        <w:t>d like to clarify that the MN configured IDC procedure can also support to configure IDC for the SN side only as shown in the Fig 2a.</w:t>
      </w:r>
    </w:p>
    <w:p>
      <w:pPr>
        <w:jc w:val="center"/>
      </w:pPr>
      <w:r>
        <w:object>
          <v:shape id="_x0000_i1027" o:spt="75" type="#_x0000_t75" style="height:171.75pt;width:362.25pt;" o:ole="t" filled="f" o:preferrelative="t" stroked="f" coordsize="21600,21600">
            <v:path/>
            <v:fill on="f" focussize="0,0"/>
            <v:stroke on="f" joinstyle="miter"/>
            <v:imagedata r:id="rId13" o:title=""/>
            <o:lock v:ext="edit" aspectratio="f"/>
            <w10:wrap type="none"/>
            <w10:anchorlock/>
          </v:shape>
          <o:OLEObject Type="Embed" ProgID="Visio.Drawing.15" ShapeID="_x0000_i1027" DrawAspect="Content" ObjectID="_1468075727" r:id="rId12">
            <o:LockedField>false</o:LockedField>
          </o:OLEObject>
        </w:object>
      </w:r>
    </w:p>
    <w:p>
      <w:pPr>
        <w:jc w:val="center"/>
        <w:rPr>
          <w:b/>
          <w:bCs/>
        </w:rPr>
      </w:pPr>
      <w:r>
        <w:rPr>
          <w:rFonts w:hint="eastAsia"/>
          <w:b/>
          <w:bCs/>
        </w:rPr>
        <w:t>Fig 2a: Direction 1 SN configuration with nontransparent way</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rPr>
                <w:lang w:eastAsia="en-US"/>
              </w:rPr>
            </w:pPr>
            <w:r>
              <w:rPr>
                <w:rFonts w:hint="eastAsia"/>
                <w:lang w:eastAsia="en-US"/>
              </w:rPr>
              <w:t>Step 1: SN indicate the candidate frequency list to the MN</w:t>
            </w:r>
          </w:p>
          <w:p>
            <w:pPr>
              <w:rPr>
                <w:lang w:eastAsia="en-US"/>
              </w:rPr>
            </w:pPr>
            <w:r>
              <w:rPr>
                <w:rFonts w:hint="eastAsia"/>
                <w:lang w:eastAsia="en-US"/>
              </w:rPr>
              <w:t>Step 2: MN indicates the Candidate frequency list from the SN to the UE</w:t>
            </w:r>
          </w:p>
          <w:p>
            <w:pPr>
              <w:rPr>
                <w:lang w:eastAsia="en-US"/>
              </w:rPr>
            </w:pPr>
            <w:r>
              <w:rPr>
                <w:rFonts w:hint="eastAsia"/>
                <w:lang w:eastAsia="en-US"/>
              </w:rPr>
              <w:t>Step 3: UE report the IDC that related to the carriers within the candidate frequency list</w:t>
            </w:r>
          </w:p>
          <w:p>
            <w:pPr>
              <w:rPr>
                <w:b/>
                <w:bCs/>
                <w:lang w:eastAsia="en-US"/>
              </w:rPr>
            </w:pPr>
            <w:r>
              <w:rPr>
                <w:rFonts w:hint="eastAsia"/>
                <w:lang w:eastAsia="en-US"/>
              </w:rPr>
              <w:t>Step 4: The MN forward the IDC that related to the SN indicated candidate frequencies to the SN.</w:t>
            </w:r>
          </w:p>
        </w:tc>
      </w:tr>
    </w:tbl>
    <w:p>
      <w:r>
        <w:rPr>
          <w:rFonts w:hint="eastAsia"/>
        </w:rPr>
        <w:t>Furthermore, the MN can further determine whether to report the IDC interference for the MN side and MR-DC simultaneously.</w:t>
      </w:r>
    </w:p>
    <w:p>
      <w:pPr>
        <w:rPr>
          <w:b/>
          <w:bCs/>
        </w:rPr>
      </w:pPr>
      <w:r>
        <w:rPr>
          <w:rFonts w:hint="eastAsia"/>
          <w:b/>
          <w:bCs/>
        </w:rPr>
        <w:t>Observation 1: The MN configured IDC procedure can also support to configure IDC for the SN side only.</w:t>
      </w:r>
    </w:p>
    <w:p>
      <w:r>
        <w:rPr>
          <w:rFonts w:hint="eastAsia"/>
        </w:rPr>
        <w:t>Based on the observation 1, we further discuss whether and how to support SN configured IDC independently. We start it from the case without SRB3</w:t>
      </w:r>
      <w:r>
        <w:t>, and the general procedure is shown in Fig.2b</w:t>
      </w:r>
    </w:p>
    <w:p>
      <w:pPr>
        <w:tabs>
          <w:tab w:val="left" w:pos="2561"/>
        </w:tabs>
        <w:jc w:val="center"/>
      </w:pPr>
      <w:r>
        <w:object>
          <v:shape id="_x0000_i1028" o:spt="75" type="#_x0000_t75" style="height:210pt;width:345pt;" o:ole="t" filled="f" o:preferrelative="t" stroked="f" coordsize="21600,21600">
            <v:path/>
            <v:fill on="f" focussize="0,0"/>
            <v:stroke on="f" joinstyle="miter"/>
            <v:imagedata r:id="rId15" o:title=""/>
            <o:lock v:ext="edit" aspectratio="f"/>
            <w10:wrap type="none"/>
            <w10:anchorlock/>
          </v:shape>
          <o:OLEObject Type="Embed" ProgID="Visio.Drawing.15" ShapeID="_x0000_i1028" DrawAspect="Content" ObjectID="_1468075728" r:id="rId14">
            <o:LockedField>false</o:LockedField>
          </o:OLEObject>
        </w:object>
      </w:r>
    </w:p>
    <w:p>
      <w:pPr>
        <w:tabs>
          <w:tab w:val="left" w:pos="2561"/>
        </w:tabs>
        <w:jc w:val="center"/>
        <w:rPr>
          <w:b/>
        </w:rPr>
      </w:pPr>
      <w:r>
        <w:rPr>
          <w:rFonts w:hint="eastAsia"/>
          <w:b/>
        </w:rPr>
        <w:t>Fig 2</w:t>
      </w:r>
      <w:r>
        <w:rPr>
          <w:b/>
        </w:rPr>
        <w:t>b</w:t>
      </w:r>
      <w:r>
        <w:rPr>
          <w:rFonts w:hint="eastAsia"/>
          <w:b/>
        </w:rPr>
        <w:t>: SN Configure IDC with transparent way</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rPr>
                <w:lang w:eastAsia="en-US"/>
              </w:rPr>
            </w:pPr>
            <w:r>
              <w:rPr>
                <w:rFonts w:hint="eastAsia"/>
                <w:lang w:eastAsia="en-US"/>
              </w:rPr>
              <w:t>Step 1: SN include a ReconfigMessage to the MN, in which, it indicates the candidate frequency list to the UE</w:t>
            </w:r>
          </w:p>
          <w:p>
            <w:pPr>
              <w:rPr>
                <w:lang w:eastAsia="en-US"/>
              </w:rPr>
            </w:pPr>
            <w:r>
              <w:rPr>
                <w:rFonts w:hint="eastAsia"/>
                <w:lang w:eastAsia="en-US"/>
              </w:rPr>
              <w:t>Step 2: MN send a message to UE in which it includes a nr-scg Container</w:t>
            </w:r>
          </w:p>
          <w:p>
            <w:pPr>
              <w:rPr>
                <w:lang w:eastAsia="en-US"/>
              </w:rPr>
            </w:pPr>
            <w:r>
              <w:rPr>
                <w:rFonts w:hint="eastAsia"/>
                <w:lang w:eastAsia="en-US"/>
              </w:rPr>
              <w:t>Step 3: UE report the IDC by UL information transfer for the SCG</w:t>
            </w:r>
          </w:p>
          <w:p>
            <w:pPr>
              <w:rPr>
                <w:lang w:eastAsia="en-US"/>
              </w:rPr>
            </w:pPr>
            <w:r>
              <w:rPr>
                <w:rFonts w:hint="eastAsia"/>
                <w:lang w:eastAsia="en-US"/>
              </w:rPr>
              <w:t>Step 4: The MN forward the UL information transfer to the SN</w:t>
            </w:r>
          </w:p>
        </w:tc>
      </w:tr>
    </w:tbl>
    <w:p>
      <w:pPr>
        <w:tabs>
          <w:tab w:val="left" w:pos="2561"/>
        </w:tabs>
      </w:pPr>
      <w:r>
        <w:t>As shown in the Fig 2b, the configuration of the SN is transparent to the MN</w:t>
      </w:r>
      <w:r>
        <w:rPr>
          <w:rFonts w:hint="eastAsia"/>
        </w:rPr>
        <w:t>, the main issue is that it can</w:t>
      </w:r>
      <w:r>
        <w:t>’</w:t>
      </w:r>
      <w:r>
        <w:rPr>
          <w:rFonts w:hint="eastAsia"/>
        </w:rPr>
        <w:t>t support MR-DC IDC reporting configur</w:t>
      </w:r>
      <w:r>
        <w:t>ation</w:t>
      </w:r>
      <w:r>
        <w:rPr>
          <w:rFonts w:hint="eastAsia"/>
        </w:rPr>
        <w:t xml:space="preserve">. In other words, if the SN/MN need to the UE to report the MR-DC IDC, the MN based procedure (e.g. procedure in the Fig 1) shall be executed again then the UE would report the SN side IDC repeatedly. </w:t>
      </w:r>
    </w:p>
    <w:p>
      <w:pPr>
        <w:rPr>
          <w:b/>
          <w:bCs/>
        </w:rPr>
      </w:pPr>
      <w:r>
        <w:rPr>
          <w:rFonts w:hint="eastAsia"/>
          <w:b/>
          <w:bCs/>
        </w:rPr>
        <w:t>Observation 2: For the case that the MN also need to acquire the MR-DC IDC, SN configure IDC with transparent way would cause repeated IDC reporting.</w:t>
      </w:r>
    </w:p>
    <w:p>
      <w:r>
        <w:rPr>
          <w:rFonts w:hint="eastAsia"/>
        </w:rPr>
        <w:t>Based on the above 2 observations, we don</w:t>
      </w:r>
      <w:r>
        <w:t>’</w:t>
      </w:r>
      <w:r>
        <w:rPr>
          <w:rFonts w:hint="eastAsia"/>
        </w:rPr>
        <w:t>t see the strong motivation to support SN configuring IDC with transparent way.</w:t>
      </w:r>
    </w:p>
    <w:p>
      <w:pPr>
        <w:rPr>
          <w:b/>
          <w:bCs/>
        </w:rPr>
      </w:pPr>
      <w:r>
        <w:rPr>
          <w:rFonts w:hint="eastAsia"/>
          <w:b/>
          <w:bCs/>
        </w:rPr>
        <w:t>Proposal 3: Do not support SN configuring IDC with transparent way.</w:t>
      </w:r>
    </w:p>
    <w:p>
      <w:pPr>
        <w:pStyle w:val="3"/>
        <w:ind w:left="0" w:firstLine="0"/>
        <w:rPr>
          <w:rFonts w:eastAsia="宋体"/>
          <w:lang w:val="en-US"/>
        </w:rPr>
      </w:pPr>
      <w:r>
        <w:t>2.</w:t>
      </w:r>
      <w:r>
        <w:rPr>
          <w:rFonts w:hint="eastAsia" w:eastAsia="宋体"/>
          <w:lang w:val="en-US"/>
        </w:rPr>
        <w:t>3 MN-SN Coordination</w:t>
      </w:r>
    </w:p>
    <w:p>
      <w:pPr>
        <w:rPr>
          <w:rFonts w:eastAsia="宋体"/>
        </w:rPr>
      </w:pPr>
      <w:r>
        <w:rPr>
          <w:rFonts w:hint="eastAsia" w:eastAsia="宋体"/>
        </w:rPr>
        <w:t>In this chapter, we first share our understanding on the MN-SN coordination with legacy IDC, then discuss how to coordination IDC with FDM enhancement for the MN and SN.</w:t>
      </w:r>
    </w:p>
    <w:p>
      <w:pPr>
        <w:pStyle w:val="4"/>
        <w:numPr>
          <w:ilvl w:val="2"/>
          <w:numId w:val="0"/>
        </w:numPr>
        <w:tabs>
          <w:tab w:val="clear" w:pos="720"/>
        </w:tabs>
        <w:rPr>
          <w:rFonts w:ascii="Times New Roman" w:hAnsi="Times New Roman"/>
          <w:sz w:val="24"/>
          <w:szCs w:val="24"/>
          <w:lang w:val="en-US"/>
        </w:rPr>
      </w:pPr>
      <w:r>
        <w:rPr>
          <w:rFonts w:ascii="Times New Roman" w:hAnsi="Times New Roman"/>
          <w:sz w:val="24"/>
          <w:szCs w:val="24"/>
          <w:lang w:val="en-US"/>
        </w:rPr>
        <w:t>2.</w:t>
      </w:r>
      <w:r>
        <w:rPr>
          <w:rFonts w:hint="eastAsia" w:ascii="Times New Roman" w:hAnsi="Times New Roman"/>
          <w:sz w:val="24"/>
          <w:szCs w:val="24"/>
          <w:lang w:val="en-US"/>
        </w:rPr>
        <w:t>3</w:t>
      </w:r>
      <w:r>
        <w:rPr>
          <w:rFonts w:ascii="Times New Roman" w:hAnsi="Times New Roman"/>
          <w:sz w:val="24"/>
          <w:szCs w:val="24"/>
          <w:lang w:val="en-US"/>
        </w:rPr>
        <w:t>.1 MN-SN Coordination within legacy IDC</w:t>
      </w:r>
    </w:p>
    <w:p>
      <w:pPr>
        <w:widowControl/>
        <w:overflowPunct w:val="0"/>
        <w:autoSpaceDE w:val="0"/>
        <w:autoSpaceDN w:val="0"/>
        <w:adjustRightInd w:val="0"/>
        <w:spacing w:after="180" w:line="240" w:lineRule="auto"/>
        <w:jc w:val="left"/>
        <w:textAlignment w:val="baseline"/>
        <w:rPr>
          <w:rFonts w:eastAsia="宋体"/>
          <w:color w:val="000000"/>
          <w:kern w:val="0"/>
          <w:szCs w:val="21"/>
        </w:rPr>
      </w:pPr>
      <w:r>
        <w:rPr>
          <w:rFonts w:hint="eastAsia"/>
          <w:szCs w:val="21"/>
        </w:rPr>
        <w:t xml:space="preserve">As in legacy, the </w:t>
      </w:r>
      <w:r>
        <w:rPr>
          <w:rFonts w:hint="eastAsia" w:eastAsia="宋体"/>
          <w:color w:val="000000"/>
          <w:kern w:val="0"/>
          <w:szCs w:val="21"/>
        </w:rPr>
        <w:t>MN would indicate the MR-DC related IDC interference information to the SN, as below:</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widowControl/>
              <w:overflowPunct w:val="0"/>
              <w:autoSpaceDE w:val="0"/>
              <w:autoSpaceDN w:val="0"/>
              <w:adjustRightInd w:val="0"/>
              <w:spacing w:after="180" w:line="240" w:lineRule="auto"/>
              <w:jc w:val="left"/>
              <w:textAlignment w:val="baseline"/>
              <w:rPr>
                <w:rFonts w:eastAsia="宋体"/>
                <w:color w:val="000000"/>
                <w:kern w:val="0"/>
                <w:szCs w:val="21"/>
                <w:lang w:eastAsia="en-US"/>
              </w:rPr>
            </w:pPr>
            <w:r>
              <w:rPr>
                <w:rFonts w:hint="eastAsia" w:eastAsia="宋体"/>
                <w:b/>
                <w:bCs/>
                <w:color w:val="000000"/>
                <w:kern w:val="0"/>
                <w:szCs w:val="21"/>
                <w:lang w:eastAsia="en-US"/>
              </w:rPr>
              <w:t>CG-Confi</w:t>
            </w:r>
            <w:r>
              <w:rPr>
                <w:rFonts w:eastAsia="宋体"/>
                <w:b/>
                <w:bCs/>
                <w:color w:val="000000"/>
                <w:kern w:val="0"/>
                <w:szCs w:val="21"/>
                <w:lang w:eastAsia="en-US"/>
              </w:rPr>
              <w:t>g:</w:t>
            </w:r>
            <w:r>
              <w:rPr>
                <w:rFonts w:hint="eastAsia" w:eastAsia="宋体"/>
                <w:b/>
                <w:bCs/>
                <w:color w:val="000000"/>
                <w:kern w:val="0"/>
                <w:szCs w:val="21"/>
                <w:lang w:eastAsia="en-US"/>
              </w:rPr>
              <w:t xml:space="preserve"> </w:t>
            </w:r>
            <w:r>
              <w:rPr>
                <w:rFonts w:hint="eastAsia" w:eastAsia="宋体"/>
                <w:color w:val="000000"/>
                <w:kern w:val="0"/>
                <w:szCs w:val="21"/>
                <w:lang w:eastAsia="en-US"/>
              </w:rPr>
              <w:t>The SN provide</w:t>
            </w:r>
            <w:r>
              <w:rPr>
                <w:rFonts w:eastAsia="宋体"/>
                <w:color w:val="000000"/>
                <w:kern w:val="0"/>
                <w:szCs w:val="21"/>
                <w:lang w:eastAsia="en-US"/>
              </w:rPr>
              <w:t>s</w:t>
            </w:r>
            <w:r>
              <w:rPr>
                <w:rFonts w:hint="eastAsia" w:eastAsia="宋体"/>
                <w:color w:val="000000"/>
                <w:kern w:val="0"/>
                <w:szCs w:val="21"/>
                <w:lang w:eastAsia="en-US"/>
              </w:rPr>
              <w:t xml:space="preserve"> the</w:t>
            </w:r>
            <w:r>
              <w:rPr>
                <w:rFonts w:eastAsia="宋体"/>
                <w:color w:val="000000"/>
                <w:kern w:val="0"/>
                <w:szCs w:val="21"/>
                <w:lang w:eastAsia="en-US"/>
              </w:rPr>
              <w:t xml:space="preserve"> frequencies of candidate serving cells</w:t>
            </w:r>
            <w:r>
              <w:rPr>
                <w:rFonts w:hint="eastAsia" w:eastAsia="宋体"/>
                <w:color w:val="000000"/>
                <w:kern w:val="0"/>
                <w:szCs w:val="21"/>
                <w:lang w:eastAsia="en-US"/>
              </w:rPr>
              <w:t xml:space="preserve"> to the MN, then the MN include</w:t>
            </w:r>
            <w:r>
              <w:rPr>
                <w:rFonts w:eastAsia="宋体"/>
                <w:color w:val="000000"/>
                <w:kern w:val="0"/>
                <w:szCs w:val="21"/>
                <w:lang w:eastAsia="en-US"/>
              </w:rPr>
              <w:t>s</w:t>
            </w:r>
            <w:r>
              <w:rPr>
                <w:rFonts w:hint="eastAsia" w:eastAsia="宋体"/>
                <w:color w:val="000000"/>
                <w:kern w:val="0"/>
                <w:szCs w:val="21"/>
                <w:lang w:eastAsia="en-US"/>
              </w:rPr>
              <w:t xml:space="preserve"> it in the other config together with the MN candidate frequencies.</w:t>
            </w:r>
          </w:p>
          <w:p>
            <w:pPr>
              <w:widowControl/>
              <w:overflowPunct w:val="0"/>
              <w:autoSpaceDE w:val="0"/>
              <w:autoSpaceDN w:val="0"/>
              <w:adjustRightInd w:val="0"/>
              <w:spacing w:after="180" w:line="240" w:lineRule="auto"/>
              <w:jc w:val="left"/>
              <w:textAlignment w:val="baseline"/>
              <w:rPr>
                <w:rFonts w:eastAsia="宋体"/>
                <w:color w:val="000000"/>
                <w:kern w:val="0"/>
                <w:szCs w:val="21"/>
                <w:lang w:eastAsia="en-US"/>
              </w:rPr>
            </w:pPr>
            <w:r>
              <w:rPr>
                <w:rFonts w:hint="eastAsia" w:eastAsia="宋体"/>
                <w:b/>
                <w:bCs/>
                <w:color w:val="000000"/>
                <w:kern w:val="0"/>
                <w:sz w:val="20"/>
                <w:szCs w:val="20"/>
                <w:lang w:eastAsia="ja-JP"/>
              </w:rPr>
              <w:t>CG-ConfigInfo</w:t>
            </w:r>
            <w:r>
              <w:rPr>
                <w:rFonts w:eastAsia="宋体"/>
                <w:b/>
                <w:bCs/>
                <w:color w:val="000000"/>
                <w:kern w:val="0"/>
                <w:sz w:val="20"/>
                <w:szCs w:val="20"/>
                <w:lang w:eastAsia="ja-JP"/>
              </w:rPr>
              <w:t>:</w:t>
            </w:r>
            <w:r>
              <w:rPr>
                <w:rFonts w:hint="eastAsia" w:eastAsia="宋体"/>
                <w:color w:val="000000"/>
                <w:kern w:val="0"/>
                <w:sz w:val="20"/>
                <w:szCs w:val="20"/>
                <w:lang w:eastAsia="en-US"/>
              </w:rPr>
              <w:t xml:space="preserve"> The MN indicate</w:t>
            </w:r>
            <w:r>
              <w:rPr>
                <w:rFonts w:eastAsia="宋体"/>
                <w:color w:val="000000"/>
                <w:kern w:val="0"/>
                <w:sz w:val="20"/>
                <w:szCs w:val="20"/>
                <w:lang w:eastAsia="en-US"/>
              </w:rPr>
              <w:t>s</w:t>
            </w:r>
            <w:r>
              <w:rPr>
                <w:rFonts w:hint="eastAsia" w:eastAsia="宋体"/>
                <w:color w:val="000000"/>
                <w:kern w:val="0"/>
                <w:sz w:val="20"/>
                <w:szCs w:val="20"/>
                <w:lang w:eastAsia="en-US"/>
              </w:rPr>
              <w:t xml:space="preserve"> the MR-DC related IDC interference information to the SN</w:t>
            </w:r>
          </w:p>
        </w:tc>
      </w:tr>
    </w:tbl>
    <w:p>
      <w:pPr>
        <w:widowControl/>
        <w:overflowPunct w:val="0"/>
        <w:autoSpaceDE w:val="0"/>
        <w:autoSpaceDN w:val="0"/>
        <w:adjustRightInd w:val="0"/>
        <w:spacing w:after="180" w:line="240" w:lineRule="auto"/>
        <w:jc w:val="left"/>
        <w:textAlignment w:val="baseline"/>
        <w:rPr>
          <w:szCs w:val="21"/>
        </w:rPr>
      </w:pPr>
      <w:r>
        <w:rPr>
          <w:rFonts w:hint="eastAsia"/>
          <w:szCs w:val="21"/>
        </w:rPr>
        <w:t xml:space="preserve">However, at SN side, with only </w:t>
      </w:r>
      <w:r>
        <w:rPr>
          <w:rFonts w:hint="eastAsia"/>
          <w:szCs w:val="21"/>
          <w:lang w:eastAsia="en-US"/>
        </w:rPr>
        <w:t>MR-DC related IDC interference information</w:t>
      </w:r>
      <w:r>
        <w:rPr>
          <w:rFonts w:hint="eastAsia"/>
          <w:szCs w:val="21"/>
        </w:rPr>
        <w:t xml:space="preserve"> is not enough, the SN also need to know which carriers would be used by the MN side to further determine the available carrier at the SN side.</w:t>
      </w:r>
    </w:p>
    <w:p>
      <w:pPr>
        <w:rPr>
          <w:b/>
          <w:bCs/>
        </w:rPr>
      </w:pPr>
      <w:r>
        <w:rPr>
          <w:rFonts w:hint="eastAsia"/>
          <w:b/>
          <w:bCs/>
        </w:rPr>
        <w:t xml:space="preserve">Observation </w:t>
      </w:r>
      <w:r>
        <w:rPr>
          <w:b/>
          <w:bCs/>
        </w:rPr>
        <w:t>3</w:t>
      </w:r>
      <w:r>
        <w:rPr>
          <w:rFonts w:hint="eastAsia"/>
          <w:b/>
          <w:bCs/>
        </w:rPr>
        <w:t xml:space="preserve">: </w:t>
      </w:r>
      <w:r>
        <w:rPr>
          <w:b/>
          <w:bCs/>
        </w:rPr>
        <w:t>For the legacy MN-SN coordination, b</w:t>
      </w:r>
      <w:r>
        <w:rPr>
          <w:rFonts w:hint="eastAsia"/>
          <w:b/>
          <w:bCs/>
        </w:rPr>
        <w:t xml:space="preserve">esides the </w:t>
      </w:r>
      <w:r>
        <w:rPr>
          <w:rFonts w:hint="eastAsia"/>
          <w:b/>
          <w:bCs/>
          <w:szCs w:val="21"/>
          <w:lang w:eastAsia="en-US"/>
        </w:rPr>
        <w:t>MR-DC related IDC interference information</w:t>
      </w:r>
      <w:r>
        <w:rPr>
          <w:rFonts w:hint="eastAsia"/>
          <w:b/>
          <w:bCs/>
          <w:szCs w:val="21"/>
        </w:rPr>
        <w:t>, the SN also need to know which carriers would be used by the MN side to further determine the available carriers at the SN side.</w:t>
      </w:r>
    </w:p>
    <w:p>
      <w:pPr>
        <w:rPr>
          <w:rFonts w:eastAsia="宋体"/>
        </w:rPr>
      </w:pPr>
      <w:r>
        <w:rPr>
          <w:rFonts w:hint="eastAsia"/>
        </w:rPr>
        <w:t xml:space="preserve">Then in the legacy capability coordination information, the MN would also indicate the </w:t>
      </w:r>
      <w:r>
        <w:rPr>
          <w:i/>
          <w:iCs/>
        </w:rPr>
        <w:t>selectedBandEntriesMNList</w:t>
      </w:r>
      <w:r>
        <w:rPr>
          <w:rFonts w:hint="eastAsia"/>
        </w:rPr>
        <w:t>,</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246"/>
              <w:spacing w:after="0" w:line="120" w:lineRule="atLeast"/>
              <w:rPr>
                <w:rFonts w:ascii="Times New Roman" w:hAnsi="Times New Roman"/>
                <w:sz w:val="18"/>
                <w:szCs w:val="18"/>
              </w:rPr>
            </w:pPr>
            <w:r>
              <w:rPr>
                <w:rFonts w:ascii="Times New Roman" w:hAnsi="Times New Roman"/>
                <w:sz w:val="18"/>
                <w:szCs w:val="18"/>
                <w:lang w:eastAsia="zh-CN"/>
              </w:rPr>
              <w:t xml:space="preserve">ConfigRestrictInfoSCG ::= SEQUENCE { </w:t>
            </w:r>
          </w:p>
          <w:p>
            <w:pPr>
              <w:pStyle w:val="246"/>
              <w:spacing w:after="0" w:line="120" w:lineRule="atLeast"/>
              <w:rPr>
                <w:rFonts w:ascii="Times New Roman" w:hAnsi="Times New Roman"/>
                <w:sz w:val="18"/>
                <w:szCs w:val="18"/>
              </w:rPr>
            </w:pPr>
            <w:r>
              <w:rPr>
                <w:rFonts w:ascii="Times New Roman" w:hAnsi="Times New Roman"/>
                <w:sz w:val="18"/>
                <w:szCs w:val="18"/>
                <w:lang w:eastAsia="zh-CN"/>
              </w:rPr>
              <w:t>allowedBC-ListMRDC</w:t>
            </w:r>
            <w:r>
              <w:rPr>
                <w:rFonts w:hint="eastAsia" w:ascii="Times New Roman" w:hAnsi="Times New Roman"/>
                <w:sz w:val="18"/>
                <w:szCs w:val="18"/>
                <w:lang w:eastAsia="zh-CN"/>
              </w:rPr>
              <w:t xml:space="preserve">          </w:t>
            </w:r>
            <w:r>
              <w:rPr>
                <w:rFonts w:ascii="Times New Roman" w:hAnsi="Times New Roman"/>
                <w:sz w:val="18"/>
                <w:szCs w:val="18"/>
                <w:lang w:eastAsia="zh-CN"/>
              </w:rPr>
              <w:t xml:space="preserve"> BandCombinationInfoList </w:t>
            </w:r>
            <w:r>
              <w:rPr>
                <w:rFonts w:hint="eastAsia" w:ascii="Times New Roman" w:hAnsi="Times New Roman"/>
                <w:sz w:val="18"/>
                <w:szCs w:val="18"/>
                <w:lang w:eastAsia="zh-CN"/>
              </w:rPr>
              <w:t>...}</w:t>
            </w:r>
          </w:p>
          <w:p>
            <w:pPr>
              <w:pStyle w:val="246"/>
              <w:spacing w:after="0" w:line="120" w:lineRule="atLeast"/>
              <w:rPr>
                <w:rFonts w:ascii="Times New Roman" w:hAnsi="Times New Roman"/>
                <w:sz w:val="18"/>
                <w:szCs w:val="18"/>
              </w:rPr>
            </w:pPr>
            <w:r>
              <w:rPr>
                <w:rFonts w:ascii="Times New Roman" w:hAnsi="Times New Roman"/>
                <w:sz w:val="18"/>
                <w:szCs w:val="18"/>
              </w:rPr>
              <w:t>BandCombinationInfoList ::=     SEQUENCE (SIZE (1..maxBandComb)) OF BandCombinationInfo</w:t>
            </w:r>
          </w:p>
          <w:p>
            <w:pPr>
              <w:pStyle w:val="246"/>
              <w:spacing w:after="0" w:line="120" w:lineRule="atLeast"/>
              <w:rPr>
                <w:lang w:eastAsia="zh-CN"/>
              </w:rPr>
            </w:pPr>
            <w:r>
              <w:rPr>
                <w:rFonts w:ascii="Times New Roman" w:hAnsi="Times New Roman"/>
                <w:sz w:val="18"/>
                <w:szCs w:val="18"/>
              </w:rPr>
              <w:t xml:space="preserve">selectedBandEntriesMNList        SEQUENCE (SIZE (1..maxBandComb)) OF </w:t>
            </w:r>
            <w:r>
              <w:rPr>
                <w:rFonts w:ascii="Times New Roman" w:hAnsi="Times New Roman"/>
                <w:color w:val="FF0000"/>
                <w:sz w:val="18"/>
                <w:szCs w:val="18"/>
              </w:rPr>
              <w:t xml:space="preserve">SelectedBandEntriesMN </w:t>
            </w:r>
          </w:p>
        </w:tc>
      </w:tr>
    </w:tbl>
    <w:p>
      <w:pPr>
        <w:rPr>
          <w:rFonts w:eastAsia="宋体"/>
        </w:rPr>
      </w:pPr>
      <w:r>
        <w:rPr>
          <w:rFonts w:hint="eastAsia"/>
        </w:rPr>
        <w:t xml:space="preserve">As an implementation method, the SN can further determine the available band entries based on the MR-DC IDC interference information and the </w:t>
      </w:r>
      <w:r>
        <w:rPr>
          <w:i/>
          <w:iCs/>
        </w:rPr>
        <w:t>selectedBandEntriesMNList</w:t>
      </w:r>
      <w:r>
        <w:rPr>
          <w:rFonts w:hint="eastAsia"/>
          <w:i/>
          <w:iCs/>
        </w:rPr>
        <w:t>,</w:t>
      </w:r>
      <w:r>
        <w:rPr>
          <w:rFonts w:hint="eastAsia"/>
        </w:rPr>
        <w:t xml:space="preserve"> For example, if the UE report an IDC that caused by f1 and f2, and the f1 was included in the </w:t>
      </w:r>
      <w:r>
        <w:t>selectedBandEntriesMNList</w:t>
      </w:r>
      <w:r>
        <w:rPr>
          <w:rFonts w:hint="eastAsia"/>
        </w:rPr>
        <w:t xml:space="preserve">, the SN </w:t>
      </w:r>
      <w:r>
        <w:t>will</w:t>
      </w:r>
      <w:r>
        <w:rPr>
          <w:rFonts w:hint="eastAsia"/>
        </w:rPr>
        <w:t xml:space="preserve"> </w:t>
      </w:r>
      <w:r>
        <w:t>not</w:t>
      </w:r>
      <w:r>
        <w:rPr>
          <w:rFonts w:hint="eastAsia"/>
        </w:rPr>
        <w:t xml:space="preserve"> </w:t>
      </w:r>
      <w:r>
        <w:t>include</w:t>
      </w:r>
      <w:r>
        <w:rPr>
          <w:rFonts w:hint="eastAsia"/>
        </w:rPr>
        <w:t xml:space="preserve"> the cells on the f2</w:t>
      </w:r>
      <w:r>
        <w:t xml:space="preserve"> in the SCG.</w:t>
      </w:r>
    </w:p>
    <w:p>
      <w:pPr>
        <w:rPr>
          <w:b/>
          <w:bCs/>
        </w:rPr>
      </w:pPr>
      <w:r>
        <w:rPr>
          <w:rFonts w:hint="eastAsia"/>
          <w:b/>
          <w:bCs/>
        </w:rPr>
        <w:t xml:space="preserve">Observation </w:t>
      </w:r>
      <w:r>
        <w:rPr>
          <w:b/>
          <w:bCs/>
        </w:rPr>
        <w:t>4</w:t>
      </w:r>
      <w:r>
        <w:rPr>
          <w:rFonts w:hint="eastAsia"/>
          <w:b/>
          <w:bCs/>
        </w:rPr>
        <w:t xml:space="preserve">: </w:t>
      </w:r>
      <w:r>
        <w:rPr>
          <w:b/>
          <w:bCs/>
        </w:rPr>
        <w:t xml:space="preserve">For the legacy carrier-based scheme, the </w:t>
      </w:r>
      <w:r>
        <w:rPr>
          <w:rFonts w:hint="eastAsia"/>
          <w:b/>
          <w:bCs/>
        </w:rPr>
        <w:t xml:space="preserve">SN can determine the available carrier entries based on the MR-DC IDC interference information and the </w:t>
      </w:r>
      <w:r>
        <w:rPr>
          <w:b/>
          <w:bCs/>
          <w:i/>
          <w:iCs/>
        </w:rPr>
        <w:t>selectedBandEntriesMNList</w:t>
      </w:r>
      <w:r>
        <w:rPr>
          <w:rFonts w:hint="eastAsia"/>
          <w:b/>
          <w:bCs/>
          <w:i/>
          <w:iCs/>
        </w:rPr>
        <w:t>.</w:t>
      </w:r>
    </w:p>
    <w:p>
      <w:pPr>
        <w:pStyle w:val="4"/>
        <w:numPr>
          <w:ilvl w:val="2"/>
          <w:numId w:val="0"/>
        </w:numPr>
        <w:tabs>
          <w:tab w:val="clear" w:pos="720"/>
        </w:tabs>
        <w:rPr>
          <w:rFonts w:ascii="Times New Roman" w:hAnsi="Times New Roman"/>
          <w:i/>
          <w:iCs/>
        </w:rPr>
      </w:pPr>
      <w:r>
        <w:rPr>
          <w:rFonts w:ascii="Times New Roman" w:hAnsi="Times New Roman"/>
          <w:sz w:val="24"/>
          <w:szCs w:val="24"/>
          <w:lang w:val="en-US"/>
        </w:rPr>
        <w:t>2.</w:t>
      </w:r>
      <w:r>
        <w:rPr>
          <w:rFonts w:hint="eastAsia" w:ascii="Times New Roman" w:hAnsi="Times New Roman"/>
          <w:sz w:val="24"/>
          <w:szCs w:val="24"/>
          <w:lang w:val="en-US"/>
        </w:rPr>
        <w:t>3</w:t>
      </w:r>
      <w:r>
        <w:rPr>
          <w:rFonts w:ascii="Times New Roman" w:hAnsi="Times New Roman"/>
          <w:sz w:val="24"/>
          <w:szCs w:val="24"/>
          <w:lang w:val="en-US"/>
        </w:rPr>
        <w:t>.</w:t>
      </w:r>
      <w:r>
        <w:rPr>
          <w:rFonts w:hint="eastAsia" w:ascii="Times New Roman" w:hAnsi="Times New Roman"/>
          <w:sz w:val="24"/>
          <w:szCs w:val="24"/>
          <w:lang w:val="en-US"/>
        </w:rPr>
        <w:t>2</w:t>
      </w:r>
      <w:r>
        <w:rPr>
          <w:rFonts w:ascii="Times New Roman" w:hAnsi="Times New Roman"/>
          <w:sz w:val="24"/>
          <w:szCs w:val="24"/>
          <w:lang w:val="en-US"/>
        </w:rPr>
        <w:t xml:space="preserve"> MN-SN Coordination within </w:t>
      </w:r>
      <w:r>
        <w:rPr>
          <w:rFonts w:hint="eastAsia" w:ascii="Times New Roman" w:hAnsi="Times New Roman"/>
          <w:sz w:val="24"/>
          <w:szCs w:val="24"/>
          <w:lang w:val="en-US"/>
        </w:rPr>
        <w:t>Frequency Range based FDM enhancement</w:t>
      </w:r>
    </w:p>
    <w:p>
      <w:r>
        <w:t xml:space="preserve">In R18, if the UE report more granular FDM information, the MN and SN may also need to take these granular FDM information into consideration. </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rPr>
                <w:lang w:eastAsia="en-US"/>
              </w:rPr>
            </w:pPr>
            <w:r>
              <w:rPr>
                <w:lang w:eastAsia="en-US"/>
              </w:rPr>
              <w:t>For example</w:t>
            </w:r>
          </w:p>
          <w:p>
            <w:pPr>
              <w:rPr>
                <w:lang w:eastAsia="en-US"/>
              </w:rPr>
            </w:pPr>
            <w:r>
              <w:rPr>
                <w:lang w:eastAsia="en-US"/>
              </w:rPr>
              <w:t xml:space="preserve">MN: F1: Frequency Range1, Frequency Range2        SN: F2: Frequency Range1, Frequency Range2  </w:t>
            </w:r>
          </w:p>
          <w:p>
            <w:pPr>
              <w:rPr>
                <w:lang w:eastAsia="en-US"/>
              </w:rPr>
            </w:pPr>
            <w:r>
              <w:rPr>
                <w:lang w:eastAsia="en-US"/>
              </w:rPr>
              <w:t>IMD 1: F1 Frequency Range1+ F2 Frequency Range1   IMD 2: F1 Frequency Range2 + F2 Frequency Range2</w:t>
            </w:r>
          </w:p>
          <w:p>
            <w:pPr>
              <w:rPr>
                <w:lang w:eastAsia="en-US"/>
              </w:rPr>
            </w:pPr>
            <w:r>
              <w:rPr>
                <w:rFonts w:eastAsia="宋体"/>
                <w:color w:val="000000"/>
                <w:kern w:val="0"/>
                <w:sz w:val="20"/>
                <w:szCs w:val="20"/>
                <w:lang w:eastAsia="en-US" w:bidi="ar"/>
              </w:rPr>
              <w:object>
                <v:shape id="_x0000_i1029" o:spt="75" alt="" type="#_x0000_t75" style="height:97.5pt;width:405.75pt;" o:ole="t" filled="f" o:preferrelative="t" stroked="f" coordsize="21600,21600">
                  <v:path/>
                  <v:fill on="f" focussize="0,0"/>
                  <v:stroke on="f"/>
                  <v:imagedata r:id="rId17" o:title=""/>
                  <o:lock v:ext="edit" aspectratio="f"/>
                  <w10:wrap type="none"/>
                  <w10:anchorlock/>
                </v:shape>
                <o:OLEObject Type="Embed" ProgID="Visio.Drawing.15" ShapeID="_x0000_i1029" DrawAspect="Content" ObjectID="_1468075729" r:id="rId16">
                  <o:LockedField>false</o:LockedField>
                </o:OLEObject>
              </w:object>
            </w:r>
          </w:p>
          <w:p>
            <w:pPr>
              <w:rPr>
                <w:lang w:eastAsia="en-US"/>
              </w:rPr>
            </w:pPr>
            <w:r>
              <w:rPr>
                <w:lang w:eastAsia="en-US"/>
              </w:rPr>
              <w:t>If the MN indicates the SN that F1 was selected (e.g. in the selectedBandEntriesMNList), but doesn’t indicate the Frequency Range based information to the SN, the SN would take all frequency ranges on the F2 as invalid.</w:t>
            </w:r>
          </w:p>
        </w:tc>
      </w:tr>
    </w:tbl>
    <w:p>
      <w:pPr>
        <w:rPr>
          <w:b/>
          <w:bCs/>
          <w:szCs w:val="21"/>
        </w:rPr>
      </w:pPr>
      <w:r>
        <w:rPr>
          <w:rFonts w:hint="eastAsia"/>
          <w:b/>
          <w:bCs/>
        </w:rPr>
        <w:t xml:space="preserve">Proposal 4: For the MR-IDC reporting with FDM enhancement, besides the </w:t>
      </w:r>
      <w:r>
        <w:rPr>
          <w:rFonts w:hint="eastAsia"/>
          <w:b/>
          <w:bCs/>
          <w:szCs w:val="21"/>
          <w:lang w:eastAsia="en-US"/>
        </w:rPr>
        <w:t>MR-DC related IDC interference information</w:t>
      </w:r>
      <w:r>
        <w:rPr>
          <w:rFonts w:hint="eastAsia"/>
          <w:b/>
          <w:bCs/>
          <w:szCs w:val="21"/>
        </w:rPr>
        <w:t>, the SN shall also know which frequency ranges would be used by the MN side to further determine the available frequency ranges at the SN side.</w:t>
      </w:r>
    </w:p>
    <w:p>
      <w:r>
        <w:rPr>
          <w:rFonts w:hint="eastAsia"/>
          <w:szCs w:val="21"/>
        </w:rPr>
        <w:t>Based on the proposal 4, at least the below t</w:t>
      </w:r>
      <w:r>
        <w:rPr>
          <w:rFonts w:hint="eastAsia"/>
        </w:rPr>
        <w:t>wo detail issues shall be further discussed:</w:t>
      </w:r>
      <w:bookmarkStart w:id="4" w:name="_GoBack"/>
      <w:bookmarkEnd w:id="4"/>
    </w:p>
    <w:p>
      <w:pPr>
        <w:numPr>
          <w:ilvl w:val="0"/>
          <w:numId w:val="6"/>
        </w:numPr>
        <w:rPr>
          <w:bCs/>
          <w:i/>
          <w:iCs/>
          <w:u w:val="single"/>
        </w:rPr>
      </w:pPr>
      <w:r>
        <w:rPr>
          <w:bCs/>
          <w:i/>
          <w:iCs/>
          <w:u w:val="single"/>
        </w:rPr>
        <w:t xml:space="preserve">Which </w:t>
      </w:r>
      <w:r>
        <w:rPr>
          <w:rFonts w:hint="eastAsia"/>
          <w:bCs/>
          <w:i/>
          <w:iCs/>
          <w:u w:val="single"/>
        </w:rPr>
        <w:t xml:space="preserve">kind of frequency ranges </w:t>
      </w:r>
      <w:r>
        <w:rPr>
          <w:bCs/>
          <w:i/>
          <w:iCs/>
          <w:u w:val="single"/>
        </w:rPr>
        <w:t>shall be exchanged between the MN and SN?</w:t>
      </w:r>
    </w:p>
    <w:p>
      <w:pPr>
        <w:numPr>
          <w:ilvl w:val="0"/>
          <w:numId w:val="6"/>
        </w:numPr>
        <w:rPr>
          <w:szCs w:val="21"/>
        </w:rPr>
      </w:pPr>
      <w:r>
        <w:rPr>
          <w:bCs/>
          <w:i/>
          <w:iCs/>
          <w:u w:val="single"/>
        </w:rPr>
        <w:t>How to exchange</w:t>
      </w:r>
      <w:r>
        <w:rPr>
          <w:rFonts w:hint="eastAsia"/>
          <w:bCs/>
          <w:i/>
          <w:iCs/>
          <w:u w:val="single"/>
        </w:rPr>
        <w:t xml:space="preserve"> the frequency range </w:t>
      </w:r>
      <w:r>
        <w:rPr>
          <w:bCs/>
          <w:i/>
          <w:iCs/>
          <w:u w:val="single"/>
        </w:rPr>
        <w:t>information between the MN and SN?</w:t>
      </w:r>
    </w:p>
    <w:p>
      <w:pPr>
        <w:rPr>
          <w:szCs w:val="21"/>
        </w:rPr>
      </w:pPr>
      <w:r>
        <w:rPr>
          <w:rFonts w:hint="eastAsia"/>
          <w:szCs w:val="21"/>
        </w:rPr>
        <w:t>We would like to discuss these 2 issues one by one.</w:t>
      </w:r>
    </w:p>
    <w:p>
      <w:pPr>
        <w:rPr>
          <w:b/>
          <w:i/>
          <w:iCs/>
          <w:u w:val="single"/>
        </w:rPr>
      </w:pPr>
      <w:r>
        <w:rPr>
          <w:b/>
          <w:i/>
          <w:iCs/>
          <w:u w:val="single"/>
        </w:rPr>
        <w:t xml:space="preserve">Which </w:t>
      </w:r>
      <w:r>
        <w:rPr>
          <w:rFonts w:hint="eastAsia"/>
          <w:b/>
          <w:i/>
          <w:iCs/>
          <w:u w:val="single"/>
        </w:rPr>
        <w:t xml:space="preserve">kind of frequency ranges </w:t>
      </w:r>
      <w:r>
        <w:rPr>
          <w:b/>
          <w:i/>
          <w:iCs/>
          <w:u w:val="single"/>
        </w:rPr>
        <w:t>shall be exchanged between the MN and SN?</w:t>
      </w:r>
    </w:p>
    <w:p>
      <w:pPr>
        <w:rPr>
          <w:szCs w:val="21"/>
        </w:rPr>
      </w:pPr>
      <w:r>
        <w:rPr>
          <w:rFonts w:hint="eastAsia"/>
          <w:szCs w:val="21"/>
        </w:rPr>
        <w:t>Generally, there are 2 options:</w:t>
      </w:r>
    </w:p>
    <w:p>
      <w:pPr>
        <w:numPr>
          <w:ilvl w:val="0"/>
          <w:numId w:val="7"/>
        </w:numPr>
        <w:rPr>
          <w:bCs/>
        </w:rPr>
      </w:pPr>
      <w:r>
        <w:rPr>
          <w:bCs/>
        </w:rPr>
        <w:t xml:space="preserve">Option </w:t>
      </w:r>
      <w:r>
        <w:rPr>
          <w:rFonts w:hint="eastAsia"/>
          <w:bCs/>
        </w:rPr>
        <w:t>1</w:t>
      </w:r>
      <w:r>
        <w:rPr>
          <w:bCs/>
        </w:rPr>
        <w:t xml:space="preserve">: The </w:t>
      </w:r>
      <w:r>
        <w:rPr>
          <w:rFonts w:hint="eastAsia"/>
          <w:bCs/>
        </w:rPr>
        <w:t>MN</w:t>
      </w:r>
      <w:r>
        <w:rPr>
          <w:bCs/>
        </w:rPr>
        <w:t xml:space="preserve"> exchange both the current serving Frequency Ranges and the potential serving Frequency Ranges that are included in MR-DC IDC combination</w:t>
      </w:r>
      <w:r>
        <w:rPr>
          <w:rFonts w:hint="eastAsia"/>
          <w:bCs/>
        </w:rPr>
        <w:t>.</w:t>
      </w:r>
    </w:p>
    <w:p>
      <w:pPr>
        <w:numPr>
          <w:ilvl w:val="0"/>
          <w:numId w:val="7"/>
        </w:numPr>
        <w:rPr>
          <w:bCs/>
        </w:rPr>
      </w:pPr>
      <w:r>
        <w:rPr>
          <w:bCs/>
        </w:rPr>
        <w:t>Option</w:t>
      </w:r>
      <w:r>
        <w:rPr>
          <w:rFonts w:hint="eastAsia"/>
          <w:bCs/>
        </w:rPr>
        <w:t xml:space="preserve"> 2:</w:t>
      </w:r>
      <w:r>
        <w:rPr>
          <w:bCs/>
        </w:rPr>
        <w:t xml:space="preserve"> The </w:t>
      </w:r>
      <w:r>
        <w:rPr>
          <w:rFonts w:hint="eastAsia"/>
          <w:bCs/>
        </w:rPr>
        <w:t>MN</w:t>
      </w:r>
      <w:r>
        <w:rPr>
          <w:bCs/>
        </w:rPr>
        <w:t xml:space="preserve"> only exchange the current serving Frequency Ranges that are included in MR-DC IDC combination</w:t>
      </w:r>
      <w:r>
        <w:rPr>
          <w:rFonts w:hint="eastAsia"/>
          <w:bCs/>
        </w:rPr>
        <w:t>.</w:t>
      </w:r>
    </w:p>
    <w:p>
      <w:pPr>
        <w:rPr>
          <w:szCs w:val="21"/>
        </w:rPr>
      </w:pPr>
      <w:r>
        <w:rPr>
          <w:rFonts w:hint="eastAsia"/>
          <w:szCs w:val="21"/>
        </w:rPr>
        <w:t>With option 1, the SN can</w:t>
      </w:r>
      <w:r>
        <w:rPr>
          <w:szCs w:val="21"/>
        </w:rPr>
        <w:t>’</w:t>
      </w:r>
      <w:r>
        <w:rPr>
          <w:rFonts w:hint="eastAsia"/>
          <w:szCs w:val="21"/>
        </w:rPr>
        <w:t>t get the exact MN current working Frequency Ranges information, so it has less configuration flexibility. However, with the option 2,</w:t>
      </w:r>
      <w:r>
        <w:rPr>
          <w:szCs w:val="21"/>
        </w:rPr>
        <w:t xml:space="preserve"> </w:t>
      </w:r>
      <w:r>
        <w:rPr>
          <w:rFonts w:hint="eastAsia"/>
          <w:szCs w:val="21"/>
        </w:rPr>
        <w:t>o</w:t>
      </w:r>
      <w:r>
        <w:rPr>
          <w:szCs w:val="21"/>
        </w:rPr>
        <w:t>nce the MN change</w:t>
      </w:r>
      <w:r>
        <w:rPr>
          <w:rFonts w:hint="eastAsia"/>
          <w:szCs w:val="21"/>
        </w:rPr>
        <w:t>s</w:t>
      </w:r>
      <w:r>
        <w:rPr>
          <w:szCs w:val="21"/>
        </w:rPr>
        <w:t xml:space="preserve"> the cell or the </w:t>
      </w:r>
      <w:r>
        <w:rPr>
          <w:rFonts w:hint="eastAsia"/>
          <w:szCs w:val="21"/>
        </w:rPr>
        <w:t xml:space="preserve">frequency range </w:t>
      </w:r>
      <w:r>
        <w:rPr>
          <w:szCs w:val="21"/>
        </w:rPr>
        <w:t xml:space="preserve">allocation, the MN </w:t>
      </w:r>
      <w:r>
        <w:rPr>
          <w:rFonts w:hint="eastAsia"/>
          <w:szCs w:val="21"/>
        </w:rPr>
        <w:t xml:space="preserve">may </w:t>
      </w:r>
      <w:r>
        <w:rPr>
          <w:szCs w:val="21"/>
        </w:rPr>
        <w:t>need to coordinate with the SN again.</w:t>
      </w:r>
      <w:r>
        <w:rPr>
          <w:rFonts w:hint="eastAsia"/>
          <w:szCs w:val="21"/>
        </w:rPr>
        <w:t xml:space="preserve"> To avoid frequency coordination between the MN and SN, the option 1 is slightly preferred.</w:t>
      </w:r>
    </w:p>
    <w:p>
      <w:pPr>
        <w:widowControl/>
        <w:overflowPunct w:val="0"/>
        <w:autoSpaceDE w:val="0"/>
        <w:autoSpaceDN w:val="0"/>
        <w:adjustRightInd w:val="0"/>
        <w:spacing w:after="180"/>
        <w:jc w:val="left"/>
        <w:rPr>
          <w:b/>
          <w:bCs/>
        </w:rPr>
      </w:pPr>
      <w:r>
        <w:rPr>
          <w:rFonts w:hint="eastAsia"/>
          <w:b/>
          <w:bCs/>
        </w:rPr>
        <w:t xml:space="preserve">Proposal 5: </w:t>
      </w:r>
      <w:r>
        <w:rPr>
          <w:b/>
          <w:bCs/>
        </w:rPr>
        <w:t xml:space="preserve">The </w:t>
      </w:r>
      <w:r>
        <w:rPr>
          <w:rFonts w:hint="eastAsia"/>
          <w:b/>
          <w:bCs/>
        </w:rPr>
        <w:t>MN</w:t>
      </w:r>
      <w:r>
        <w:rPr>
          <w:b/>
          <w:bCs/>
        </w:rPr>
        <w:t xml:space="preserve"> exchange both the current serving Frequency Ranges and the potential serving Frequency Ranges that are included in MR-DC IDC combination</w:t>
      </w:r>
      <w:r>
        <w:rPr>
          <w:rFonts w:hint="eastAsia"/>
          <w:b/>
          <w:bCs/>
        </w:rPr>
        <w:t>.</w:t>
      </w:r>
    </w:p>
    <w:p>
      <w:pPr>
        <w:rPr>
          <w:b/>
          <w:szCs w:val="21"/>
        </w:rPr>
      </w:pPr>
      <w:r>
        <w:rPr>
          <w:b/>
          <w:i/>
          <w:iCs/>
          <w:u w:val="single"/>
        </w:rPr>
        <w:t>How to exchange</w:t>
      </w:r>
      <w:r>
        <w:rPr>
          <w:rFonts w:hint="eastAsia"/>
          <w:b/>
          <w:i/>
          <w:iCs/>
          <w:u w:val="single"/>
        </w:rPr>
        <w:t xml:space="preserve"> the frequency range </w:t>
      </w:r>
      <w:r>
        <w:rPr>
          <w:b/>
          <w:i/>
          <w:iCs/>
          <w:u w:val="single"/>
        </w:rPr>
        <w:t>information between the MN and SN?</w:t>
      </w:r>
    </w:p>
    <w:p>
      <w:pPr>
        <w:rPr>
          <w:bCs/>
        </w:rPr>
      </w:pPr>
      <w:r>
        <w:rPr>
          <w:bCs/>
        </w:rPr>
        <w:t xml:space="preserve">For the Question 2, the UE can exchange the related </w:t>
      </w:r>
      <w:r>
        <w:rPr>
          <w:rFonts w:hint="eastAsia"/>
          <w:bCs/>
        </w:rPr>
        <w:t>frequency</w:t>
      </w:r>
      <w:r>
        <w:rPr>
          <w:bCs/>
        </w:rPr>
        <w:t xml:space="preserve"> ranges information explicitly or implicitly</w:t>
      </w:r>
      <w:r>
        <w:rPr>
          <w:rFonts w:hint="eastAsia"/>
          <w:bCs/>
        </w:rPr>
        <w:t>. The explicit way means that the MN indicate the dedicated frequency range immediately, while the implicit way means that the MN can indicate which MR-ID IDC combinations are forbidden.</w:t>
      </w:r>
    </w:p>
    <w:p>
      <w:pPr>
        <w:rPr>
          <w:bCs/>
        </w:rPr>
      </w:pPr>
      <w:r>
        <w:rPr>
          <w:bCs/>
        </w:rPr>
        <w:t xml:space="preserve">Take the below Fig </w:t>
      </w:r>
      <w:r>
        <w:rPr>
          <w:rFonts w:hint="eastAsia"/>
          <w:bCs/>
        </w:rPr>
        <w:t>3</w:t>
      </w:r>
      <w:r>
        <w:rPr>
          <w:bCs/>
        </w:rPr>
        <w:t xml:space="preserve"> as an example</w:t>
      </w:r>
      <w:r>
        <w:rPr>
          <w:rFonts w:hint="eastAsia"/>
          <w:bCs/>
        </w:rPr>
        <w:t>, the UE report MR-DC IDC comb 1~6, and the MN selects f1 frequency Range 1/2 and f3 frequency range 2 as the (potential) serving frequency ranges.</w:t>
      </w:r>
    </w:p>
    <w:tbl>
      <w:tblPr>
        <w:tblStyle w:val="5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9" w:hRule="atLeast"/>
          <w:jc w:val="center"/>
        </w:trPr>
        <w:tc>
          <w:tcPr>
            <w:tcW w:w="8480" w:type="dxa"/>
          </w:tcPr>
          <w:p>
            <w:pPr>
              <w:jc w:val="center"/>
              <w:rPr>
                <w:lang w:eastAsia="en-US"/>
              </w:rPr>
            </w:pPr>
            <w:r>
              <w:rPr>
                <w:lang w:eastAsia="en-US"/>
              </w:rPr>
              <w:object>
                <v:shape id="_x0000_i1030" o:spt="75" type="#_x0000_t75" style="height:211.5pt;width:349.5pt;" o:ole="t" filled="f" o:preferrelative="t" stroked="f" coordsize="21600,21600">
                  <v:path/>
                  <v:fill on="f" focussize="0,0"/>
                  <v:stroke on="f" joinstyle="miter"/>
                  <v:imagedata r:id="rId19" o:title=""/>
                  <o:lock v:ext="edit" aspectratio="f"/>
                  <w10:wrap type="none"/>
                  <w10:anchorlock/>
                </v:shape>
                <o:OLEObject Type="Embed" ProgID="Visio.Drawing.15" ShapeID="_x0000_i1030" DrawAspect="Content" ObjectID="_1468075730" r:id="rId18">
                  <o:LockedField>false</o:LockedField>
                </o:OLEObject>
              </w:object>
            </w:r>
          </w:p>
          <w:p>
            <w:pPr>
              <w:rPr>
                <w:lang w:eastAsia="en-US"/>
              </w:rPr>
            </w:pPr>
          </w:p>
        </w:tc>
      </w:tr>
    </w:tbl>
    <w:p>
      <w:pPr>
        <w:jc w:val="center"/>
        <w:rPr>
          <w:b/>
          <w:bCs/>
        </w:rPr>
      </w:pPr>
      <w:r>
        <w:rPr>
          <w:rFonts w:hint="eastAsia"/>
          <w:b/>
          <w:bCs/>
        </w:rPr>
        <w:t>Fig 3: MR-DC IDC Combination</w:t>
      </w:r>
    </w:p>
    <w:p>
      <w:pPr>
        <w:numPr>
          <w:ilvl w:val="0"/>
          <w:numId w:val="8"/>
        </w:numPr>
        <w:rPr>
          <w:bCs/>
        </w:rPr>
      </w:pPr>
      <w:r>
        <w:rPr>
          <w:rFonts w:hint="eastAsia"/>
          <w:bCs/>
        </w:rPr>
        <w:t>Explicit Way:</w:t>
      </w:r>
    </w:p>
    <w:p>
      <w:pPr>
        <w:numPr>
          <w:ilvl w:val="0"/>
          <w:numId w:val="9"/>
        </w:numPr>
        <w:rPr>
          <w:bCs/>
        </w:rPr>
      </w:pPr>
      <w:r>
        <w:rPr>
          <w:rFonts w:hint="eastAsia"/>
          <w:bCs/>
        </w:rPr>
        <w:t>MN-&gt;SN: F1+Frequency Range 1 Frequency range 2  F3 + Frequency range 1</w:t>
      </w:r>
    </w:p>
    <w:p>
      <w:pPr>
        <w:numPr>
          <w:ilvl w:val="0"/>
          <w:numId w:val="8"/>
        </w:numPr>
        <w:rPr>
          <w:bCs/>
        </w:rPr>
      </w:pPr>
      <w:r>
        <w:rPr>
          <w:rFonts w:hint="eastAsia"/>
          <w:bCs/>
        </w:rPr>
        <w:t xml:space="preserve">Implicit way: </w:t>
      </w:r>
    </w:p>
    <w:p>
      <w:pPr>
        <w:numPr>
          <w:ilvl w:val="0"/>
          <w:numId w:val="9"/>
        </w:numPr>
        <w:rPr>
          <w:bCs/>
        </w:rPr>
      </w:pPr>
      <w:r>
        <w:rPr>
          <w:rFonts w:hint="eastAsia"/>
          <w:bCs/>
        </w:rPr>
        <w:t>MN-&gt;SN: Forbidden IDC comb Index = 1/2/4/6</w:t>
      </w:r>
    </w:p>
    <w:p>
      <w:pPr>
        <w:rPr>
          <w:bCs/>
        </w:rPr>
      </w:pPr>
      <w:r>
        <w:rPr>
          <w:bCs/>
        </w:rPr>
        <w:t xml:space="preserve">By both above methods, the SN would know that only frequency range 3 on the f2 can be considered. </w:t>
      </w:r>
      <w:r>
        <w:rPr>
          <w:rFonts w:hint="eastAsia"/>
          <w:bCs/>
        </w:rPr>
        <w:t>Considering that the implicit way can save more signaling bits, RAN2 can take the implicit way as baseline.</w:t>
      </w:r>
    </w:p>
    <w:p>
      <w:pPr>
        <w:widowControl/>
        <w:overflowPunct w:val="0"/>
        <w:autoSpaceDE w:val="0"/>
        <w:autoSpaceDN w:val="0"/>
        <w:adjustRightInd w:val="0"/>
        <w:spacing w:after="180"/>
        <w:jc w:val="left"/>
        <w:rPr>
          <w:b/>
          <w:bCs/>
        </w:rPr>
      </w:pPr>
      <w:r>
        <w:rPr>
          <w:rFonts w:hint="eastAsia"/>
          <w:b/>
          <w:bCs/>
        </w:rPr>
        <w:t xml:space="preserve">Proposal 6: </w:t>
      </w:r>
      <w:r>
        <w:rPr>
          <w:b/>
          <w:bCs/>
        </w:rPr>
        <w:t>The i</w:t>
      </w:r>
      <w:r>
        <w:rPr>
          <w:rFonts w:hint="eastAsia"/>
          <w:b/>
          <w:bCs/>
        </w:rPr>
        <w:t>mplicit way (e.g. Forbidden MR-DC IDC Comb Index) can be taken as baseline for the MN to indicate its (potential) serving frequency range to the SN.</w:t>
      </w:r>
    </w:p>
    <w:p>
      <w:pPr>
        <w:pStyle w:val="3"/>
        <w:ind w:left="0" w:firstLine="0"/>
        <w:rPr>
          <w:rFonts w:ascii="Times New Roman" w:hAnsi="Times New Roman"/>
          <w:lang w:val="en-US"/>
        </w:rPr>
      </w:pPr>
      <w:r>
        <w:rPr>
          <w:rFonts w:hint="eastAsia" w:ascii="Times New Roman" w:hAnsi="Times New Roman"/>
          <w:lang w:val="en-US"/>
        </w:rPr>
        <w:t>2.4 Impact to RAN3</w:t>
      </w:r>
    </w:p>
    <w:p>
      <w:r>
        <w:rPr>
          <w:rFonts w:hint="eastAsia"/>
        </w:rPr>
        <w:t>In this chapter, we</w:t>
      </w:r>
      <w:r>
        <w:t>’</w:t>
      </w:r>
      <w:r>
        <w:rPr>
          <w:rFonts w:hint="eastAsia"/>
        </w:rPr>
        <w:t xml:space="preserve">d like to discuss whether the FDM enhancement would have impact to the RAN3. With FDM enhancement, once the network accept the IDC reporting with bandwidth granularity, it means that the gNB can only schedule the UE on the available frequency range. </w:t>
      </w:r>
    </w:p>
    <w:p>
      <w:pPr>
        <w:rPr>
          <w:b/>
          <w:bCs/>
        </w:rPr>
      </w:pPr>
      <w:r>
        <w:rPr>
          <w:rFonts w:hint="eastAsia"/>
          <w:b/>
          <w:bCs/>
        </w:rPr>
        <w:t>Observation</w:t>
      </w:r>
      <w:r>
        <w:rPr>
          <w:b/>
          <w:bCs/>
        </w:rPr>
        <w:t xml:space="preserve"> 5</w:t>
      </w:r>
      <w:r>
        <w:rPr>
          <w:rFonts w:hint="eastAsia"/>
          <w:b/>
          <w:bCs/>
        </w:rPr>
        <w:t xml:space="preserve">: With IDC FDM enhancement, the gNB can only schedule the UE on the available frequency range. </w:t>
      </w:r>
    </w:p>
    <w:p>
      <w:pPr>
        <w:rPr>
          <w:b/>
          <w:bCs/>
        </w:rPr>
      </w:pPr>
      <w:r>
        <w:rPr>
          <w:rFonts w:hint="eastAsia"/>
        </w:rPr>
        <w:t>Thus, the DU may need to know the available frequency range information from the CU. Anyway whether and how the CU indicate</w:t>
      </w:r>
      <w:r>
        <w:t>s</w:t>
      </w:r>
      <w:r>
        <w:rPr>
          <w:rFonts w:hint="eastAsia"/>
        </w:rPr>
        <w:t xml:space="preserve"> DU such kind of information shall be determined by RAN3, a LS to RAN3 may be </w:t>
      </w:r>
      <w:r>
        <w:t>needed</w:t>
      </w:r>
    </w:p>
    <w:p>
      <w:pPr>
        <w:rPr>
          <w:b/>
          <w:bCs/>
        </w:rPr>
      </w:pPr>
      <w:r>
        <w:rPr>
          <w:rFonts w:hint="eastAsia"/>
          <w:b/>
          <w:bCs/>
        </w:rPr>
        <w:t xml:space="preserve">Proposal </w:t>
      </w:r>
      <w:r>
        <w:rPr>
          <w:b/>
          <w:bCs/>
        </w:rPr>
        <w:t>7</w:t>
      </w:r>
      <w:r>
        <w:rPr>
          <w:rFonts w:hint="eastAsia"/>
          <w:b/>
          <w:bCs/>
        </w:rPr>
        <w:t xml:space="preserve">: Send an LS to RAN3 to indicate that </w:t>
      </w:r>
      <w:r>
        <w:rPr>
          <w:b/>
          <w:bCs/>
        </w:rPr>
        <w:t>w</w:t>
      </w:r>
      <w:r>
        <w:rPr>
          <w:rFonts w:hint="eastAsia"/>
          <w:b/>
          <w:bCs/>
        </w:rPr>
        <w:t xml:space="preserve">ith IDC FDM enhancement, the gNB can only schedule the UE on the available frequency range. </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spacing w:before="156" w:beforeLines="50"/>
      </w:pPr>
      <w:r>
        <w:rPr>
          <w:rFonts w:hint="eastAsia"/>
        </w:rPr>
        <w:t xml:space="preserve">With the above analysis, we have the following </w:t>
      </w:r>
      <w:r>
        <w:t>proposals</w:t>
      </w:r>
      <w:r>
        <w:rPr>
          <w:rFonts w:hint="eastAsia"/>
        </w:rPr>
        <w:t>:</w:t>
      </w:r>
    </w:p>
    <w:p>
      <w:pPr>
        <w:rPr>
          <w:b/>
          <w:bCs/>
        </w:rPr>
      </w:pPr>
      <w:r>
        <w:rPr>
          <w:rFonts w:hint="eastAsia"/>
          <w:b/>
          <w:bCs/>
        </w:rPr>
        <w:t>Proposal 1: Ran2 to confirm which option shall be selected as baseline for the MN configured IDC procedure.</w:t>
      </w:r>
    </w:p>
    <w:p>
      <w:pPr>
        <w:numPr>
          <w:ilvl w:val="0"/>
          <w:numId w:val="5"/>
        </w:numPr>
        <w:rPr>
          <w:b/>
          <w:bCs/>
        </w:rPr>
      </w:pPr>
      <w:r>
        <w:rPr>
          <w:rFonts w:hint="eastAsia"/>
          <w:b/>
          <w:bCs/>
        </w:rPr>
        <w:t>Option 1: Similar to the legacy EN-DC IDC reporting, the MN indicates the candidate frequency list from both MN and SN with one list to the UE</w:t>
      </w:r>
    </w:p>
    <w:p>
      <w:pPr>
        <w:numPr>
          <w:ilvl w:val="0"/>
          <w:numId w:val="5"/>
        </w:numPr>
        <w:rPr>
          <w:b/>
          <w:bCs/>
        </w:rPr>
      </w:pPr>
      <w:r>
        <w:rPr>
          <w:rFonts w:hint="eastAsia"/>
          <w:b/>
          <w:bCs/>
        </w:rPr>
        <w:t>Option 2: The MN indicates the candidate frequency list from the MN and SN separately to the UE</w:t>
      </w:r>
    </w:p>
    <w:p>
      <w:pPr>
        <w:rPr>
          <w:b/>
          <w:bCs/>
        </w:rPr>
      </w:pPr>
      <w:r>
        <w:rPr>
          <w:rFonts w:hint="eastAsia"/>
          <w:b/>
          <w:bCs/>
        </w:rPr>
        <w:t>Proposal 1a: Take the above option 1 as baseline for the MN configured IDC Procedure.</w:t>
      </w:r>
    </w:p>
    <w:p>
      <w:pPr>
        <w:rPr>
          <w:b/>
          <w:bCs/>
        </w:rPr>
      </w:pPr>
      <w:r>
        <w:rPr>
          <w:rFonts w:hint="eastAsia"/>
          <w:b/>
          <w:bCs/>
        </w:rPr>
        <w:t>Observation 1: The MN configured IDC procedure can also support to configure IDC for the SN side only.</w:t>
      </w:r>
    </w:p>
    <w:p>
      <w:pPr>
        <w:rPr>
          <w:b/>
          <w:bCs/>
        </w:rPr>
      </w:pPr>
      <w:r>
        <w:rPr>
          <w:rFonts w:hint="eastAsia"/>
          <w:b/>
          <w:bCs/>
        </w:rPr>
        <w:t>Observation 2: For the case that the MN also need to acquire the MR-DC IDC, SN configure IDC with transparent way would cause repeated IDC reporting.</w:t>
      </w:r>
    </w:p>
    <w:p>
      <w:pPr>
        <w:rPr>
          <w:b/>
          <w:bCs/>
        </w:rPr>
      </w:pPr>
      <w:r>
        <w:rPr>
          <w:rFonts w:hint="eastAsia"/>
          <w:b/>
          <w:bCs/>
        </w:rPr>
        <w:t>Proposal 3: Do not support SN configuring IDC with transparent way.</w:t>
      </w:r>
    </w:p>
    <w:p>
      <w:pPr>
        <w:rPr>
          <w:b/>
          <w:bCs/>
        </w:rPr>
      </w:pPr>
      <w:r>
        <w:rPr>
          <w:rFonts w:hint="eastAsia"/>
          <w:b/>
          <w:bCs/>
        </w:rPr>
        <w:t xml:space="preserve">Observation </w:t>
      </w:r>
      <w:r>
        <w:rPr>
          <w:b/>
          <w:bCs/>
        </w:rPr>
        <w:t>3</w:t>
      </w:r>
      <w:r>
        <w:rPr>
          <w:rFonts w:hint="eastAsia"/>
          <w:b/>
          <w:bCs/>
        </w:rPr>
        <w:t xml:space="preserve">: </w:t>
      </w:r>
      <w:r>
        <w:rPr>
          <w:b/>
          <w:bCs/>
        </w:rPr>
        <w:t>For the legacy MN-SN coordination, b</w:t>
      </w:r>
      <w:r>
        <w:rPr>
          <w:rFonts w:hint="eastAsia"/>
          <w:b/>
          <w:bCs/>
        </w:rPr>
        <w:t xml:space="preserve">esides the </w:t>
      </w:r>
      <w:r>
        <w:rPr>
          <w:rFonts w:hint="eastAsia"/>
          <w:b/>
          <w:bCs/>
          <w:szCs w:val="21"/>
          <w:lang w:eastAsia="en-US"/>
        </w:rPr>
        <w:t>MR-DC related IDC interference information</w:t>
      </w:r>
      <w:r>
        <w:rPr>
          <w:rFonts w:hint="eastAsia"/>
          <w:b/>
          <w:bCs/>
          <w:szCs w:val="21"/>
        </w:rPr>
        <w:t>, the SN also need to know which carriers would be used by the MN side to further determine the available carriers at the SN side.</w:t>
      </w:r>
    </w:p>
    <w:p>
      <w:pPr>
        <w:rPr>
          <w:b/>
          <w:bCs/>
        </w:rPr>
      </w:pPr>
      <w:r>
        <w:rPr>
          <w:rFonts w:hint="eastAsia"/>
          <w:b/>
          <w:bCs/>
        </w:rPr>
        <w:t xml:space="preserve">Observation </w:t>
      </w:r>
      <w:r>
        <w:rPr>
          <w:b/>
          <w:bCs/>
        </w:rPr>
        <w:t>4</w:t>
      </w:r>
      <w:r>
        <w:rPr>
          <w:rFonts w:hint="eastAsia"/>
          <w:b/>
          <w:bCs/>
        </w:rPr>
        <w:t xml:space="preserve">: </w:t>
      </w:r>
      <w:r>
        <w:rPr>
          <w:b/>
          <w:bCs/>
        </w:rPr>
        <w:t xml:space="preserve">For the legacy carrier-based scheme, the </w:t>
      </w:r>
      <w:r>
        <w:rPr>
          <w:rFonts w:hint="eastAsia"/>
          <w:b/>
          <w:bCs/>
        </w:rPr>
        <w:t xml:space="preserve">SN can determine the available carrier entries based on the MR-DC IDC interference information and the </w:t>
      </w:r>
      <w:r>
        <w:rPr>
          <w:b/>
          <w:bCs/>
          <w:i/>
          <w:iCs/>
        </w:rPr>
        <w:t>selectedBandEntriesMNList</w:t>
      </w:r>
      <w:r>
        <w:rPr>
          <w:rFonts w:hint="eastAsia"/>
          <w:b/>
          <w:bCs/>
          <w:i/>
          <w:iCs/>
        </w:rPr>
        <w:t>.</w:t>
      </w:r>
    </w:p>
    <w:p>
      <w:pPr>
        <w:rPr>
          <w:b/>
          <w:bCs/>
          <w:szCs w:val="21"/>
        </w:rPr>
      </w:pPr>
      <w:r>
        <w:rPr>
          <w:rFonts w:hint="eastAsia"/>
          <w:b/>
          <w:bCs/>
        </w:rPr>
        <w:t xml:space="preserve">Proposal 4: For the MR-IDC reporting with FDM enhancement, besides the </w:t>
      </w:r>
      <w:r>
        <w:rPr>
          <w:rFonts w:hint="eastAsia"/>
          <w:b/>
          <w:bCs/>
          <w:szCs w:val="21"/>
          <w:lang w:eastAsia="en-US"/>
        </w:rPr>
        <w:t>MR-DC related IDC interference information</w:t>
      </w:r>
      <w:r>
        <w:rPr>
          <w:rFonts w:hint="eastAsia"/>
          <w:b/>
          <w:bCs/>
          <w:szCs w:val="21"/>
        </w:rPr>
        <w:t>, the SN shall also know which frequency ranges would be used by the MN side to further determine the available frequency ranges at the SN side.</w:t>
      </w:r>
    </w:p>
    <w:p>
      <w:pPr>
        <w:widowControl/>
        <w:overflowPunct w:val="0"/>
        <w:autoSpaceDE w:val="0"/>
        <w:autoSpaceDN w:val="0"/>
        <w:adjustRightInd w:val="0"/>
        <w:spacing w:after="180"/>
        <w:jc w:val="left"/>
        <w:rPr>
          <w:b/>
          <w:bCs/>
        </w:rPr>
      </w:pPr>
      <w:r>
        <w:rPr>
          <w:rFonts w:hint="eastAsia"/>
          <w:b/>
          <w:bCs/>
        </w:rPr>
        <w:t xml:space="preserve">Proposal 5: </w:t>
      </w:r>
      <w:r>
        <w:rPr>
          <w:b/>
          <w:bCs/>
        </w:rPr>
        <w:t xml:space="preserve">The </w:t>
      </w:r>
      <w:r>
        <w:rPr>
          <w:rFonts w:hint="eastAsia"/>
          <w:b/>
          <w:bCs/>
        </w:rPr>
        <w:t>MN</w:t>
      </w:r>
      <w:r>
        <w:rPr>
          <w:b/>
          <w:bCs/>
        </w:rPr>
        <w:t xml:space="preserve"> exchange both the current serving Frequency Ranges and the potential serving Frequency Ranges that are included in MR-DC IDC combination</w:t>
      </w:r>
      <w:r>
        <w:rPr>
          <w:rFonts w:hint="eastAsia"/>
          <w:b/>
          <w:bCs/>
        </w:rPr>
        <w:t>.</w:t>
      </w:r>
    </w:p>
    <w:p>
      <w:pPr>
        <w:widowControl/>
        <w:overflowPunct w:val="0"/>
        <w:autoSpaceDE w:val="0"/>
        <w:autoSpaceDN w:val="0"/>
        <w:adjustRightInd w:val="0"/>
        <w:spacing w:after="180"/>
        <w:jc w:val="left"/>
        <w:rPr>
          <w:b/>
          <w:bCs/>
        </w:rPr>
      </w:pPr>
      <w:r>
        <w:rPr>
          <w:rFonts w:hint="eastAsia"/>
          <w:b/>
          <w:bCs/>
        </w:rPr>
        <w:t xml:space="preserve">Proposal 6: </w:t>
      </w:r>
      <w:r>
        <w:rPr>
          <w:b/>
          <w:bCs/>
        </w:rPr>
        <w:t>The i</w:t>
      </w:r>
      <w:r>
        <w:rPr>
          <w:rFonts w:hint="eastAsia"/>
          <w:b/>
          <w:bCs/>
        </w:rPr>
        <w:t>mplicit way (e.g. Forbidden MR-DC IDC Comb Index) can be taken as baseline for the MN to indicate its (potential) serving frequency range to the SN.</w:t>
      </w:r>
    </w:p>
    <w:p>
      <w:pPr>
        <w:rPr>
          <w:b/>
          <w:bCs/>
        </w:rPr>
      </w:pPr>
      <w:r>
        <w:rPr>
          <w:rFonts w:hint="eastAsia"/>
          <w:b/>
          <w:bCs/>
        </w:rPr>
        <w:t>Observation</w:t>
      </w:r>
      <w:r>
        <w:rPr>
          <w:b/>
          <w:bCs/>
        </w:rPr>
        <w:t xml:space="preserve"> 5</w:t>
      </w:r>
      <w:r>
        <w:rPr>
          <w:rFonts w:hint="eastAsia"/>
          <w:b/>
          <w:bCs/>
        </w:rPr>
        <w:t xml:space="preserve">: With IDC FDM enhancement, the gNB can only schedule the UE on the available frequency range. </w:t>
      </w:r>
    </w:p>
    <w:p>
      <w:r>
        <w:rPr>
          <w:rFonts w:hint="eastAsia"/>
          <w:b/>
          <w:bCs/>
        </w:rPr>
        <w:t xml:space="preserve">Proposal </w:t>
      </w:r>
      <w:r>
        <w:rPr>
          <w:b/>
          <w:bCs/>
        </w:rPr>
        <w:t>7</w:t>
      </w:r>
      <w:r>
        <w:rPr>
          <w:rFonts w:hint="eastAsia"/>
          <w:b/>
          <w:bCs/>
        </w:rPr>
        <w:t xml:space="preserve">: Send an LS to RAN3 to indicate that </w:t>
      </w:r>
      <w:r>
        <w:rPr>
          <w:b/>
          <w:bCs/>
        </w:rPr>
        <w:t>w</w:t>
      </w:r>
      <w:r>
        <w:rPr>
          <w:rFonts w:hint="eastAsia"/>
          <w:b/>
          <w:bCs/>
        </w:rPr>
        <w:t xml:space="preserve">ith IDC FDM enhancement, the gNB can only schedule the UE on the available frequency range. </w:t>
      </w:r>
    </w:p>
    <w:sectPr>
      <w:headerReference r:id="rId5" w:type="default"/>
      <w:footerReference r:id="rId6" w:type="default"/>
      <w:pgSz w:w="11906" w:h="16838"/>
      <w:pgMar w:top="1440" w:right="1274" w:bottom="1440" w:left="85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ED5D4E"/>
    <w:multiLevelType w:val="singleLevel"/>
    <w:tmpl w:val="E7ED5D4E"/>
    <w:lvl w:ilvl="0" w:tentative="0">
      <w:start w:val="1"/>
      <w:numFmt w:val="bullet"/>
      <w:lvlText w:val=""/>
      <w:lvlJc w:val="left"/>
      <w:pPr>
        <w:ind w:left="420" w:hanging="42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ascii="Arial" w:hAnsi="Arial" w:cs="Arial"/>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5655B68"/>
    <w:multiLevelType w:val="singleLevel"/>
    <w:tmpl w:val="15655B68"/>
    <w:lvl w:ilvl="0" w:tentative="0">
      <w:start w:val="1"/>
      <w:numFmt w:val="bullet"/>
      <w:lvlText w:val=""/>
      <w:lvlJc w:val="left"/>
      <w:pPr>
        <w:ind w:left="420" w:hanging="420"/>
      </w:pPr>
      <w:rPr>
        <w:rFonts w:hint="default" w:ascii="Wingdings" w:hAnsi="Wingdings"/>
      </w:rPr>
    </w:lvl>
  </w:abstractNum>
  <w:abstractNum w:abstractNumId="4">
    <w:nsid w:val="4383BC7F"/>
    <w:multiLevelType w:val="singleLevel"/>
    <w:tmpl w:val="4383BC7F"/>
    <w:lvl w:ilvl="0" w:tentative="0">
      <w:start w:val="1"/>
      <w:numFmt w:val="bullet"/>
      <w:lvlText w:val=""/>
      <w:lvlJc w:val="left"/>
      <w:pPr>
        <w:ind w:left="420" w:hanging="420"/>
      </w:pPr>
      <w:rPr>
        <w:rFonts w:hint="default" w:ascii="Wingdings" w:hAnsi="Wingdings"/>
      </w:rPr>
    </w:lvl>
  </w:abstractNum>
  <w:abstractNum w:abstractNumId="5">
    <w:nsid w:val="448B6804"/>
    <w:multiLevelType w:val="singleLevel"/>
    <w:tmpl w:val="448B6804"/>
    <w:lvl w:ilvl="0" w:tentative="0">
      <w:start w:val="1"/>
      <w:numFmt w:val="bullet"/>
      <w:lvlText w:val=""/>
      <w:lvlJc w:val="left"/>
      <w:pPr>
        <w:ind w:left="1050" w:hanging="420"/>
      </w:pPr>
      <w:rPr>
        <w:rFonts w:hint="default" w:ascii="Wingdings" w:hAnsi="Wingdings"/>
      </w:rPr>
    </w:lvl>
  </w:abstractNum>
  <w:abstractNum w:abstractNumId="6">
    <w:nsid w:val="46E48D2A"/>
    <w:multiLevelType w:val="singleLevel"/>
    <w:tmpl w:val="46E48D2A"/>
    <w:lvl w:ilvl="0" w:tentative="0">
      <w:start w:val="1"/>
      <w:numFmt w:val="decimal"/>
      <w:suff w:val="space"/>
      <w:lvlText w:val="(%1)"/>
      <w:lvlJc w:val="left"/>
    </w:lvl>
  </w:abstractNum>
  <w:abstractNum w:abstractNumId="7">
    <w:nsid w:val="4BDF65F6"/>
    <w:multiLevelType w:val="multilevel"/>
    <w:tmpl w:val="4BDF65F6"/>
    <w:lvl w:ilvl="0" w:tentative="0">
      <w:start w:val="1"/>
      <w:numFmt w:val="decimal"/>
      <w:pStyle w:val="28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8"/>
  </w:num>
  <w:num w:numId="3">
    <w:abstractNumId w:val="7"/>
  </w:num>
  <w:num w:numId="4">
    <w:abstractNumId w:val="2"/>
  </w:num>
  <w:num w:numId="5">
    <w:abstractNumId w:val="0"/>
  </w:num>
  <w:num w:numId="6">
    <w:abstractNumId w:val="6"/>
  </w:num>
  <w:num w:numId="7">
    <w:abstractNumId w:val="4"/>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87EBC"/>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55E1"/>
    <w:rsid w:val="000C5D4C"/>
    <w:rsid w:val="000C6273"/>
    <w:rsid w:val="000C7FC7"/>
    <w:rsid w:val="000D18C5"/>
    <w:rsid w:val="000D2278"/>
    <w:rsid w:val="000D2BF9"/>
    <w:rsid w:val="000D6D12"/>
    <w:rsid w:val="000E1125"/>
    <w:rsid w:val="000E1993"/>
    <w:rsid w:val="000E2C13"/>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065A"/>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A9E"/>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8006F"/>
    <w:rsid w:val="0048218E"/>
    <w:rsid w:val="00482BBB"/>
    <w:rsid w:val="00485114"/>
    <w:rsid w:val="00485AE4"/>
    <w:rsid w:val="00486111"/>
    <w:rsid w:val="0049176F"/>
    <w:rsid w:val="00491EC0"/>
    <w:rsid w:val="00492EA5"/>
    <w:rsid w:val="00493247"/>
    <w:rsid w:val="004A0053"/>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D762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290"/>
    <w:rsid w:val="007573D2"/>
    <w:rsid w:val="007577AC"/>
    <w:rsid w:val="00760C49"/>
    <w:rsid w:val="0076122E"/>
    <w:rsid w:val="007626A2"/>
    <w:rsid w:val="007651F0"/>
    <w:rsid w:val="00765D32"/>
    <w:rsid w:val="007705A1"/>
    <w:rsid w:val="00770F43"/>
    <w:rsid w:val="00771468"/>
    <w:rsid w:val="007719AC"/>
    <w:rsid w:val="00773686"/>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5643"/>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1375"/>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5B71"/>
    <w:rsid w:val="008E705E"/>
    <w:rsid w:val="008F1245"/>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60A0"/>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66A"/>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4BE9"/>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A2B6C"/>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1B6A"/>
    <w:rsid w:val="00C06F86"/>
    <w:rsid w:val="00C11D21"/>
    <w:rsid w:val="00C11EFC"/>
    <w:rsid w:val="00C12E5B"/>
    <w:rsid w:val="00C1675F"/>
    <w:rsid w:val="00C172FB"/>
    <w:rsid w:val="00C21F2D"/>
    <w:rsid w:val="00C23439"/>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6CC5"/>
    <w:rsid w:val="00CA7247"/>
    <w:rsid w:val="00CB1749"/>
    <w:rsid w:val="00CB3A9F"/>
    <w:rsid w:val="00CB5048"/>
    <w:rsid w:val="00CB5FFB"/>
    <w:rsid w:val="00CC0888"/>
    <w:rsid w:val="00CC10DA"/>
    <w:rsid w:val="00CC156D"/>
    <w:rsid w:val="00CC58C3"/>
    <w:rsid w:val="00CD0658"/>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3D11"/>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E3C"/>
    <w:rsid w:val="00E92ED6"/>
    <w:rsid w:val="00E93267"/>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71"/>
    <w:rsid w:val="00F544AB"/>
    <w:rsid w:val="00F5545B"/>
    <w:rsid w:val="00F5653F"/>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805C9"/>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B63D95"/>
    <w:rsid w:val="05CA5579"/>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22807"/>
    <w:rsid w:val="0755365E"/>
    <w:rsid w:val="07630AC6"/>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353855"/>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650A8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7E28D1"/>
    <w:rsid w:val="108E0412"/>
    <w:rsid w:val="10910A6C"/>
    <w:rsid w:val="10C73835"/>
    <w:rsid w:val="10E04525"/>
    <w:rsid w:val="10E75ECD"/>
    <w:rsid w:val="10FE02D8"/>
    <w:rsid w:val="110932A9"/>
    <w:rsid w:val="110F2DD6"/>
    <w:rsid w:val="11107D8C"/>
    <w:rsid w:val="111E737C"/>
    <w:rsid w:val="114C7F4B"/>
    <w:rsid w:val="11506F9E"/>
    <w:rsid w:val="11686778"/>
    <w:rsid w:val="1180194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0C5E57"/>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BB6AAB"/>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6B16F9"/>
    <w:rsid w:val="1B8626C9"/>
    <w:rsid w:val="1B984C1B"/>
    <w:rsid w:val="1B990040"/>
    <w:rsid w:val="1BAF3854"/>
    <w:rsid w:val="1BC1062B"/>
    <w:rsid w:val="1BC60BC5"/>
    <w:rsid w:val="1BD70C7E"/>
    <w:rsid w:val="1BD82C95"/>
    <w:rsid w:val="1BDB2BC6"/>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6857C6"/>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DC07E1"/>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096B30"/>
    <w:rsid w:val="22156802"/>
    <w:rsid w:val="222728F6"/>
    <w:rsid w:val="2228517D"/>
    <w:rsid w:val="22375393"/>
    <w:rsid w:val="22417F46"/>
    <w:rsid w:val="224B424C"/>
    <w:rsid w:val="22654343"/>
    <w:rsid w:val="226709A2"/>
    <w:rsid w:val="228976EC"/>
    <w:rsid w:val="228B310C"/>
    <w:rsid w:val="22B05557"/>
    <w:rsid w:val="22B15A44"/>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C65D0"/>
    <w:rsid w:val="251D6C78"/>
    <w:rsid w:val="25493BC7"/>
    <w:rsid w:val="254F48B6"/>
    <w:rsid w:val="25515BCE"/>
    <w:rsid w:val="25552E35"/>
    <w:rsid w:val="25781361"/>
    <w:rsid w:val="25BA3553"/>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DB59B3"/>
    <w:rsid w:val="26FF3DC8"/>
    <w:rsid w:val="27341C3F"/>
    <w:rsid w:val="274A262D"/>
    <w:rsid w:val="2755406D"/>
    <w:rsid w:val="27694EEE"/>
    <w:rsid w:val="277C6089"/>
    <w:rsid w:val="27832A74"/>
    <w:rsid w:val="27A449A7"/>
    <w:rsid w:val="27AD6E8B"/>
    <w:rsid w:val="27B04B6F"/>
    <w:rsid w:val="27BC433E"/>
    <w:rsid w:val="27CD4196"/>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649C5"/>
    <w:rsid w:val="2ABD2F95"/>
    <w:rsid w:val="2AC43F9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660AB7"/>
    <w:rsid w:val="2DB274B3"/>
    <w:rsid w:val="2DC87D91"/>
    <w:rsid w:val="2DD30CAC"/>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5D4248"/>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9719A"/>
    <w:rsid w:val="2F0F563F"/>
    <w:rsid w:val="2F1115A1"/>
    <w:rsid w:val="2F1F3A4D"/>
    <w:rsid w:val="2F2371DB"/>
    <w:rsid w:val="2F262727"/>
    <w:rsid w:val="2F3819F0"/>
    <w:rsid w:val="2F4558F1"/>
    <w:rsid w:val="2F585C14"/>
    <w:rsid w:val="2F6F7987"/>
    <w:rsid w:val="2F784790"/>
    <w:rsid w:val="2F7B36A8"/>
    <w:rsid w:val="2F8A30B2"/>
    <w:rsid w:val="2F95436D"/>
    <w:rsid w:val="2F9B7AFC"/>
    <w:rsid w:val="2FAA4840"/>
    <w:rsid w:val="2FAA5E1A"/>
    <w:rsid w:val="2FAB4623"/>
    <w:rsid w:val="2FDF6214"/>
    <w:rsid w:val="2FF50229"/>
    <w:rsid w:val="300A43D0"/>
    <w:rsid w:val="300C2A8F"/>
    <w:rsid w:val="30264A9E"/>
    <w:rsid w:val="302978F9"/>
    <w:rsid w:val="302E6167"/>
    <w:rsid w:val="303C3B19"/>
    <w:rsid w:val="303C6363"/>
    <w:rsid w:val="303F6650"/>
    <w:rsid w:val="304F24A5"/>
    <w:rsid w:val="307C1A65"/>
    <w:rsid w:val="3095526B"/>
    <w:rsid w:val="30A20279"/>
    <w:rsid w:val="30A84EFD"/>
    <w:rsid w:val="30A92458"/>
    <w:rsid w:val="30B446AD"/>
    <w:rsid w:val="30C032AA"/>
    <w:rsid w:val="30EC572A"/>
    <w:rsid w:val="30F25889"/>
    <w:rsid w:val="30FD79BE"/>
    <w:rsid w:val="3100405D"/>
    <w:rsid w:val="310C4A9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2F91026"/>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21762D"/>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22EE0"/>
    <w:rsid w:val="3DB302F2"/>
    <w:rsid w:val="3DB54F9A"/>
    <w:rsid w:val="3DB606FB"/>
    <w:rsid w:val="3DE64CFD"/>
    <w:rsid w:val="3DE976C2"/>
    <w:rsid w:val="3DEF63BE"/>
    <w:rsid w:val="3E0842EC"/>
    <w:rsid w:val="3E254367"/>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0FF4050"/>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0B3EAF"/>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66E44"/>
    <w:rsid w:val="461E4FA6"/>
    <w:rsid w:val="463247F0"/>
    <w:rsid w:val="463A5899"/>
    <w:rsid w:val="463B4F6C"/>
    <w:rsid w:val="4646105E"/>
    <w:rsid w:val="464F2B3C"/>
    <w:rsid w:val="4654512D"/>
    <w:rsid w:val="46606872"/>
    <w:rsid w:val="46614E0D"/>
    <w:rsid w:val="46997982"/>
    <w:rsid w:val="46BC2C14"/>
    <w:rsid w:val="46BE0B91"/>
    <w:rsid w:val="46E64059"/>
    <w:rsid w:val="46F4701B"/>
    <w:rsid w:val="470348BC"/>
    <w:rsid w:val="4711691D"/>
    <w:rsid w:val="47205FEA"/>
    <w:rsid w:val="47266A1F"/>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7FB4887"/>
    <w:rsid w:val="48071572"/>
    <w:rsid w:val="48083C5D"/>
    <w:rsid w:val="48121407"/>
    <w:rsid w:val="48246406"/>
    <w:rsid w:val="482D1C7F"/>
    <w:rsid w:val="482F1D5A"/>
    <w:rsid w:val="48376C36"/>
    <w:rsid w:val="48444BA9"/>
    <w:rsid w:val="484B4180"/>
    <w:rsid w:val="487E44EF"/>
    <w:rsid w:val="489064E3"/>
    <w:rsid w:val="48934611"/>
    <w:rsid w:val="48996789"/>
    <w:rsid w:val="48B25AE7"/>
    <w:rsid w:val="48DA29D4"/>
    <w:rsid w:val="48F542D2"/>
    <w:rsid w:val="48FD06CC"/>
    <w:rsid w:val="49147DDB"/>
    <w:rsid w:val="492271EA"/>
    <w:rsid w:val="492B1670"/>
    <w:rsid w:val="4937639F"/>
    <w:rsid w:val="493B3878"/>
    <w:rsid w:val="495670AC"/>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6B480C"/>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BD50F7"/>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0B1489"/>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77457F"/>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AD19EC"/>
    <w:rsid w:val="52BD2046"/>
    <w:rsid w:val="52D20B31"/>
    <w:rsid w:val="52D403EF"/>
    <w:rsid w:val="52D80B2A"/>
    <w:rsid w:val="52F16B43"/>
    <w:rsid w:val="53083AA3"/>
    <w:rsid w:val="531E0FBA"/>
    <w:rsid w:val="531F6C33"/>
    <w:rsid w:val="532F5A3F"/>
    <w:rsid w:val="5346574A"/>
    <w:rsid w:val="535059AB"/>
    <w:rsid w:val="536871EA"/>
    <w:rsid w:val="538C72E9"/>
    <w:rsid w:val="539A01AF"/>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211E6"/>
    <w:rsid w:val="54F6543C"/>
    <w:rsid w:val="5502747C"/>
    <w:rsid w:val="550A4C45"/>
    <w:rsid w:val="550A528A"/>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5F5EA1"/>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8A2E6F"/>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238FF"/>
    <w:rsid w:val="5C681267"/>
    <w:rsid w:val="5C687F9D"/>
    <w:rsid w:val="5C723D2D"/>
    <w:rsid w:val="5CB07905"/>
    <w:rsid w:val="5CB86304"/>
    <w:rsid w:val="5CD87253"/>
    <w:rsid w:val="5CDB1300"/>
    <w:rsid w:val="5CE97CF5"/>
    <w:rsid w:val="5D016B3E"/>
    <w:rsid w:val="5D0C746D"/>
    <w:rsid w:val="5D1B3921"/>
    <w:rsid w:val="5D2E30EC"/>
    <w:rsid w:val="5D30024A"/>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D10F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9005F"/>
    <w:rsid w:val="629D61EC"/>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72630"/>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967FA0"/>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CD380D"/>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134FDA"/>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3F56A31"/>
    <w:rsid w:val="741F45B5"/>
    <w:rsid w:val="742130F2"/>
    <w:rsid w:val="742C4642"/>
    <w:rsid w:val="74315D5C"/>
    <w:rsid w:val="743C59CD"/>
    <w:rsid w:val="74465350"/>
    <w:rsid w:val="74576C82"/>
    <w:rsid w:val="746B647F"/>
    <w:rsid w:val="747542D9"/>
    <w:rsid w:val="747E3B0E"/>
    <w:rsid w:val="74800E9A"/>
    <w:rsid w:val="748F7F6F"/>
    <w:rsid w:val="749817D5"/>
    <w:rsid w:val="74AC4202"/>
    <w:rsid w:val="74B53285"/>
    <w:rsid w:val="74B746E8"/>
    <w:rsid w:val="74D67798"/>
    <w:rsid w:val="74E3277F"/>
    <w:rsid w:val="7518394C"/>
    <w:rsid w:val="751850DE"/>
    <w:rsid w:val="75192DF5"/>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9A2477"/>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0B06BC"/>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0C56A4"/>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462BAE"/>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764F3"/>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2"/>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3"/>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4"/>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5"/>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6"/>
    <w:qFormat/>
    <w:uiPriority w:val="0"/>
    <w:pPr>
      <w:tabs>
        <w:tab w:val="left" w:pos="1008"/>
        <w:tab w:val="left" w:pos="2383"/>
        <w:tab w:val="clear" w:pos="864"/>
        <w:tab w:val="clear" w:pos="2071"/>
      </w:tabs>
      <w:ind w:left="2196"/>
      <w:outlineLvl w:val="4"/>
    </w:pPr>
  </w:style>
  <w:style w:type="paragraph" w:styleId="7">
    <w:name w:val="heading 6"/>
    <w:basedOn w:val="1"/>
    <w:next w:val="1"/>
    <w:link w:val="77"/>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8"/>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9"/>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80"/>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90"/>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1"/>
    <w:unhideWhenUsed/>
    <w:qFormat/>
    <w:uiPriority w:val="0"/>
    <w:rPr>
      <w:rFonts w:ascii="宋体"/>
      <w:sz w:val="18"/>
      <w:szCs w:val="18"/>
    </w:rPr>
  </w:style>
  <w:style w:type="paragraph" w:styleId="25">
    <w:name w:val="annotation text"/>
    <w:basedOn w:val="1"/>
    <w:link w:val="177"/>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4"/>
    <w:qFormat/>
    <w:uiPriority w:val="0"/>
    <w:pPr>
      <w:snapToGrid w:val="0"/>
      <w:jc w:val="left"/>
    </w:pPr>
  </w:style>
  <w:style w:type="paragraph" w:styleId="36">
    <w:name w:val="Balloon Text"/>
    <w:basedOn w:val="1"/>
    <w:link w:val="69"/>
    <w:unhideWhenUsed/>
    <w:qFormat/>
    <w:uiPriority w:val="0"/>
    <w:rPr>
      <w:sz w:val="18"/>
      <w:szCs w:val="18"/>
    </w:rPr>
  </w:style>
  <w:style w:type="paragraph" w:styleId="37">
    <w:name w:val="footer"/>
    <w:basedOn w:val="38"/>
    <w:link w:val="113"/>
    <w:qFormat/>
    <w:uiPriority w:val="99"/>
    <w:pPr>
      <w:tabs>
        <w:tab w:val="center" w:pos="4153"/>
        <w:tab w:val="right" w:pos="8306"/>
      </w:tabs>
      <w:jc w:val="left"/>
    </w:pPr>
  </w:style>
  <w:style w:type="paragraph" w:styleId="38">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1"/>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27"/>
    <w:next w:val="1"/>
    <w:qFormat/>
    <w:uiPriority w:val="99"/>
    <w:pPr>
      <w:tabs>
        <w:tab w:val="left" w:pos="811"/>
      </w:tabs>
      <w:spacing w:before="60"/>
      <w:ind w:left="811" w:hanging="811"/>
    </w:p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paragraph" w:customStyle="1" w:styleId="67">
    <w:name w:val="Doc-title"/>
    <w:basedOn w:val="1"/>
    <w:next w:val="68"/>
    <w:link w:val="111"/>
    <w:qFormat/>
    <w:uiPriority w:val="0"/>
    <w:pPr>
      <w:widowControl/>
      <w:ind w:left="1260" w:hanging="1260"/>
      <w:jc w:val="left"/>
    </w:pPr>
    <w:rPr>
      <w:rFonts w:ascii="Arial" w:hAnsi="Arial" w:eastAsia="MS Mincho"/>
      <w:kern w:val="0"/>
      <w:sz w:val="20"/>
      <w:lang w:val="en-GB" w:eastAsia="en-GB"/>
    </w:rPr>
  </w:style>
  <w:style w:type="paragraph" w:customStyle="1" w:styleId="68">
    <w:name w:val="Doc-text2"/>
    <w:basedOn w:val="1"/>
    <w:link w:val="132"/>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69">
    <w:name w:val="批注框文本 Char"/>
    <w:basedOn w:val="58"/>
    <w:link w:val="36"/>
    <w:qFormat/>
    <w:uiPriority w:val="0"/>
    <w:rPr>
      <w:kern w:val="2"/>
      <w:sz w:val="18"/>
      <w:szCs w:val="18"/>
    </w:rPr>
  </w:style>
  <w:style w:type="paragraph" w:styleId="70">
    <w:name w:val="List Paragraph"/>
    <w:basedOn w:val="1"/>
    <w:link w:val="273"/>
    <w:unhideWhenUsed/>
    <w:qFormat/>
    <w:uiPriority w:val="99"/>
    <w:pPr>
      <w:ind w:firstLine="420" w:firstLineChars="200"/>
    </w:pPr>
  </w:style>
  <w:style w:type="character" w:customStyle="1" w:styleId="71">
    <w:name w:val="文档结构图 Char"/>
    <w:basedOn w:val="58"/>
    <w:link w:val="24"/>
    <w:qFormat/>
    <w:uiPriority w:val="0"/>
    <w:rPr>
      <w:rFonts w:ascii="宋体"/>
      <w:kern w:val="2"/>
      <w:sz w:val="18"/>
      <w:szCs w:val="18"/>
    </w:rPr>
  </w:style>
  <w:style w:type="character" w:customStyle="1" w:styleId="72">
    <w:name w:val="标题 1 Char"/>
    <w:basedOn w:val="58"/>
    <w:link w:val="2"/>
    <w:qFormat/>
    <w:uiPriority w:val="0"/>
    <w:rPr>
      <w:b/>
      <w:bCs/>
      <w:kern w:val="44"/>
      <w:sz w:val="44"/>
      <w:szCs w:val="44"/>
    </w:rPr>
  </w:style>
  <w:style w:type="character" w:customStyle="1" w:styleId="73">
    <w:name w:val="标题 2 Char"/>
    <w:basedOn w:val="58"/>
    <w:link w:val="3"/>
    <w:qFormat/>
    <w:uiPriority w:val="0"/>
    <w:rPr>
      <w:rFonts w:ascii="Arial" w:hAnsi="Arial" w:eastAsia="MS Mincho"/>
      <w:sz w:val="32"/>
      <w:szCs w:val="32"/>
      <w:lang w:val="en-GB"/>
    </w:rPr>
  </w:style>
  <w:style w:type="character" w:customStyle="1" w:styleId="74">
    <w:name w:val="标题 3 Char"/>
    <w:basedOn w:val="58"/>
    <w:link w:val="4"/>
    <w:qFormat/>
    <w:uiPriority w:val="0"/>
    <w:rPr>
      <w:b/>
      <w:bCs/>
      <w:kern w:val="2"/>
      <w:sz w:val="32"/>
      <w:szCs w:val="32"/>
    </w:rPr>
  </w:style>
  <w:style w:type="character" w:customStyle="1" w:styleId="75">
    <w:name w:val="标题 4 Char"/>
    <w:basedOn w:val="58"/>
    <w:link w:val="5"/>
    <w:qFormat/>
    <w:uiPriority w:val="0"/>
    <w:rPr>
      <w:rFonts w:ascii="Arial" w:hAnsi="Arial" w:eastAsia="黑体"/>
      <w:b/>
      <w:kern w:val="2"/>
      <w:sz w:val="28"/>
      <w:szCs w:val="24"/>
    </w:rPr>
  </w:style>
  <w:style w:type="character" w:customStyle="1" w:styleId="76">
    <w:name w:val="标题 5 Char"/>
    <w:basedOn w:val="58"/>
    <w:link w:val="6"/>
    <w:qFormat/>
    <w:uiPriority w:val="0"/>
    <w:rPr>
      <w:b/>
      <w:kern w:val="2"/>
      <w:sz w:val="28"/>
      <w:szCs w:val="24"/>
    </w:rPr>
  </w:style>
  <w:style w:type="character" w:customStyle="1" w:styleId="77">
    <w:name w:val="标题 6 Char"/>
    <w:basedOn w:val="58"/>
    <w:link w:val="7"/>
    <w:qFormat/>
    <w:uiPriority w:val="0"/>
    <w:rPr>
      <w:rFonts w:ascii="Arial" w:hAnsi="Arial" w:eastAsia="黑体"/>
      <w:b/>
      <w:kern w:val="2"/>
      <w:sz w:val="24"/>
      <w:szCs w:val="24"/>
    </w:rPr>
  </w:style>
  <w:style w:type="character" w:customStyle="1" w:styleId="78">
    <w:name w:val="标题 7 Char"/>
    <w:basedOn w:val="58"/>
    <w:link w:val="8"/>
    <w:qFormat/>
    <w:uiPriority w:val="0"/>
    <w:rPr>
      <w:b/>
      <w:kern w:val="2"/>
      <w:sz w:val="24"/>
      <w:szCs w:val="24"/>
    </w:rPr>
  </w:style>
  <w:style w:type="character" w:customStyle="1" w:styleId="79">
    <w:name w:val="标题 8 Char"/>
    <w:basedOn w:val="58"/>
    <w:link w:val="9"/>
    <w:qFormat/>
    <w:uiPriority w:val="0"/>
    <w:rPr>
      <w:rFonts w:ascii="Arial" w:hAnsi="Arial" w:eastAsia="黑体"/>
      <w:kern w:val="2"/>
      <w:sz w:val="24"/>
      <w:szCs w:val="24"/>
    </w:rPr>
  </w:style>
  <w:style w:type="character" w:customStyle="1" w:styleId="80">
    <w:name w:val="标题 9 Char"/>
    <w:basedOn w:val="58"/>
    <w:link w:val="10"/>
    <w:qFormat/>
    <w:uiPriority w:val="0"/>
    <w:rPr>
      <w:rFonts w:ascii="Arial" w:hAnsi="Arial" w:eastAsia="黑体"/>
      <w:kern w:val="2"/>
      <w:sz w:val="21"/>
      <w:szCs w:val="24"/>
    </w:rPr>
  </w:style>
  <w:style w:type="character" w:customStyle="1" w:styleId="81">
    <w:name w:val="Char Char5"/>
    <w:qFormat/>
    <w:uiPriority w:val="0"/>
    <w:rPr>
      <w:rFonts w:ascii="Arial" w:hAnsi="Arial" w:eastAsia="MS Mincho" w:cs="Arial"/>
      <w:bCs/>
      <w:sz w:val="24"/>
      <w:szCs w:val="28"/>
      <w:lang w:val="en-GB" w:eastAsia="en-GB" w:bidi="ar-SA"/>
    </w:rPr>
  </w:style>
  <w:style w:type="character" w:customStyle="1" w:styleId="82">
    <w:name w:val="ComeBack Char Char"/>
    <w:basedOn w:val="83"/>
    <w:link w:val="84"/>
    <w:qFormat/>
    <w:uiPriority w:val="0"/>
    <w:rPr>
      <w:rFonts w:ascii="Arial" w:hAnsi="Arial" w:eastAsia="MS Mincho"/>
      <w:szCs w:val="24"/>
      <w:lang w:val="en-GB" w:eastAsia="en-GB" w:bidi="ar-SA"/>
    </w:rPr>
  </w:style>
  <w:style w:type="character" w:customStyle="1" w:styleId="83">
    <w:name w:val="Doc-text2 Char"/>
    <w:qFormat/>
    <w:uiPriority w:val="0"/>
    <w:rPr>
      <w:rFonts w:ascii="Arial" w:hAnsi="Arial" w:eastAsia="MS Mincho"/>
      <w:szCs w:val="24"/>
      <w:lang w:val="en-GB" w:eastAsia="en-GB" w:bidi="ar-SA"/>
    </w:rPr>
  </w:style>
  <w:style w:type="paragraph" w:customStyle="1" w:styleId="84">
    <w:name w:val="ComeBack"/>
    <w:basedOn w:val="68"/>
    <w:next w:val="68"/>
    <w:link w:val="82"/>
    <w:qFormat/>
    <w:uiPriority w:val="0"/>
    <w:pPr>
      <w:tabs>
        <w:tab w:val="left" w:pos="1259"/>
      </w:tabs>
      <w:ind w:left="1619" w:hanging="360"/>
    </w:p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67"/>
    <w:link w:val="120"/>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2"/>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6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7"/>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6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130"/>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paragraph" w:customStyle="1" w:styleId="130">
    <w:name w:val="EmailDiscussion2"/>
    <w:basedOn w:val="68"/>
    <w:qFormat/>
    <w:uiPriority w:val="0"/>
  </w:style>
  <w:style w:type="character" w:customStyle="1" w:styleId="131">
    <w:name w:val="页眉 Char"/>
    <w:link w:val="38"/>
    <w:qFormat/>
    <w:uiPriority w:val="99"/>
    <w:rPr>
      <w:kern w:val="2"/>
      <w:sz w:val="18"/>
      <w:szCs w:val="18"/>
    </w:rPr>
  </w:style>
  <w:style w:type="character" w:customStyle="1" w:styleId="132">
    <w:name w:val="Doc-text2 Char Char"/>
    <w:basedOn w:val="58"/>
    <w:link w:val="68"/>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szCs w:val="21"/>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4">
    <w:name w:val="三级条标题"/>
    <w:basedOn w:val="145"/>
    <w:next w:val="43"/>
    <w:qFormat/>
    <w:uiPriority w:val="0"/>
    <w:pPr>
      <w:outlineLvl w:val="4"/>
    </w:pPr>
  </w:style>
  <w:style w:type="paragraph" w:customStyle="1" w:styleId="145">
    <w:name w:val="二级条标题"/>
    <w:basedOn w:val="146"/>
    <w:next w:val="43"/>
    <w:qFormat/>
    <w:uiPriority w:val="0"/>
    <w:pPr>
      <w:spacing w:beforeLines="0" w:afterLines="0"/>
      <w:outlineLvl w:val="3"/>
    </w:pPr>
  </w:style>
  <w:style w:type="paragraph" w:customStyle="1" w:styleId="146">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8">
    <w:name w:val="附录一级条标题"/>
    <w:basedOn w:val="149"/>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50">
    <w:name w:val="四级条标题"/>
    <w:basedOn w:val="144"/>
    <w:next w:val="43"/>
    <w:qFormat/>
    <w:uiPriority w:val="0"/>
    <w:pPr>
      <w:outlineLvl w:val="5"/>
    </w:pPr>
  </w:style>
  <w:style w:type="character" w:customStyle="1" w:styleId="151">
    <w:name w:val="脚注文本 Char"/>
    <w:basedOn w:val="58"/>
    <w:link w:val="44"/>
    <w:qFormat/>
    <w:uiPriority w:val="0"/>
    <w:rPr>
      <w:rFonts w:ascii="宋体"/>
      <w:kern w:val="2"/>
      <w:sz w:val="18"/>
      <w:szCs w:val="18"/>
    </w:rPr>
  </w:style>
  <w:style w:type="paragraph" w:customStyle="1" w:styleId="152">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3">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5">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6">
    <w:name w:val="附录五级条标题"/>
    <w:basedOn w:val="157"/>
    <w:next w:val="43"/>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3"/>
    <w:qFormat/>
    <w:uiPriority w:val="0"/>
    <w:pPr>
      <w:tabs>
        <w:tab w:val="left" w:pos="360"/>
        <w:tab w:val="left" w:pos="864"/>
        <w:tab w:val="left" w:pos="1008"/>
      </w:tabs>
      <w:outlineLvl w:val="5"/>
    </w:pPr>
  </w:style>
  <w:style w:type="paragraph" w:customStyle="1" w:styleId="158">
    <w:name w:val="附录三级条标题"/>
    <w:basedOn w:val="159"/>
    <w:next w:val="43"/>
    <w:qFormat/>
    <w:uiPriority w:val="0"/>
    <w:pPr>
      <w:tabs>
        <w:tab w:val="left" w:pos="360"/>
        <w:tab w:val="left" w:pos="864"/>
        <w:tab w:val="left" w:pos="1008"/>
      </w:tabs>
      <w:ind w:left="1008" w:hanging="1008"/>
      <w:outlineLvl w:val="4"/>
    </w:pPr>
  </w:style>
  <w:style w:type="paragraph" w:customStyle="1" w:styleId="159">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58"/>
    <w:semiHidden/>
    <w:qFormat/>
    <w:uiPriority w:val="0"/>
    <w:rPr>
      <w:rFonts w:ascii="宋体" w:hAnsi="Courier New" w:cs="Courier New"/>
      <w:kern w:val="2"/>
      <w:sz w:val="21"/>
      <w:szCs w:val="21"/>
    </w:rPr>
  </w:style>
  <w:style w:type="paragraph" w:customStyle="1" w:styleId="164">
    <w:name w:val="H6"/>
    <w:basedOn w:val="6"/>
    <w:next w:val="1"/>
    <w:qFormat/>
    <w:uiPriority w:val="0"/>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165">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6">
    <w:name w:val="实施日期"/>
    <w:basedOn w:val="167"/>
    <w:qFormat/>
    <w:uiPriority w:val="0"/>
    <w:pPr>
      <w:jc w:val="right"/>
    </w:pPr>
  </w:style>
  <w:style w:type="paragraph" w:customStyle="1" w:styleId="167">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8">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9">
    <w:name w:val="LS Approved"/>
    <w:basedOn w:val="1"/>
    <w:next w:val="68"/>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70">
    <w:name w:val="封面标准文稿类别2"/>
    <w:basedOn w:val="171"/>
    <w:qFormat/>
    <w:uiPriority w:val="0"/>
  </w:style>
  <w:style w:type="paragraph" w:customStyle="1" w:styleId="171">
    <w:name w:val="封面标准文稿类别"/>
    <w:basedOn w:val="172"/>
    <w:qFormat/>
    <w:uiPriority w:val="0"/>
    <w:pPr>
      <w:spacing w:line="240" w:lineRule="auto"/>
    </w:pPr>
    <w:rPr>
      <w:sz w:val="24"/>
    </w:rPr>
  </w:style>
  <w:style w:type="paragraph" w:customStyle="1" w:styleId="172">
    <w:name w:val="封面一致性程度标识"/>
    <w:basedOn w:val="173"/>
    <w:qFormat/>
    <w:uiPriority w:val="0"/>
    <w:pPr>
      <w:spacing w:before="440"/>
    </w:pPr>
    <w:rPr>
      <w:rFonts w:ascii="宋体" w:eastAsia="宋体"/>
    </w:rPr>
  </w:style>
  <w:style w:type="paragraph" w:customStyle="1" w:styleId="173">
    <w:name w:val="封面标准英文名称"/>
    <w:basedOn w:val="174"/>
    <w:qFormat/>
    <w:uiPriority w:val="0"/>
    <w:pPr>
      <w:spacing w:before="370" w:line="400" w:lineRule="exact"/>
    </w:pPr>
    <w:rPr>
      <w:rFonts w:ascii="Times New Roman"/>
      <w:sz w:val="28"/>
      <w:szCs w:val="28"/>
    </w:rPr>
  </w:style>
  <w:style w:type="paragraph" w:customStyle="1" w:styleId="174">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5">
    <w:name w:val="五级条标题"/>
    <w:basedOn w:val="150"/>
    <w:next w:val="43"/>
    <w:qFormat/>
    <w:uiPriority w:val="0"/>
    <w:pPr>
      <w:outlineLvl w:val="6"/>
    </w:pPr>
  </w:style>
  <w:style w:type="paragraph" w:customStyle="1" w:styleId="176">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7">
    <w:name w:val="批注文字 Char1"/>
    <w:basedOn w:val="58"/>
    <w:link w:val="25"/>
    <w:semiHidden/>
    <w:qFormat/>
    <w:uiPriority w:val="0"/>
    <w:rPr>
      <w:kern w:val="2"/>
      <w:sz w:val="21"/>
      <w:szCs w:val="24"/>
    </w:rPr>
  </w:style>
  <w:style w:type="character" w:customStyle="1" w:styleId="178">
    <w:name w:val="批注主题 Char1"/>
    <w:basedOn w:val="177"/>
    <w:semiHidden/>
    <w:qFormat/>
    <w:uiPriority w:val="0"/>
    <w:rPr>
      <w:b/>
      <w:bCs/>
      <w:kern w:val="2"/>
      <w:sz w:val="21"/>
      <w:szCs w:val="24"/>
    </w:rPr>
  </w:style>
  <w:style w:type="paragraph" w:customStyle="1" w:styleId="179">
    <w:name w:val="封面标准英文名称2"/>
    <w:basedOn w:val="173"/>
    <w:qFormat/>
    <w:uiPriority w:val="0"/>
  </w:style>
  <w:style w:type="paragraph" w:customStyle="1" w:styleId="180">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1">
    <w:name w:val="封面一致性程度标识2"/>
    <w:basedOn w:val="172"/>
    <w:qFormat/>
    <w:uiPriority w:val="0"/>
  </w:style>
  <w:style w:type="paragraph" w:customStyle="1" w:styleId="182">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3">
    <w:name w:val="正文文本 Char1"/>
    <w:basedOn w:val="58"/>
    <w:semiHidden/>
    <w:qFormat/>
    <w:uiPriority w:val="0"/>
    <w:rPr>
      <w:kern w:val="2"/>
      <w:sz w:val="21"/>
      <w:szCs w:val="24"/>
    </w:rPr>
  </w:style>
  <w:style w:type="paragraph" w:customStyle="1" w:styleId="18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5">
    <w:name w:val="三级无"/>
    <w:basedOn w:val="144"/>
    <w:qFormat/>
    <w:uiPriority w:val="0"/>
    <w:rPr>
      <w:rFonts w:ascii="宋体" w:eastAsia="宋体"/>
    </w:rPr>
  </w:style>
  <w:style w:type="paragraph" w:customStyle="1" w:styleId="186">
    <w:name w:val="条文脚注"/>
    <w:basedOn w:val="44"/>
    <w:qFormat/>
    <w:uiPriority w:val="0"/>
    <w:pPr>
      <w:jc w:val="both"/>
    </w:pPr>
  </w:style>
  <w:style w:type="paragraph" w:customStyle="1" w:styleId="187">
    <w:name w:val="其他标准标志"/>
    <w:basedOn w:val="188"/>
    <w:qFormat/>
    <w:uiPriority w:val="0"/>
    <w:rPr>
      <w:w w:val="130"/>
    </w:rPr>
  </w:style>
  <w:style w:type="paragraph" w:customStyle="1" w:styleId="188">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9">
    <w:name w:val="Agreement"/>
    <w:basedOn w:val="1"/>
    <w:next w:val="68"/>
    <w:qFormat/>
    <w:uiPriority w:val="99"/>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9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1">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2">
    <w:name w:val="附录五级无"/>
    <w:basedOn w:val="156"/>
    <w:qFormat/>
    <w:uiPriority w:val="0"/>
    <w:pPr>
      <w:tabs>
        <w:tab w:val="clear" w:pos="360"/>
      </w:tabs>
      <w:spacing w:beforeLines="0" w:afterLines="0"/>
    </w:pPr>
    <w:rPr>
      <w:rFonts w:ascii="宋体" w:eastAsia="宋体"/>
      <w:szCs w:val="21"/>
    </w:rPr>
  </w:style>
  <w:style w:type="paragraph" w:customStyle="1" w:styleId="193">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4">
    <w:name w:val="尾注文本 Char"/>
    <w:basedOn w:val="58"/>
    <w:link w:val="35"/>
    <w:qFormat/>
    <w:uiPriority w:val="0"/>
    <w:rPr>
      <w:kern w:val="2"/>
      <w:sz w:val="21"/>
      <w:szCs w:val="24"/>
    </w:rPr>
  </w:style>
  <w:style w:type="paragraph" w:customStyle="1" w:styleId="19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6">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7">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8">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9">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200">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1">
    <w:name w:val="TAH"/>
    <w:basedOn w:val="202"/>
    <w:qFormat/>
    <w:uiPriority w:val="0"/>
    <w:rPr>
      <w:b/>
      <w:bCs/>
      <w:szCs w:val="18"/>
    </w:rPr>
  </w:style>
  <w:style w:type="paragraph" w:customStyle="1" w:styleId="202">
    <w:name w:val="TAC"/>
    <w:basedOn w:val="105"/>
    <w:qFormat/>
    <w:uiPriority w:val="0"/>
    <w:pPr>
      <w:jc w:val="center"/>
    </w:pPr>
    <w:rPr>
      <w:szCs w:val="20"/>
      <w:lang w:eastAsia="en-US"/>
    </w:rPr>
  </w:style>
  <w:style w:type="paragraph" w:customStyle="1" w:styleId="203">
    <w:name w:val="示例后文字"/>
    <w:basedOn w:val="43"/>
    <w:next w:val="43"/>
    <w:qFormat/>
    <w:uiPriority w:val="0"/>
    <w:pPr>
      <w:ind w:firstLine="360"/>
    </w:pPr>
    <w:rPr>
      <w:sz w:val="18"/>
    </w:rPr>
  </w:style>
  <w:style w:type="paragraph" w:customStyle="1" w:styleId="204">
    <w:name w:val="图标脚注说明"/>
    <w:basedOn w:val="43"/>
    <w:qFormat/>
    <w:uiPriority w:val="0"/>
    <w:pPr>
      <w:ind w:left="840" w:hanging="420" w:firstLineChars="0"/>
    </w:pPr>
    <w:rPr>
      <w:sz w:val="18"/>
      <w:szCs w:val="18"/>
    </w:rPr>
  </w:style>
  <w:style w:type="paragraph" w:customStyle="1" w:styleId="205">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6">
    <w:name w:val="图表脚注说明"/>
    <w:basedOn w:val="1"/>
    <w:qFormat/>
    <w:uiPriority w:val="0"/>
    <w:pPr>
      <w:tabs>
        <w:tab w:val="left" w:pos="360"/>
      </w:tabs>
      <w:ind w:left="360" w:hanging="360"/>
    </w:pPr>
    <w:rPr>
      <w:rFonts w:ascii="宋体"/>
      <w:sz w:val="18"/>
      <w:szCs w:val="18"/>
    </w:rPr>
  </w:style>
  <w:style w:type="paragraph" w:customStyle="1" w:styleId="207">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8">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9">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10">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1">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2">
    <w:name w:val="其他实施日期"/>
    <w:basedOn w:val="166"/>
    <w:qFormat/>
    <w:uiPriority w:val="0"/>
  </w:style>
  <w:style w:type="paragraph" w:customStyle="1" w:styleId="213">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4">
    <w:name w:val="四级无"/>
    <w:basedOn w:val="150"/>
    <w:qFormat/>
    <w:uiPriority w:val="0"/>
    <w:rPr>
      <w:rFonts w:ascii="宋体" w:eastAsia="宋体"/>
    </w:rPr>
  </w:style>
  <w:style w:type="paragraph" w:customStyle="1" w:styleId="215">
    <w:name w:val="示例×："/>
    <w:basedOn w:val="152"/>
    <w:qFormat/>
    <w:uiPriority w:val="0"/>
    <w:pPr>
      <w:spacing w:beforeLines="0" w:afterLines="0"/>
      <w:ind w:firstLine="397"/>
      <w:outlineLvl w:val="9"/>
    </w:pPr>
    <w:rPr>
      <w:rFonts w:ascii="宋体" w:eastAsia="宋体"/>
      <w:sz w:val="18"/>
      <w:szCs w:val="18"/>
    </w:rPr>
  </w:style>
  <w:style w:type="paragraph" w:customStyle="1" w:styleId="216">
    <w:name w:val="B5"/>
    <w:basedOn w:val="46"/>
    <w:qFormat/>
    <w:uiPriority w:val="0"/>
  </w:style>
  <w:style w:type="paragraph" w:customStyle="1" w:styleId="217">
    <w:name w:val="其他发布日期"/>
    <w:basedOn w:val="167"/>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5"/>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1"/>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4"/>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7"/>
    <w:qFormat/>
    <w:uiPriority w:val="0"/>
    <w:pPr>
      <w:numPr>
        <w:ilvl w:val="0"/>
        <w:numId w:val="2"/>
      </w:numPr>
      <w:ind w:left="1701" w:hanging="1701"/>
    </w:pPr>
    <w:rPr>
      <w:rFonts w:eastAsiaTheme="minorEastAsia"/>
    </w:rPr>
  </w:style>
  <w:style w:type="character" w:customStyle="1" w:styleId="273">
    <w:name w:val="列出段落 Char"/>
    <w:link w:val="70"/>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paragraph" w:customStyle="1" w:styleId="280">
    <w:name w:val="Reference"/>
    <w:basedOn w:val="1"/>
    <w:qFormat/>
    <w:uiPriority w:val="0"/>
    <w:pPr>
      <w:numPr>
        <w:ilvl w:val="0"/>
        <w:numId w:val="3"/>
      </w:numPr>
    </w:pPr>
  </w:style>
  <w:style w:type="paragraph" w:customStyle="1" w:styleId="281">
    <w:name w:val="Pat Appl"/>
    <w:basedOn w:val="1"/>
    <w:qFormat/>
    <w:uiPriority w:val="0"/>
    <w:pPr>
      <w:tabs>
        <w:tab w:val="left" w:pos="1080"/>
      </w:tabs>
      <w:adjustRightInd w:val="0"/>
      <w:spacing w:line="360" w:lineRule="auto"/>
      <w:jc w:val="left"/>
      <w:textAlignment w:val="baseline"/>
    </w:pPr>
    <w:rPr>
      <w:bCs/>
      <w:kern w:val="0"/>
      <w:sz w:val="24"/>
      <w:lang w:eastAsia="en-US"/>
    </w:rPr>
  </w:style>
  <w:style w:type="paragraph" w:customStyle="1" w:styleId="282">
    <w:name w:val="CR Cover Page"/>
    <w:qFormat/>
    <w:uiPriority w:val="0"/>
    <w:pPr>
      <w:spacing w:after="120"/>
    </w:pPr>
    <w:rPr>
      <w:rFonts w:ascii="Arial" w:hAnsi="Arial" w:eastAsia="Times New Roman" w:cs="Times New Roman"/>
      <w:lang w:val="en-GB" w:eastAsia="ko-KR" w:bidi="ar-SA"/>
    </w:rPr>
  </w:style>
  <w:style w:type="paragraph" w:customStyle="1" w:styleId="283">
    <w:name w:val="Source"/>
    <w:basedOn w:val="1"/>
    <w:qFormat/>
    <w:uiPriority w:val="0"/>
    <w:pPr>
      <w:spacing w:after="60"/>
      <w:ind w:left="1985" w:hanging="1985"/>
    </w:pPr>
    <w:rPr>
      <w:rFonts w:ascii="Arial" w:hAnsi="Arial" w:cs="Arial"/>
      <w:b/>
      <w:lang w:eastAsia="en-US"/>
    </w:rPr>
  </w:style>
  <w:style w:type="table" w:customStyle="1" w:styleId="284">
    <w:name w:val="网格型1"/>
    <w:basedOn w:val="56"/>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修订1"/>
    <w:hidden/>
    <w:semiHidden/>
    <w:qFormat/>
    <w:uiPriority w:val="99"/>
    <w:rPr>
      <w:rFonts w:ascii="Times New Roman" w:hAnsi="Times New Roman" w:cs="Times New Roman" w:eastAsiaTheme="minorEastAsia"/>
      <w:kern w:val="2"/>
      <w:sz w:val="21"/>
      <w:szCs w:val="24"/>
      <w:lang w:val="en-US" w:eastAsia="zh-CN" w:bidi="ar-SA"/>
    </w:rPr>
  </w:style>
  <w:style w:type="character" w:customStyle="1" w:styleId="286">
    <w:name w:val="CR Cover Page Zchn"/>
    <w:basedOn w:val="58"/>
    <w:qFormat/>
    <w:uiPriority w:val="0"/>
    <w:rPr>
      <w:rFonts w:ascii="Arial" w:hAnsi="Arial" w:cs="Arial"/>
      <w:lang w:val="en-US" w:eastAsia="en-US"/>
    </w:rPr>
  </w:style>
  <w:style w:type="paragraph" w:customStyle="1" w:styleId="287">
    <w:name w:val="Default"/>
    <w:unhideWhenUsed/>
    <w:qFormat/>
    <w:uiPriority w:val="99"/>
    <w:pPr>
      <w:widowControl w:val="0"/>
      <w:autoSpaceDE w:val="0"/>
      <w:autoSpaceDN w:val="0"/>
      <w:adjustRightInd w:val="0"/>
    </w:pPr>
    <w:rPr>
      <w:rFonts w:hint="eastAsia" w:ascii="Segoe UI" w:hAnsi="Segoe UI" w:eastAsia="Segoe UI"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package" Target="embeddings/Microsoft_Visio___5.vsdx"/><Relationship Id="rId17" Type="http://schemas.openxmlformats.org/officeDocument/2006/relationships/image" Target="media/image5.emf"/><Relationship Id="rId16" Type="http://schemas.openxmlformats.org/officeDocument/2006/relationships/oleObject" Target="embeddings/oleObject1.bin"/><Relationship Id="rId15" Type="http://schemas.openxmlformats.org/officeDocument/2006/relationships/image" Target="media/image4.emf"/><Relationship Id="rId14" Type="http://schemas.openxmlformats.org/officeDocument/2006/relationships/package" Target="embeddings/Microsoft_Visio___4.vsdx"/><Relationship Id="rId13" Type="http://schemas.openxmlformats.org/officeDocument/2006/relationships/image" Target="media/image3.emf"/><Relationship Id="rId12" Type="http://schemas.openxmlformats.org/officeDocument/2006/relationships/package" Target="embeddings/Microsoft_Visio___3.vsdx"/><Relationship Id="rId11" Type="http://schemas.openxmlformats.org/officeDocument/2006/relationships/image" Target="media/image2.emf"/><Relationship Id="rId10" Type="http://schemas.openxmlformats.org/officeDocument/2006/relationships/package" Target="embeddings/Microsoft_Visio___2.vsdx"/><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70AFA9-B584-4CE8-A9AA-43178AD9B396}">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8</Pages>
  <Words>2179</Words>
  <Characters>12423</Characters>
  <Lines>103</Lines>
  <Paragraphs>29</Paragraphs>
  <TotalTime>0</TotalTime>
  <ScaleCrop>false</ScaleCrop>
  <LinksUpToDate>false</LinksUpToDate>
  <CharactersWithSpaces>14573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2023-02-17T05:42:00Z</dcterms:created>
  <dc:creator>10033860</dc:creator>
  <cp:lastModifiedBy>ZTE(Wenting)</cp:lastModifiedBy>
  <cp:lastPrinted>2113-01-01T00:00:00Z</cp:lastPrinted>
  <dcterms:modified xsi:type="dcterms:W3CDTF">2023-02-17T05:43:09Z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