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E19C8" w14:textId="230D31B8" w:rsidR="00A4529D" w:rsidRDefault="0064539F" w:rsidP="0064539F">
      <w:pPr>
        <w:pStyle w:val="Header"/>
        <w:tabs>
          <w:tab w:val="left" w:pos="8370"/>
        </w:tabs>
        <w:spacing w:after="0" w:afterAutospacing="0"/>
        <w:jc w:val="left"/>
        <w:rPr>
          <w:rFonts w:cs="Arial"/>
          <w:iCs/>
          <w:noProof w:val="0"/>
          <w:sz w:val="28"/>
          <w:szCs w:val="28"/>
          <w:lang w:val="en-US"/>
        </w:rPr>
      </w:pPr>
      <w:bookmarkStart w:id="0" w:name="OLE_LINK3"/>
      <w:bookmarkStart w:id="1" w:name="_Hlk110942696"/>
      <w:r>
        <w:rPr>
          <w:rFonts w:cs="Arial"/>
          <w:noProof w:val="0"/>
          <w:sz w:val="28"/>
          <w:szCs w:val="28"/>
          <w:lang w:val="en-US"/>
        </w:rPr>
        <w:t>3GPP TSG RAN WG2</w:t>
      </w:r>
      <w:r w:rsidRPr="00FF4CD0">
        <w:rPr>
          <w:rFonts w:cs="Arial"/>
          <w:noProof w:val="0"/>
          <w:sz w:val="28"/>
          <w:szCs w:val="28"/>
          <w:lang w:val="en-US"/>
        </w:rPr>
        <w:t xml:space="preserve"> </w:t>
      </w:r>
      <w:r>
        <w:rPr>
          <w:rFonts w:cs="Arial"/>
          <w:noProof w:val="0"/>
          <w:sz w:val="28"/>
          <w:szCs w:val="28"/>
          <w:lang w:val="en-US"/>
        </w:rPr>
        <w:t>Meeting #</w:t>
      </w:r>
      <w:r w:rsidR="004B3AFC">
        <w:rPr>
          <w:rFonts w:cs="Arial"/>
          <w:noProof w:val="0"/>
          <w:sz w:val="28"/>
          <w:szCs w:val="28"/>
          <w:lang w:val="en-US"/>
        </w:rPr>
        <w:t>121</w:t>
      </w:r>
      <w:r>
        <w:rPr>
          <w:rFonts w:cs="Arial"/>
          <w:noProof w:val="0"/>
          <w:sz w:val="28"/>
          <w:szCs w:val="28"/>
          <w:lang w:val="en-US"/>
        </w:rPr>
        <w:t xml:space="preserve">                        </w:t>
      </w:r>
      <w:r w:rsidR="00A4529D" w:rsidRPr="00A4529D">
        <w:rPr>
          <w:rFonts w:cs="Arial"/>
          <w:bCs/>
          <w:noProof w:val="0"/>
          <w:sz w:val="28"/>
          <w:szCs w:val="28"/>
        </w:rPr>
        <w:t>R2-</w:t>
      </w:r>
      <w:r w:rsidR="00653958">
        <w:rPr>
          <w:rFonts w:cs="Arial"/>
          <w:bCs/>
          <w:noProof w:val="0"/>
          <w:sz w:val="28"/>
          <w:szCs w:val="28"/>
        </w:rPr>
        <w:t>2301460</w:t>
      </w:r>
    </w:p>
    <w:p w14:paraId="6E6043E8" w14:textId="5D9FE4B7" w:rsidR="0064539F" w:rsidRDefault="0064539F" w:rsidP="00A4529D">
      <w:pPr>
        <w:pStyle w:val="Header"/>
        <w:tabs>
          <w:tab w:val="left" w:pos="8370"/>
        </w:tabs>
        <w:spacing w:after="0" w:afterAutospacing="0"/>
        <w:jc w:val="right"/>
        <w:rPr>
          <w:rFonts w:cs="Arial"/>
          <w:iCs/>
          <w:noProof w:val="0"/>
          <w:sz w:val="28"/>
          <w:szCs w:val="28"/>
          <w:lang w:val="en-US"/>
        </w:rPr>
      </w:pPr>
    </w:p>
    <w:p w14:paraId="7E19FD22" w14:textId="6E38C704" w:rsidR="0064539F" w:rsidRPr="00FB5E4F" w:rsidRDefault="00255755" w:rsidP="0064539F">
      <w:pPr>
        <w:pStyle w:val="Header"/>
        <w:tabs>
          <w:tab w:val="left" w:pos="6930"/>
        </w:tabs>
        <w:spacing w:after="0" w:afterAutospacing="0"/>
        <w:rPr>
          <w:rFonts w:cs="Arial"/>
          <w:noProof w:val="0"/>
          <w:sz w:val="28"/>
          <w:szCs w:val="28"/>
          <w:lang w:val="en-US"/>
        </w:rPr>
      </w:pPr>
      <w:r>
        <w:rPr>
          <w:rFonts w:cs="Arial"/>
          <w:noProof w:val="0"/>
          <w:sz w:val="28"/>
          <w:szCs w:val="28"/>
          <w:lang w:val="en-US"/>
        </w:rPr>
        <w:t>February</w:t>
      </w:r>
      <w:r w:rsidR="0064539F">
        <w:rPr>
          <w:rFonts w:cs="Arial"/>
          <w:noProof w:val="0"/>
          <w:sz w:val="28"/>
          <w:szCs w:val="28"/>
          <w:lang w:val="en-US"/>
        </w:rPr>
        <w:t xml:space="preserve"> </w:t>
      </w:r>
      <w:r>
        <w:rPr>
          <w:rFonts w:cs="Arial"/>
          <w:noProof w:val="0"/>
          <w:sz w:val="28"/>
          <w:szCs w:val="28"/>
          <w:lang w:val="en-US"/>
        </w:rPr>
        <w:t>27</w:t>
      </w:r>
      <w:r w:rsidR="0064539F" w:rsidRPr="00F22373">
        <w:rPr>
          <w:rFonts w:cs="Arial"/>
          <w:noProof w:val="0"/>
          <w:sz w:val="28"/>
          <w:szCs w:val="28"/>
          <w:vertAlign w:val="superscript"/>
          <w:lang w:val="en-US"/>
        </w:rPr>
        <w:t>th</w:t>
      </w:r>
      <w:r w:rsidR="0064539F">
        <w:rPr>
          <w:rFonts w:cs="Arial"/>
          <w:noProof w:val="0"/>
          <w:sz w:val="28"/>
          <w:szCs w:val="28"/>
          <w:lang w:val="en-US"/>
        </w:rPr>
        <w:t xml:space="preserve"> – </w:t>
      </w:r>
      <w:r>
        <w:rPr>
          <w:rFonts w:cs="Arial"/>
          <w:noProof w:val="0"/>
          <w:sz w:val="28"/>
          <w:szCs w:val="28"/>
          <w:lang w:val="en-US"/>
        </w:rPr>
        <w:t>March 3</w:t>
      </w:r>
      <w:r>
        <w:rPr>
          <w:rFonts w:cs="Arial"/>
          <w:noProof w:val="0"/>
          <w:sz w:val="28"/>
          <w:szCs w:val="28"/>
          <w:vertAlign w:val="superscript"/>
          <w:lang w:val="en-US"/>
        </w:rPr>
        <w:t>rd</w:t>
      </w:r>
      <w:r w:rsidR="0064539F">
        <w:rPr>
          <w:rFonts w:cs="Arial"/>
          <w:noProof w:val="0"/>
          <w:sz w:val="28"/>
          <w:szCs w:val="28"/>
          <w:lang w:val="en-US"/>
        </w:rPr>
        <w:t xml:space="preserve">, </w:t>
      </w:r>
      <w:r w:rsidR="0064539F" w:rsidRPr="00B1121C">
        <w:rPr>
          <w:rFonts w:cs="Arial"/>
          <w:noProof w:val="0"/>
          <w:sz w:val="28"/>
          <w:szCs w:val="28"/>
          <w:lang w:val="en-US"/>
        </w:rPr>
        <w:t>20</w:t>
      </w:r>
      <w:r w:rsidR="0064539F">
        <w:rPr>
          <w:rFonts w:cs="Arial"/>
          <w:noProof w:val="0"/>
          <w:sz w:val="28"/>
          <w:szCs w:val="28"/>
          <w:lang w:val="en-US"/>
        </w:rPr>
        <w:t>2</w:t>
      </w:r>
      <w:r>
        <w:rPr>
          <w:rFonts w:cs="Arial"/>
          <w:noProof w:val="0"/>
          <w:sz w:val="28"/>
          <w:szCs w:val="28"/>
          <w:lang w:val="en-US"/>
        </w:rPr>
        <w:t>3</w:t>
      </w:r>
      <w:r w:rsidR="0064539F" w:rsidRPr="00FB5E4F">
        <w:t xml:space="preserve"> </w:t>
      </w:r>
      <w:r w:rsidR="0064539F">
        <w:t xml:space="preserve">                           </w:t>
      </w:r>
      <w:r w:rsidR="0064539F">
        <w:rPr>
          <w:rFonts w:cs="Arial"/>
          <w:noProof w:val="0"/>
          <w:sz w:val="28"/>
          <w:szCs w:val="28"/>
          <w:lang w:val="en-US"/>
        </w:rPr>
        <w:tab/>
        <w:t xml:space="preserve">   </w:t>
      </w:r>
    </w:p>
    <w:p w14:paraId="46110A3F" w14:textId="77777777" w:rsidR="0064539F" w:rsidRPr="00442959" w:rsidRDefault="0064539F" w:rsidP="0064539F">
      <w:pPr>
        <w:tabs>
          <w:tab w:val="left" w:pos="1985"/>
        </w:tabs>
        <w:spacing w:after="0" w:afterAutospacing="0"/>
        <w:ind w:left="1985" w:hangingChars="706" w:hanging="1985"/>
        <w:rPr>
          <w:rFonts w:ascii="Arial" w:hAnsi="Arial" w:cs="Arial"/>
          <w:b/>
          <w:sz w:val="28"/>
          <w:szCs w:val="28"/>
          <w:lang w:val="en-US"/>
        </w:rPr>
      </w:pPr>
      <w:bookmarkStart w:id="2" w:name="_Ref133120545"/>
      <w:bookmarkEnd w:id="0"/>
      <w:r w:rsidRPr="00442959">
        <w:rPr>
          <w:rFonts w:ascii="Arial" w:hAnsi="Arial" w:cs="Arial"/>
          <w:b/>
          <w:sz w:val="28"/>
          <w:szCs w:val="28"/>
          <w:lang w:val="en-US"/>
        </w:rPr>
        <w:t>Source:</w:t>
      </w:r>
      <w:r w:rsidRPr="00442959">
        <w:rPr>
          <w:rFonts w:ascii="Arial" w:hAnsi="Arial" w:cs="Arial"/>
          <w:b/>
          <w:sz w:val="28"/>
          <w:szCs w:val="28"/>
          <w:lang w:val="en-US"/>
        </w:rPr>
        <w:tab/>
        <w:t>Sharp</w:t>
      </w:r>
    </w:p>
    <w:p w14:paraId="16C2E755" w14:textId="179BBDB4" w:rsidR="0064539F" w:rsidRPr="00442959" w:rsidRDefault="0064539F" w:rsidP="0064539F">
      <w:pPr>
        <w:spacing w:after="0" w:afterAutospacing="0"/>
        <w:ind w:left="1985" w:hangingChars="706" w:hanging="1985"/>
        <w:rPr>
          <w:rFonts w:ascii="Arial" w:eastAsia="MS Mincho" w:hAnsi="Arial" w:cs="Arial"/>
          <w:b/>
          <w:sz w:val="28"/>
          <w:szCs w:val="28"/>
          <w:lang w:val="en-US"/>
        </w:rPr>
      </w:pPr>
      <w:r w:rsidRPr="00442959">
        <w:rPr>
          <w:rFonts w:ascii="Arial" w:hAnsi="Arial" w:cs="Arial"/>
          <w:b/>
          <w:sz w:val="28"/>
          <w:szCs w:val="28"/>
          <w:lang w:val="en-US"/>
        </w:rPr>
        <w:t>Title:</w:t>
      </w:r>
      <w:r w:rsidRPr="00442959">
        <w:rPr>
          <w:rFonts w:ascii="Arial" w:hAnsi="Arial" w:cs="Arial"/>
          <w:b/>
          <w:sz w:val="28"/>
          <w:szCs w:val="28"/>
          <w:lang w:val="en-US"/>
        </w:rPr>
        <w:tab/>
      </w:r>
      <w:r w:rsidR="00255755">
        <w:rPr>
          <w:rFonts w:ascii="Arial" w:hAnsi="Arial" w:cs="Arial"/>
          <w:b/>
          <w:sz w:val="28"/>
          <w:szCs w:val="28"/>
          <w:lang w:val="en-US"/>
        </w:rPr>
        <w:t xml:space="preserve">NTN-TN Mobility </w:t>
      </w:r>
      <w:r w:rsidR="006038C2">
        <w:rPr>
          <w:rFonts w:ascii="Arial" w:hAnsi="Arial" w:cs="Arial"/>
          <w:b/>
          <w:sz w:val="28"/>
          <w:szCs w:val="28"/>
          <w:lang w:val="en-US"/>
        </w:rPr>
        <w:t>Cell Reselection</w:t>
      </w:r>
    </w:p>
    <w:p w14:paraId="4E31768E" w14:textId="6978BF26" w:rsidR="0064539F" w:rsidRPr="00EF0653" w:rsidRDefault="0064539F" w:rsidP="0064539F">
      <w:pPr>
        <w:spacing w:after="0" w:afterAutospacing="0"/>
        <w:ind w:left="1985" w:hangingChars="706" w:hanging="1985"/>
        <w:rPr>
          <w:rFonts w:ascii="Arial" w:hAnsi="Arial" w:cs="Arial"/>
          <w:b/>
          <w:sz w:val="28"/>
          <w:szCs w:val="28"/>
          <w:lang w:val="pt-BR"/>
        </w:rPr>
      </w:pPr>
      <w:r w:rsidRPr="00442959">
        <w:rPr>
          <w:rFonts w:ascii="Arial" w:hAnsi="Arial" w:cs="Arial"/>
          <w:b/>
          <w:sz w:val="28"/>
          <w:szCs w:val="28"/>
          <w:lang w:val="pt-BR"/>
        </w:rPr>
        <w:t>Agenda Item:</w:t>
      </w:r>
      <w:r w:rsidRPr="00442959">
        <w:rPr>
          <w:rFonts w:ascii="Arial" w:hAnsi="Arial" w:cs="Arial"/>
          <w:b/>
          <w:sz w:val="28"/>
          <w:szCs w:val="28"/>
          <w:lang w:val="pt-BR"/>
        </w:rPr>
        <w:tab/>
      </w:r>
      <w:r>
        <w:rPr>
          <w:rFonts w:ascii="Arial" w:hAnsi="Arial" w:cs="Arial"/>
          <w:b/>
          <w:sz w:val="28"/>
          <w:szCs w:val="28"/>
          <w:lang w:val="pt-BR"/>
        </w:rPr>
        <w:t>8.</w:t>
      </w:r>
      <w:r w:rsidR="004B3AFC">
        <w:rPr>
          <w:rFonts w:ascii="Arial" w:hAnsi="Arial" w:cs="Arial"/>
          <w:b/>
          <w:sz w:val="28"/>
          <w:szCs w:val="28"/>
          <w:lang w:val="pt-BR"/>
        </w:rPr>
        <w:t>7</w:t>
      </w:r>
      <w:r>
        <w:rPr>
          <w:rFonts w:ascii="Arial" w:hAnsi="Arial" w:cs="Arial"/>
          <w:b/>
          <w:sz w:val="28"/>
          <w:szCs w:val="28"/>
          <w:lang w:val="pt-BR"/>
        </w:rPr>
        <w:t>.</w:t>
      </w:r>
      <w:r w:rsidR="004B3AFC">
        <w:rPr>
          <w:rFonts w:ascii="Arial" w:hAnsi="Arial" w:cs="Arial"/>
          <w:b/>
          <w:sz w:val="28"/>
          <w:szCs w:val="28"/>
          <w:lang w:val="pt-BR"/>
        </w:rPr>
        <w:t>4</w:t>
      </w:r>
      <w:r w:rsidR="004B1361">
        <w:rPr>
          <w:rFonts w:ascii="Arial" w:hAnsi="Arial" w:cs="Arial"/>
          <w:b/>
          <w:sz w:val="28"/>
          <w:szCs w:val="28"/>
          <w:lang w:val="pt-BR"/>
        </w:rPr>
        <w:t>.1.1</w:t>
      </w:r>
    </w:p>
    <w:p w14:paraId="5A9DF4C9" w14:textId="77777777" w:rsidR="0064539F" w:rsidRPr="00442959" w:rsidRDefault="0064539F" w:rsidP="0064539F">
      <w:pPr>
        <w:pBdr>
          <w:bottom w:val="single" w:sz="12" w:space="1" w:color="auto"/>
        </w:pBdr>
        <w:ind w:left="1985" w:hangingChars="706" w:hanging="1985"/>
        <w:rPr>
          <w:rFonts w:ascii="Arial" w:hAnsi="Arial" w:cs="Arial"/>
          <w:b/>
          <w:sz w:val="28"/>
          <w:szCs w:val="28"/>
          <w:lang w:val="en-US"/>
        </w:rPr>
      </w:pPr>
      <w:r w:rsidRPr="00442959">
        <w:rPr>
          <w:rFonts w:ascii="Arial" w:hAnsi="Arial" w:cs="Arial"/>
          <w:b/>
          <w:sz w:val="28"/>
          <w:szCs w:val="28"/>
          <w:lang w:val="en-US"/>
        </w:rPr>
        <w:t>Document for:</w:t>
      </w:r>
      <w:r w:rsidRPr="00442959">
        <w:rPr>
          <w:rFonts w:ascii="Arial" w:hAnsi="Arial" w:cs="Arial"/>
          <w:b/>
          <w:sz w:val="28"/>
          <w:szCs w:val="28"/>
          <w:lang w:val="en-US"/>
        </w:rPr>
        <w:tab/>
        <w:t>Discussion</w:t>
      </w:r>
      <w:bookmarkStart w:id="3" w:name="DocumentFor"/>
      <w:bookmarkEnd w:id="3"/>
      <w:r>
        <w:rPr>
          <w:rFonts w:ascii="Arial" w:hAnsi="Arial" w:cs="Arial"/>
          <w:b/>
          <w:sz w:val="28"/>
          <w:szCs w:val="28"/>
          <w:lang w:val="en-US"/>
        </w:rPr>
        <w:t xml:space="preserve"> and Decision</w:t>
      </w:r>
    </w:p>
    <w:p w14:paraId="78C49CA1" w14:textId="77777777" w:rsidR="0064539F" w:rsidRDefault="0064539F" w:rsidP="0064539F">
      <w:pPr>
        <w:pStyle w:val="Heading1"/>
        <w:spacing w:before="100" w:beforeAutospacing="1" w:afterLines="0" w:afterAutospacing="1"/>
        <w:rPr>
          <w:lang w:val="en-US"/>
        </w:rPr>
      </w:pPr>
      <w:r w:rsidRPr="00442959">
        <w:rPr>
          <w:lang w:val="en-US"/>
        </w:rPr>
        <w:t>Introduction</w:t>
      </w:r>
      <w:bookmarkEnd w:id="2"/>
    </w:p>
    <w:p w14:paraId="29B9D5FC" w14:textId="5EBBDD53" w:rsidR="0064539F" w:rsidRDefault="00255755" w:rsidP="0064539F">
      <w:pPr>
        <w:rPr>
          <w:lang w:val="en-US" w:eastAsia="x-none"/>
        </w:rPr>
      </w:pPr>
      <w:r>
        <w:rPr>
          <w:lang w:val="en-US" w:eastAsia="x-none"/>
        </w:rPr>
        <w:t>In RAN2#120 meeting, an agreement w</w:t>
      </w:r>
      <w:r w:rsidR="004B3AFC">
        <w:rPr>
          <w:lang w:val="en-US" w:eastAsia="x-none"/>
        </w:rPr>
        <w:t>as</w:t>
      </w:r>
      <w:r>
        <w:rPr>
          <w:lang w:val="en-US" w:eastAsia="x-none"/>
        </w:rPr>
        <w:t xml:space="preserve"> made regarding</w:t>
      </w:r>
      <w:r w:rsidR="004B3AFC">
        <w:rPr>
          <w:lang w:val="en-US" w:eastAsia="x-none"/>
        </w:rPr>
        <w:t xml:space="preserve"> identification of TN and NTN cells for cell reselection enhancements</w:t>
      </w:r>
      <w:r w:rsidR="0064539F">
        <w:rPr>
          <w:lang w:val="en-US" w:eastAsia="x-none"/>
        </w:rPr>
        <w:t>:</w:t>
      </w:r>
    </w:p>
    <w:p w14:paraId="3A2BCCF0" w14:textId="77777777" w:rsidR="004B3AFC" w:rsidRDefault="004B3AFC" w:rsidP="004B3AFC">
      <w:pPr>
        <w:pStyle w:val="Comments"/>
      </w:pPr>
    </w:p>
    <w:p w14:paraId="3D61D952" w14:textId="77777777" w:rsidR="004B3AFC" w:rsidRDefault="004B3AFC" w:rsidP="004B3AFC">
      <w:pPr>
        <w:pStyle w:val="Doc-com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 w:val="0"/>
        </w:rPr>
      </w:pPr>
      <w:r>
        <w:rPr>
          <w:i w:val="0"/>
        </w:rPr>
        <w:t>Agreements:</w:t>
      </w:r>
    </w:p>
    <w:p w14:paraId="6DDAF93A" w14:textId="77777777" w:rsidR="004B3AFC" w:rsidRDefault="004B3AFC" w:rsidP="004B3AFC">
      <w:pPr>
        <w:pStyle w:val="Doc-comment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 w:val="0"/>
        </w:rPr>
      </w:pPr>
      <w:r w:rsidRPr="00701A61">
        <w:rPr>
          <w:i w:val="0"/>
        </w:rPr>
        <w:t>RAN2 will first continue the investigation on the details of the TN coverage data (e.g. accuracy requirements for describing where TN network(s) is/are available) and UE storage overhead before deciding how to send the information to the UE.</w:t>
      </w:r>
    </w:p>
    <w:p w14:paraId="04980921" w14:textId="77777777" w:rsidR="004B3AFC" w:rsidRPr="004B3AFC" w:rsidRDefault="004B3AFC" w:rsidP="004B3AFC">
      <w:pPr>
        <w:pStyle w:val="Doc-comment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 w:val="0"/>
          <w:highlight w:val="yellow"/>
        </w:rPr>
      </w:pPr>
      <w:r w:rsidRPr="004B3AFC">
        <w:rPr>
          <w:i w:val="0"/>
          <w:highlight w:val="yellow"/>
        </w:rPr>
        <w:t>Continue the discussion on whether to introduce explicit indication to identify TN cells from inter-frequency list and inter-RAT frequency list (FFS on the granularity) or whether we rely on implicit information.</w:t>
      </w:r>
    </w:p>
    <w:p w14:paraId="57A2EF8F" w14:textId="77777777" w:rsidR="004B3AFC" w:rsidRDefault="004B3AFC" w:rsidP="004B3AFC">
      <w:pPr>
        <w:pStyle w:val="Comments"/>
      </w:pPr>
    </w:p>
    <w:p w14:paraId="57D8C617" w14:textId="77777777" w:rsidR="0064539F" w:rsidRPr="00655A69" w:rsidRDefault="0064539F" w:rsidP="0064539F">
      <w:pPr>
        <w:rPr>
          <w:lang w:val="en-US" w:eastAsia="x-none"/>
        </w:rPr>
      </w:pPr>
      <w:r>
        <w:rPr>
          <w:lang w:val="en-US" w:eastAsia="x-none"/>
        </w:rPr>
        <w:t xml:space="preserve">This paper discusses further considerations on the highlighted objective shown above. </w:t>
      </w:r>
    </w:p>
    <w:p w14:paraId="32344429" w14:textId="77777777" w:rsidR="0064539F" w:rsidRDefault="0064539F" w:rsidP="0064539F">
      <w:pPr>
        <w:pStyle w:val="Heading1"/>
        <w:spacing w:before="100" w:beforeAutospacing="1" w:afterLines="0" w:afterAutospacing="1"/>
        <w:rPr>
          <w:lang w:val="en-US" w:eastAsia="ja-JP"/>
        </w:rPr>
      </w:pPr>
      <w:r>
        <w:rPr>
          <w:lang w:val="en-US" w:eastAsia="ja-JP"/>
        </w:rPr>
        <w:t>Discussion</w:t>
      </w:r>
    </w:p>
    <w:p w14:paraId="1A27B0A3" w14:textId="2A499067" w:rsidR="0064539F" w:rsidRDefault="00351EA7" w:rsidP="0064539F">
      <w:pPr>
        <w:pStyle w:val="Heading2"/>
      </w:pPr>
      <w:r>
        <w:t xml:space="preserve">2.1    </w:t>
      </w:r>
      <w:r w:rsidR="0099061E">
        <w:t>NTN and TN cell differentiation</w:t>
      </w:r>
    </w:p>
    <w:p w14:paraId="7A1A9F2A" w14:textId="5EBB7B1B" w:rsidR="0052060B" w:rsidRDefault="0052060B" w:rsidP="0064539F">
      <w:r>
        <w:t>The satellite coverage footprint of NTN has two major differences compared to TN coverage area:</w:t>
      </w:r>
    </w:p>
    <w:p w14:paraId="596EA821" w14:textId="1C6C2032" w:rsidR="0052060B" w:rsidRDefault="0052060B" w:rsidP="0052060B">
      <w:pPr>
        <w:pStyle w:val="ListParagraph"/>
        <w:numPr>
          <w:ilvl w:val="0"/>
          <w:numId w:val="8"/>
        </w:numPr>
      </w:pPr>
      <w:r>
        <w:t xml:space="preserve">The </w:t>
      </w:r>
      <w:r w:rsidR="00E964D8">
        <w:t xml:space="preserve">NTN </w:t>
      </w:r>
      <w:r>
        <w:t xml:space="preserve">coverage area size </w:t>
      </w:r>
      <w:r w:rsidR="00E964D8">
        <w:t>can be much larger than TN coverage area, especially if GSO satellite is used</w:t>
      </w:r>
    </w:p>
    <w:p w14:paraId="7F4A7C3E" w14:textId="6BCFFB6D" w:rsidR="0052060B" w:rsidRDefault="0052060B" w:rsidP="0052060B">
      <w:pPr>
        <w:pStyle w:val="ListParagraph"/>
        <w:numPr>
          <w:ilvl w:val="0"/>
          <w:numId w:val="8"/>
        </w:numPr>
      </w:pPr>
      <w:r>
        <w:t>If satellite type is non-G</w:t>
      </w:r>
      <w:r w:rsidR="00E964D8">
        <w:t>S</w:t>
      </w:r>
      <w:r>
        <w:t xml:space="preserve">O, the </w:t>
      </w:r>
      <w:r w:rsidR="00DF0882">
        <w:t xml:space="preserve">coverage area of NTN </w:t>
      </w:r>
      <w:r w:rsidR="0098366D">
        <w:t>moves</w:t>
      </w:r>
    </w:p>
    <w:p w14:paraId="2CB1BEE4" w14:textId="1D80AD40" w:rsidR="00DF0882" w:rsidRPr="0052060B" w:rsidRDefault="00DE09A4" w:rsidP="005C35D4">
      <w:r>
        <w:t xml:space="preserve">In previous RAN2 meetings, reselection priority of NTN and TN cells were discussed.  The general consensus is that </w:t>
      </w:r>
      <w:r w:rsidR="0037426E">
        <w:t xml:space="preserve">if UE is camped on NTN cell, then the TN cell frequency will be assigned with a higher priority. </w:t>
      </w:r>
      <w:r>
        <w:t xml:space="preserve"> </w:t>
      </w:r>
      <w:r w:rsidR="0037426E">
        <w:t>However,</w:t>
      </w:r>
      <w:r w:rsidR="004C6A05">
        <w:t xml:space="preserve"> due to the larger coverage area, camping on an NTN cell reduces cell reselections resulting in lower </w:t>
      </w:r>
      <w:r w:rsidR="00B93DA0">
        <w:t xml:space="preserve">UE </w:t>
      </w:r>
      <w:r w:rsidR="004C6A05">
        <w:t xml:space="preserve">power consumption. </w:t>
      </w:r>
      <w:r w:rsidR="00B93DA0">
        <w:t>While the mechanism for assignment of neighbour cell priority (TN vs NTN) is still being discussed, f</w:t>
      </w:r>
      <w:r w:rsidR="005F1EB6">
        <w:t xml:space="preserve">or cell reselection, </w:t>
      </w:r>
      <w:r w:rsidR="00B93DA0">
        <w:t xml:space="preserve">always choosing TN neighbour cell may not be ideal.  Hence </w:t>
      </w:r>
      <w:r w:rsidR="005F1EB6">
        <w:t>the UE requires categorization of TN and NTN cells</w:t>
      </w:r>
      <w:r w:rsidR="00B93DA0">
        <w:t xml:space="preserve"> is necessary</w:t>
      </w:r>
      <w:r w:rsidR="005F1EB6">
        <w:t>.</w:t>
      </w:r>
      <w:r w:rsidR="009B52AF">
        <w:t xml:space="preserve">  </w:t>
      </w:r>
    </w:p>
    <w:p w14:paraId="75309AC0" w14:textId="77777777" w:rsidR="0052060B" w:rsidRDefault="0052060B" w:rsidP="0064539F">
      <w:pPr>
        <w:rPr>
          <w:color w:val="FF0000"/>
        </w:rPr>
      </w:pPr>
    </w:p>
    <w:p w14:paraId="5DBA876E" w14:textId="5847CAEF" w:rsidR="00790859" w:rsidRPr="000525EF" w:rsidRDefault="0064539F" w:rsidP="000525EF">
      <w:pPr>
        <w:rPr>
          <w:b/>
          <w:bCs/>
        </w:rPr>
      </w:pPr>
      <w:r>
        <w:rPr>
          <w:b/>
          <w:bCs/>
        </w:rPr>
        <w:t>Observation</w:t>
      </w:r>
      <w:r w:rsidRPr="009838DA">
        <w:rPr>
          <w:b/>
          <w:bCs/>
        </w:rPr>
        <w:t>:</w:t>
      </w:r>
      <w:r>
        <w:rPr>
          <w:b/>
          <w:bCs/>
        </w:rPr>
        <w:t xml:space="preserve"> </w:t>
      </w:r>
      <w:r w:rsidR="007145F6">
        <w:rPr>
          <w:b/>
          <w:bCs/>
        </w:rPr>
        <w:t xml:space="preserve">If UE </w:t>
      </w:r>
      <w:r w:rsidR="00EE1962">
        <w:rPr>
          <w:b/>
          <w:bCs/>
        </w:rPr>
        <w:t>is in</w:t>
      </w:r>
      <w:r w:rsidR="007145F6">
        <w:rPr>
          <w:b/>
          <w:bCs/>
        </w:rPr>
        <w:t xml:space="preserve"> an </w:t>
      </w:r>
      <w:r w:rsidR="00221CC7">
        <w:rPr>
          <w:b/>
          <w:bCs/>
        </w:rPr>
        <w:t>area</w:t>
      </w:r>
      <w:r w:rsidR="007145F6">
        <w:rPr>
          <w:b/>
          <w:bCs/>
        </w:rPr>
        <w:t xml:space="preserve"> with both</w:t>
      </w:r>
      <w:r w:rsidR="00221CC7">
        <w:rPr>
          <w:b/>
          <w:bCs/>
        </w:rPr>
        <w:t>,</w:t>
      </w:r>
      <w:r w:rsidR="007145F6">
        <w:rPr>
          <w:b/>
          <w:bCs/>
        </w:rPr>
        <w:t xml:space="preserve"> TN and NTN coverages, the </w:t>
      </w:r>
      <w:r w:rsidR="00EE1962">
        <w:rPr>
          <w:b/>
          <w:bCs/>
        </w:rPr>
        <w:t xml:space="preserve">UE must differentiate </w:t>
      </w:r>
      <w:r w:rsidR="000525EF">
        <w:rPr>
          <w:b/>
          <w:bCs/>
        </w:rPr>
        <w:t xml:space="preserve">between </w:t>
      </w:r>
      <w:r w:rsidR="00790859">
        <w:rPr>
          <w:b/>
          <w:bCs/>
        </w:rPr>
        <w:t xml:space="preserve">TN and NTN </w:t>
      </w:r>
      <w:r w:rsidR="00EE1962">
        <w:rPr>
          <w:b/>
          <w:bCs/>
        </w:rPr>
        <w:t>neighbour cell frequenc</w:t>
      </w:r>
      <w:r w:rsidR="00790859">
        <w:rPr>
          <w:b/>
          <w:bCs/>
        </w:rPr>
        <w:t>ies</w:t>
      </w:r>
      <w:r w:rsidR="00EE1962">
        <w:rPr>
          <w:b/>
          <w:bCs/>
        </w:rPr>
        <w:t xml:space="preserve">/ID </w:t>
      </w:r>
    </w:p>
    <w:p w14:paraId="77F30097" w14:textId="268B84CD" w:rsidR="00221CC7" w:rsidRPr="00CB048C" w:rsidRDefault="00790859" w:rsidP="005C35D4">
      <w:pPr>
        <w:rPr>
          <w:color w:val="FF0000"/>
          <w:lang w:eastAsia="x-none"/>
        </w:rPr>
      </w:pPr>
      <w:r>
        <w:rPr>
          <w:lang w:eastAsia="x-none"/>
        </w:rPr>
        <w:t>NTN satellites uses different frequenc</w:t>
      </w:r>
      <w:r w:rsidR="000525EF">
        <w:rPr>
          <w:lang w:eastAsia="x-none"/>
        </w:rPr>
        <w:t>y bands</w:t>
      </w:r>
      <w:r>
        <w:rPr>
          <w:lang w:eastAsia="x-none"/>
        </w:rPr>
        <w:t xml:space="preserve"> tha</w:t>
      </w:r>
      <w:r w:rsidR="000525EF">
        <w:rPr>
          <w:lang w:eastAsia="x-none"/>
        </w:rPr>
        <w:t>t</w:t>
      </w:r>
      <w:r>
        <w:rPr>
          <w:lang w:eastAsia="x-none"/>
        </w:rPr>
        <w:t xml:space="preserve"> include </w:t>
      </w:r>
      <w:r w:rsidR="000525EF">
        <w:rPr>
          <w:lang w:eastAsia="x-none"/>
        </w:rPr>
        <w:t xml:space="preserve">C (4-8GHz), X (8-12GHz), </w:t>
      </w:r>
      <w:r>
        <w:rPr>
          <w:lang w:eastAsia="x-none"/>
        </w:rPr>
        <w:t>K</w:t>
      </w:r>
      <w:r w:rsidR="000525EF">
        <w:rPr>
          <w:lang w:eastAsia="x-none"/>
        </w:rPr>
        <w:t>u (12-18GHz)</w:t>
      </w:r>
      <w:r>
        <w:rPr>
          <w:lang w:eastAsia="x-none"/>
        </w:rPr>
        <w:t>,</w:t>
      </w:r>
      <w:r w:rsidR="000525EF">
        <w:rPr>
          <w:lang w:eastAsia="x-none"/>
        </w:rPr>
        <w:t xml:space="preserve"> and</w:t>
      </w:r>
      <w:r>
        <w:rPr>
          <w:lang w:eastAsia="x-none"/>
        </w:rPr>
        <w:t xml:space="preserve"> K</w:t>
      </w:r>
      <w:r w:rsidR="000525EF">
        <w:rPr>
          <w:lang w:eastAsia="x-none"/>
        </w:rPr>
        <w:t>a (26-40GHz)</w:t>
      </w:r>
      <w:r>
        <w:rPr>
          <w:lang w:eastAsia="x-none"/>
        </w:rPr>
        <w:t xml:space="preserve">.  As a result, </w:t>
      </w:r>
      <w:r w:rsidR="007F63DD">
        <w:rPr>
          <w:lang w:eastAsia="x-none"/>
        </w:rPr>
        <w:t xml:space="preserve">the ARFCN-ValueNR will be defined by the specified </w:t>
      </w:r>
      <w:r w:rsidR="00221CC7">
        <w:rPr>
          <w:lang w:eastAsia="x-none"/>
        </w:rPr>
        <w:t xml:space="preserve">satellite </w:t>
      </w:r>
      <w:r w:rsidR="007F63DD">
        <w:rPr>
          <w:lang w:eastAsia="x-none"/>
        </w:rPr>
        <w:t xml:space="preserve">frequencies.  </w:t>
      </w:r>
      <w:r w:rsidR="00A047BE">
        <w:rPr>
          <w:lang w:eastAsia="x-none"/>
        </w:rPr>
        <w:t xml:space="preserve">If </w:t>
      </w:r>
      <w:r w:rsidR="005C35D4">
        <w:rPr>
          <w:lang w:eastAsia="x-none"/>
        </w:rPr>
        <w:t xml:space="preserve">neighbour </w:t>
      </w:r>
      <w:r w:rsidR="00A047BE">
        <w:rPr>
          <w:lang w:eastAsia="x-none"/>
        </w:rPr>
        <w:t xml:space="preserve">ARFCN-ValueNR </w:t>
      </w:r>
      <w:r w:rsidR="005C35D4">
        <w:rPr>
          <w:lang w:eastAsia="x-none"/>
        </w:rPr>
        <w:t>is not</w:t>
      </w:r>
      <w:r w:rsidR="00A047BE">
        <w:rPr>
          <w:lang w:eastAsia="x-none"/>
        </w:rPr>
        <w:t xml:space="preserve"> within the range of the satellite frequency ARFCN-ValueNR</w:t>
      </w:r>
      <w:r w:rsidR="005C35D4">
        <w:rPr>
          <w:lang w:eastAsia="x-none"/>
        </w:rPr>
        <w:t>(s)</w:t>
      </w:r>
      <w:r w:rsidR="00A047BE">
        <w:rPr>
          <w:lang w:eastAsia="x-none"/>
        </w:rPr>
        <w:t>, the cell is a TN cell.</w:t>
      </w:r>
      <w:r w:rsidR="009B52AF">
        <w:rPr>
          <w:lang w:eastAsia="x-none"/>
        </w:rPr>
        <w:t xml:space="preserve"> </w:t>
      </w:r>
      <w:r w:rsidR="0098366D">
        <w:rPr>
          <w:lang w:eastAsia="x-none"/>
        </w:rPr>
        <w:t>NTN cells are also identified in b</w:t>
      </w:r>
      <w:r w:rsidR="00405EDD" w:rsidRPr="00405EDD">
        <w:rPr>
          <w:lang w:eastAsia="x-none"/>
        </w:rPr>
        <w:t>roadcasted SIB messages</w:t>
      </w:r>
      <w:r w:rsidR="00FC6279">
        <w:rPr>
          <w:lang w:eastAsia="x-none"/>
        </w:rPr>
        <w:t xml:space="preserve"> (i.e. SIB19) and other messages</w:t>
      </w:r>
      <w:r w:rsidR="00405EDD" w:rsidRPr="00405EDD">
        <w:rPr>
          <w:lang w:eastAsia="x-none"/>
        </w:rPr>
        <w:t xml:space="preserve"> that contains NTN-Con</w:t>
      </w:r>
      <w:r w:rsidR="00405EDD">
        <w:rPr>
          <w:lang w:eastAsia="x-none"/>
        </w:rPr>
        <w:t>f</w:t>
      </w:r>
      <w:r w:rsidR="00405EDD" w:rsidRPr="00405EDD">
        <w:rPr>
          <w:lang w:eastAsia="x-none"/>
        </w:rPr>
        <w:t>ig IE</w:t>
      </w:r>
      <w:r w:rsidR="00FC6279">
        <w:rPr>
          <w:lang w:eastAsia="x-none"/>
        </w:rPr>
        <w:t xml:space="preserve"> </w:t>
      </w:r>
      <w:r w:rsidR="0098366D">
        <w:rPr>
          <w:lang w:eastAsia="x-none"/>
        </w:rPr>
        <w:t>[1].</w:t>
      </w:r>
      <w:r w:rsidR="00FC6279">
        <w:rPr>
          <w:lang w:eastAsia="x-none"/>
        </w:rPr>
        <w:t xml:space="preserve"> </w:t>
      </w:r>
    </w:p>
    <w:p w14:paraId="6B3BC9A5" w14:textId="6A999882" w:rsidR="0064539F" w:rsidRDefault="0064539F" w:rsidP="0064539F">
      <w:pPr>
        <w:rPr>
          <w:b/>
          <w:bCs/>
        </w:rPr>
      </w:pPr>
      <w:r>
        <w:t>P</w:t>
      </w:r>
      <w:r w:rsidRPr="009838DA">
        <w:rPr>
          <w:b/>
          <w:bCs/>
        </w:rPr>
        <w:t>roposal</w:t>
      </w:r>
      <w:r>
        <w:rPr>
          <w:b/>
          <w:bCs/>
        </w:rPr>
        <w:t xml:space="preserve"> 1</w:t>
      </w:r>
      <w:r w:rsidRPr="009838DA">
        <w:rPr>
          <w:b/>
          <w:bCs/>
        </w:rPr>
        <w:t xml:space="preserve">: </w:t>
      </w:r>
      <w:r w:rsidR="000525EF">
        <w:rPr>
          <w:b/>
          <w:bCs/>
        </w:rPr>
        <w:t>RAN2 c</w:t>
      </w:r>
      <w:r w:rsidR="00405EDD">
        <w:rPr>
          <w:b/>
          <w:bCs/>
        </w:rPr>
        <w:t xml:space="preserve">onsider that UE can implicitly determine whether the cell is TN or NTN </w:t>
      </w:r>
      <w:r w:rsidRPr="00AF76F4">
        <w:rPr>
          <w:b/>
          <w:bCs/>
        </w:rPr>
        <w:t xml:space="preserve"> </w:t>
      </w:r>
    </w:p>
    <w:p w14:paraId="217CA14C" w14:textId="79BF50B9" w:rsidR="0098366D" w:rsidRPr="0098366D" w:rsidRDefault="0098366D" w:rsidP="005C35D4">
      <w:r>
        <w:t>However</w:t>
      </w:r>
      <w:r w:rsidR="005C35D4">
        <w:t>,</w:t>
      </w:r>
      <w:r>
        <w:t xml:space="preserve"> if TN and NTN frequencies will co-exist</w:t>
      </w:r>
      <w:r w:rsidR="00FC6279">
        <w:t xml:space="preserve"> and utilize the same range of channels</w:t>
      </w:r>
      <w:r>
        <w:t xml:space="preserve">, then RAN2 </w:t>
      </w:r>
      <w:r w:rsidR="005C35D4">
        <w:t>may</w:t>
      </w:r>
      <w:r>
        <w:t xml:space="preserve"> consider </w:t>
      </w:r>
      <w:r w:rsidR="00FC6279">
        <w:t xml:space="preserve">discussing </w:t>
      </w:r>
      <w:r>
        <w:t>alternatives for identifying TN from NTN cells.</w:t>
      </w:r>
      <w:r w:rsidR="00FC6279">
        <w:t xml:space="preserve"> While it may be possible that TN may use the same band as NTN, we foresee that the allocation of ARFCN-ValueNR will be separated between TN and NTN</w:t>
      </w:r>
    </w:p>
    <w:p w14:paraId="77B78AB3" w14:textId="77777777" w:rsidR="0098366D" w:rsidRDefault="0098366D" w:rsidP="0064539F">
      <w:pPr>
        <w:rPr>
          <w:b/>
          <w:bCs/>
        </w:rPr>
      </w:pPr>
    </w:p>
    <w:p w14:paraId="7B7B4FDB" w14:textId="3D8E2DEB" w:rsidR="00CB048C" w:rsidRDefault="00CB048C" w:rsidP="00CB048C">
      <w:pPr>
        <w:pStyle w:val="textintend2"/>
        <w:widowControl w:val="0"/>
        <w:spacing w:before="100" w:beforeAutospacing="1" w:after="100" w:afterAutospacing="1"/>
        <w:ind w:left="418" w:hanging="418"/>
      </w:pPr>
      <w:r w:rsidRPr="00FC58DF">
        <w:t>3GPP TR3</w:t>
      </w:r>
      <w:r>
        <w:t xml:space="preserve">8.331 </w:t>
      </w:r>
      <w:r w:rsidR="0098366D">
        <w:t>v17.3.0</w:t>
      </w:r>
    </w:p>
    <w:p w14:paraId="49E8614C" w14:textId="77777777" w:rsidR="00B72FF8" w:rsidRPr="004A6A7C" w:rsidRDefault="00B72FF8" w:rsidP="00B72FF8">
      <w:pPr>
        <w:pStyle w:val="textintend2"/>
        <w:widowControl w:val="0"/>
        <w:numPr>
          <w:ilvl w:val="0"/>
          <w:numId w:val="0"/>
        </w:numPr>
        <w:spacing w:before="100" w:beforeAutospacing="1"/>
        <w:ind w:left="420"/>
      </w:pPr>
    </w:p>
    <w:p w14:paraId="4272D0C7" w14:textId="77777777" w:rsidR="0064539F" w:rsidRDefault="0064539F" w:rsidP="0064539F">
      <w:pPr>
        <w:pStyle w:val="textintend2"/>
        <w:widowControl w:val="0"/>
        <w:numPr>
          <w:ilvl w:val="0"/>
          <w:numId w:val="0"/>
        </w:numPr>
        <w:spacing w:before="100" w:beforeAutospacing="1" w:after="100" w:afterAutospacing="1"/>
        <w:ind w:left="418"/>
      </w:pPr>
    </w:p>
    <w:p w14:paraId="49C03FA8" w14:textId="77777777" w:rsidR="0064539F" w:rsidRPr="004A6A7C" w:rsidRDefault="0064539F" w:rsidP="0064539F">
      <w:pPr>
        <w:pStyle w:val="textintend2"/>
        <w:widowControl w:val="0"/>
        <w:numPr>
          <w:ilvl w:val="0"/>
          <w:numId w:val="0"/>
        </w:numPr>
        <w:spacing w:before="100" w:beforeAutospacing="1" w:after="100" w:afterAutospacing="1"/>
        <w:ind w:left="418"/>
      </w:pPr>
    </w:p>
    <w:bookmarkEnd w:id="1"/>
    <w:p w14:paraId="4D2A4D9C" w14:textId="77777777" w:rsidR="003F7360" w:rsidRDefault="003F7360"/>
    <w:sectPr w:rsidR="003F7360">
      <w:footerReference w:type="default" r:id="rId7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C504D" w14:textId="77777777" w:rsidR="00BC684B" w:rsidRDefault="00BC684B">
      <w:pPr>
        <w:spacing w:after="0"/>
      </w:pPr>
      <w:r>
        <w:separator/>
      </w:r>
    </w:p>
  </w:endnote>
  <w:endnote w:type="continuationSeparator" w:id="0">
    <w:p w14:paraId="07125218" w14:textId="77777777" w:rsidR="00BC684B" w:rsidRDefault="00BC68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D6DC5" w14:textId="77777777" w:rsidR="002A12A6" w:rsidRDefault="002A12A6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14763" w14:textId="77777777" w:rsidR="00BC684B" w:rsidRDefault="00BC684B">
      <w:pPr>
        <w:spacing w:after="0"/>
      </w:pPr>
      <w:r>
        <w:separator/>
      </w:r>
    </w:p>
  </w:footnote>
  <w:footnote w:type="continuationSeparator" w:id="0">
    <w:p w14:paraId="0821D912" w14:textId="77777777" w:rsidR="00BC684B" w:rsidRDefault="00BC68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250011"/>
    <w:multiLevelType w:val="hybridMultilevel"/>
    <w:tmpl w:val="6390F9DE"/>
    <w:lvl w:ilvl="0" w:tplc="04090001">
      <w:start w:val="1"/>
      <w:numFmt w:val="decimal"/>
      <w:pStyle w:val="textintend2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572FD"/>
    <w:multiLevelType w:val="hybridMultilevel"/>
    <w:tmpl w:val="80800BCA"/>
    <w:lvl w:ilvl="0" w:tplc="33243A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BC10F5"/>
    <w:multiLevelType w:val="hybridMultilevel"/>
    <w:tmpl w:val="288E3B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5" w15:restartNumberingAfterBreak="0">
    <w:nsid w:val="56757D48"/>
    <w:multiLevelType w:val="hybridMultilevel"/>
    <w:tmpl w:val="EDC07842"/>
    <w:lvl w:ilvl="0" w:tplc="05FA8C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3157D4"/>
    <w:multiLevelType w:val="multilevel"/>
    <w:tmpl w:val="D550ECAC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b/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b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 w16cid:durableId="899554680">
    <w:abstractNumId w:val="7"/>
  </w:num>
  <w:num w:numId="2" w16cid:durableId="9714403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4062466">
    <w:abstractNumId w:val="6"/>
  </w:num>
  <w:num w:numId="4" w16cid:durableId="1596356204">
    <w:abstractNumId w:val="2"/>
  </w:num>
  <w:num w:numId="5" w16cid:durableId="1711614563">
    <w:abstractNumId w:val="4"/>
  </w:num>
  <w:num w:numId="6" w16cid:durableId="429816776">
    <w:abstractNumId w:val="1"/>
  </w:num>
  <w:num w:numId="7" w16cid:durableId="1743722608">
    <w:abstractNumId w:val="5"/>
  </w:num>
  <w:num w:numId="8" w16cid:durableId="11063454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539F"/>
    <w:rsid w:val="00040013"/>
    <w:rsid w:val="000525EF"/>
    <w:rsid w:val="00080EB0"/>
    <w:rsid w:val="0014031C"/>
    <w:rsid w:val="001F449E"/>
    <w:rsid w:val="00221CC7"/>
    <w:rsid w:val="002263D7"/>
    <w:rsid w:val="00255124"/>
    <w:rsid w:val="00255755"/>
    <w:rsid w:val="002A12A6"/>
    <w:rsid w:val="002E6FFA"/>
    <w:rsid w:val="00340DAE"/>
    <w:rsid w:val="00351EA7"/>
    <w:rsid w:val="0037426E"/>
    <w:rsid w:val="003F3C7F"/>
    <w:rsid w:val="003F7360"/>
    <w:rsid w:val="00405EDD"/>
    <w:rsid w:val="004A130C"/>
    <w:rsid w:val="004B1361"/>
    <w:rsid w:val="004B3AFC"/>
    <w:rsid w:val="004C6A05"/>
    <w:rsid w:val="004D321D"/>
    <w:rsid w:val="0052060B"/>
    <w:rsid w:val="00523478"/>
    <w:rsid w:val="005418BA"/>
    <w:rsid w:val="00541C6D"/>
    <w:rsid w:val="005C35D4"/>
    <w:rsid w:val="005F1EB6"/>
    <w:rsid w:val="006038C2"/>
    <w:rsid w:val="006105F4"/>
    <w:rsid w:val="00611489"/>
    <w:rsid w:val="00633C2F"/>
    <w:rsid w:val="0064539F"/>
    <w:rsid w:val="00653958"/>
    <w:rsid w:val="006C1AFD"/>
    <w:rsid w:val="006E5821"/>
    <w:rsid w:val="007145F6"/>
    <w:rsid w:val="00754488"/>
    <w:rsid w:val="0075479A"/>
    <w:rsid w:val="00774C12"/>
    <w:rsid w:val="00790859"/>
    <w:rsid w:val="007F2F31"/>
    <w:rsid w:val="007F63DD"/>
    <w:rsid w:val="008210BA"/>
    <w:rsid w:val="00854A49"/>
    <w:rsid w:val="00885A0F"/>
    <w:rsid w:val="008A42C8"/>
    <w:rsid w:val="008D02B1"/>
    <w:rsid w:val="008E18DF"/>
    <w:rsid w:val="009209C2"/>
    <w:rsid w:val="00921EE1"/>
    <w:rsid w:val="0098366D"/>
    <w:rsid w:val="0099061E"/>
    <w:rsid w:val="009B52AF"/>
    <w:rsid w:val="009C402E"/>
    <w:rsid w:val="00A047BE"/>
    <w:rsid w:val="00A314D1"/>
    <w:rsid w:val="00A4529D"/>
    <w:rsid w:val="00AE2A19"/>
    <w:rsid w:val="00B31B15"/>
    <w:rsid w:val="00B66FC1"/>
    <w:rsid w:val="00B72FF8"/>
    <w:rsid w:val="00B93DA0"/>
    <w:rsid w:val="00BA53B6"/>
    <w:rsid w:val="00BB1DBC"/>
    <w:rsid w:val="00BC684B"/>
    <w:rsid w:val="00C53AD4"/>
    <w:rsid w:val="00CA76F4"/>
    <w:rsid w:val="00CB048C"/>
    <w:rsid w:val="00D668BB"/>
    <w:rsid w:val="00D74670"/>
    <w:rsid w:val="00DE09A4"/>
    <w:rsid w:val="00DF0882"/>
    <w:rsid w:val="00DF30E7"/>
    <w:rsid w:val="00E531F6"/>
    <w:rsid w:val="00E57B16"/>
    <w:rsid w:val="00E964D8"/>
    <w:rsid w:val="00EE1962"/>
    <w:rsid w:val="00EE4DCF"/>
    <w:rsid w:val="00F242D6"/>
    <w:rsid w:val="00FC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B0AE0"/>
  <w15:docId w15:val="{C2DF7DB8-D131-4CCA-8576-4F2A1151A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39F"/>
    <w:pPr>
      <w:snapToGrid w:val="0"/>
      <w:spacing w:after="100" w:afterAutospacing="1" w:line="240" w:lineRule="auto"/>
      <w:jc w:val="both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64539F"/>
    <w:pPr>
      <w:keepNext/>
      <w:numPr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Heading2">
    <w:name w:val="heading 2"/>
    <w:aliases w:val="DO NOT USE_h2,h2,h21,H2,Head2A,2,UNDERRUBRIK 1-2,H2 Char,h2 Char"/>
    <w:basedOn w:val="Normal"/>
    <w:next w:val="Normal"/>
    <w:link w:val="Heading2Char1"/>
    <w:autoRedefine/>
    <w:qFormat/>
    <w:rsid w:val="0064539F"/>
    <w:pPr>
      <w:keepNext/>
      <w:spacing w:before="240"/>
      <w:outlineLvl w:val="1"/>
    </w:pPr>
    <w:rPr>
      <w:rFonts w:ascii="Arial" w:eastAsia="MS Mincho" w:hAnsi="Arial"/>
      <w:b/>
      <w:sz w:val="28"/>
      <w:szCs w:val="28"/>
      <w:lang w:eastAsia="x-none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64539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Heading4">
    <w:name w:val="heading 4"/>
    <w:aliases w:val="h4"/>
    <w:basedOn w:val="Normal"/>
    <w:next w:val="Normal"/>
    <w:link w:val="Heading4Char"/>
    <w:qFormat/>
    <w:rsid w:val="0064539F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64539F"/>
    <w:rPr>
      <w:rFonts w:ascii="Arial" w:eastAsia="MS Gothic" w:hAnsi="Arial" w:cs="Times New Roman"/>
      <w:b/>
      <w:kern w:val="28"/>
      <w:sz w:val="32"/>
      <w:szCs w:val="20"/>
      <w:lang w:val="en-GB" w:eastAsia="x-none"/>
    </w:rPr>
  </w:style>
  <w:style w:type="character" w:customStyle="1" w:styleId="Heading2Char">
    <w:name w:val="Heading 2 Char"/>
    <w:basedOn w:val="DefaultParagraphFont"/>
    <w:uiPriority w:val="9"/>
    <w:semiHidden/>
    <w:rsid w:val="0064539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64539F"/>
    <w:rPr>
      <w:rFonts w:ascii="Arial" w:eastAsia="MS Gothic" w:hAnsi="Arial" w:cs="Times New Roman"/>
      <w:b/>
      <w:sz w:val="24"/>
      <w:szCs w:val="20"/>
      <w:lang w:val="en-GB" w:eastAsia="ja-JP"/>
    </w:rPr>
  </w:style>
  <w:style w:type="character" w:customStyle="1" w:styleId="Heading4Char">
    <w:name w:val="Heading 4 Char"/>
    <w:aliases w:val="h4 Char"/>
    <w:basedOn w:val="DefaultParagraphFont"/>
    <w:link w:val="Heading4"/>
    <w:rsid w:val="0064539F"/>
    <w:rPr>
      <w:rFonts w:ascii="Arial" w:eastAsia="MS Gothic" w:hAnsi="Arial" w:cs="Times New Roman"/>
      <w:i/>
      <w:sz w:val="24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4539F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4539F"/>
    <w:rPr>
      <w:rFonts w:ascii="Arial" w:eastAsia="MS Mincho" w:hAnsi="Arial" w:cs="Times New Roman"/>
      <w:b/>
      <w:noProof/>
      <w:sz w:val="18"/>
      <w:szCs w:val="20"/>
      <w:lang w:val="en-GB" w:eastAsia="ja-JP"/>
    </w:rPr>
  </w:style>
  <w:style w:type="character" w:styleId="CommentReference">
    <w:name w:val="annotation reference"/>
    <w:semiHidden/>
    <w:rsid w:val="0064539F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rsid w:val="0064539F"/>
    <w:pPr>
      <w:jc w:val="left"/>
    </w:pPr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semiHidden/>
    <w:rsid w:val="0064539F"/>
    <w:rPr>
      <w:rFonts w:ascii="Times New Roman" w:eastAsia="MS Gothic" w:hAnsi="Times New Roman" w:cs="Times New Roman"/>
      <w:sz w:val="24"/>
      <w:szCs w:val="20"/>
      <w:lang w:val="en-GB" w:eastAsia="x-none"/>
    </w:rPr>
  </w:style>
  <w:style w:type="paragraph" w:styleId="Footer">
    <w:name w:val="footer"/>
    <w:basedOn w:val="Normal"/>
    <w:link w:val="FooterChar"/>
    <w:uiPriority w:val="99"/>
    <w:rsid w:val="0064539F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4539F"/>
    <w:rPr>
      <w:rFonts w:ascii="Times New Roman" w:eastAsia="MS Gothic" w:hAnsi="Times New Roman" w:cs="Times New Roman"/>
      <w:sz w:val="24"/>
      <w:szCs w:val="20"/>
      <w:lang w:val="en-GB" w:eastAsia="x-none"/>
    </w:rPr>
  </w:style>
  <w:style w:type="character" w:customStyle="1" w:styleId="Heading2Char1">
    <w:name w:val="Heading 2 Char1"/>
    <w:aliases w:val="DO NOT USE_h2 Char,h2 Char1,h21 Char,H2 Char1,Head2A Char,2 Char,UNDERRUBRIK 1-2 Char,H2 Char Char,h2 Char Char"/>
    <w:link w:val="Heading2"/>
    <w:rsid w:val="0064539F"/>
    <w:rPr>
      <w:rFonts w:ascii="Arial" w:eastAsia="MS Mincho" w:hAnsi="Arial" w:cs="Times New Roman"/>
      <w:b/>
      <w:sz w:val="28"/>
      <w:szCs w:val="28"/>
      <w:lang w:val="en-GB" w:eastAsia="x-none"/>
    </w:rPr>
  </w:style>
  <w:style w:type="paragraph" w:customStyle="1" w:styleId="B1">
    <w:name w:val="B1"/>
    <w:basedOn w:val="List"/>
    <w:link w:val="B1Char1"/>
    <w:qFormat/>
    <w:rsid w:val="0064539F"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contextualSpacing w:val="0"/>
      <w:jc w:val="left"/>
      <w:textAlignment w:val="baseline"/>
    </w:pPr>
    <w:rPr>
      <w:rFonts w:ascii="Century" w:eastAsia="MS Mincho" w:hAnsi="Century"/>
      <w:sz w:val="20"/>
      <w:lang w:eastAsia="en-GB"/>
    </w:rPr>
  </w:style>
  <w:style w:type="character" w:customStyle="1" w:styleId="B1Char1">
    <w:name w:val="B1 Char1"/>
    <w:link w:val="B1"/>
    <w:rsid w:val="0064539F"/>
    <w:rPr>
      <w:rFonts w:ascii="Century" w:eastAsia="MS Mincho" w:hAnsi="Century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64539F"/>
    <w:pPr>
      <w:overflowPunct w:val="0"/>
      <w:autoSpaceDE w:val="0"/>
      <w:autoSpaceDN w:val="0"/>
      <w:adjustRightInd w:val="0"/>
      <w:snapToGrid/>
      <w:spacing w:after="180" w:afterAutospacing="0"/>
      <w:ind w:left="851" w:hanging="284"/>
      <w:contextualSpacing w:val="0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textintend2">
    <w:name w:val="text intend 2"/>
    <w:basedOn w:val="Normal"/>
    <w:rsid w:val="0064539F"/>
    <w:pPr>
      <w:numPr>
        <w:numId w:val="2"/>
      </w:numPr>
      <w:overflowPunct w:val="0"/>
      <w:autoSpaceDE w:val="0"/>
      <w:autoSpaceDN w:val="0"/>
      <w:adjustRightInd w:val="0"/>
      <w:snapToGrid/>
      <w:spacing w:after="120" w:afterAutospacing="0"/>
      <w:textAlignment w:val="baseline"/>
    </w:pPr>
    <w:rPr>
      <w:rFonts w:eastAsia="MS Mincho"/>
      <w:lang w:val="en-US" w:eastAsia="en-GB"/>
    </w:rPr>
  </w:style>
  <w:style w:type="character" w:customStyle="1" w:styleId="B2Char">
    <w:name w:val="B2 Char"/>
    <w:link w:val="B2"/>
    <w:qFormat/>
    <w:rsid w:val="0064539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maintextChar">
    <w:name w:val="main text Char"/>
    <w:link w:val="maintext"/>
    <w:qFormat/>
    <w:locked/>
    <w:rsid w:val="0064539F"/>
    <w:rPr>
      <w:rFonts w:ascii="Calibri" w:eastAsia="Malgun Gothic" w:hAnsi="Calibri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64539F"/>
    <w:pPr>
      <w:snapToGrid/>
      <w:spacing w:before="60" w:after="60" w:afterAutospacing="0" w:line="288" w:lineRule="auto"/>
      <w:ind w:firstLineChars="200" w:firstLine="200"/>
    </w:pPr>
    <w:rPr>
      <w:rFonts w:ascii="Calibri" w:eastAsia="Malgun Gothic" w:hAnsi="Calibri" w:cs="Batang"/>
      <w:sz w:val="22"/>
      <w:szCs w:val="22"/>
      <w:lang w:val="en-US" w:eastAsia="ko-KR"/>
    </w:rPr>
  </w:style>
  <w:style w:type="paragraph" w:styleId="List">
    <w:name w:val="List"/>
    <w:basedOn w:val="Normal"/>
    <w:uiPriority w:val="99"/>
    <w:semiHidden/>
    <w:unhideWhenUsed/>
    <w:rsid w:val="0064539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4539F"/>
    <w:pPr>
      <w:ind w:left="720" w:hanging="360"/>
      <w:contextualSpacing/>
    </w:pPr>
  </w:style>
  <w:style w:type="paragraph" w:customStyle="1" w:styleId="References">
    <w:name w:val="References"/>
    <w:basedOn w:val="Normal"/>
    <w:rsid w:val="00921EE1"/>
    <w:pPr>
      <w:numPr>
        <w:numId w:val="5"/>
      </w:numPr>
      <w:autoSpaceDE w:val="0"/>
      <w:autoSpaceDN w:val="0"/>
      <w:spacing w:after="60" w:afterAutospacing="0"/>
    </w:pPr>
    <w:rPr>
      <w:rFonts w:eastAsia="SimSun"/>
      <w:sz w:val="20"/>
      <w:szCs w:val="16"/>
      <w:lang w:val="en-US" w:eastAsia="en-US"/>
    </w:rPr>
  </w:style>
  <w:style w:type="paragraph" w:customStyle="1" w:styleId="Comments">
    <w:name w:val="Comments"/>
    <w:basedOn w:val="Normal"/>
    <w:link w:val="CommentsChar"/>
    <w:qFormat/>
    <w:rsid w:val="004B3AFC"/>
    <w:pPr>
      <w:snapToGrid/>
      <w:spacing w:before="40" w:after="0" w:afterAutospacing="0"/>
      <w:jc w:val="left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B3AFC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Normal"/>
    <w:next w:val="Normal"/>
    <w:rsid w:val="004B3AFC"/>
    <w:pPr>
      <w:numPr>
        <w:numId w:val="6"/>
      </w:numPr>
      <w:snapToGrid/>
      <w:spacing w:after="0" w:afterAutospacing="0"/>
      <w:jc w:val="left"/>
    </w:pPr>
    <w:rPr>
      <w:rFonts w:ascii="Arial" w:eastAsia="MS Mincho" w:hAnsi="Arial"/>
      <w:sz w:val="20"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4B3AFC"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/>
      <w:i/>
      <w:sz w:val="20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206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Sugiyama, Ed</dc:creator>
  <cp:keywords/>
  <dc:description/>
  <cp:lastModifiedBy>Sugiyama, Ed</cp:lastModifiedBy>
  <cp:revision>3</cp:revision>
  <dcterms:created xsi:type="dcterms:W3CDTF">2023-02-16T21:00:00Z</dcterms:created>
  <dcterms:modified xsi:type="dcterms:W3CDTF">2023-02-16T21:01:00Z</dcterms:modified>
</cp:coreProperties>
</file>