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13BFCC7B"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w:t>
      </w:r>
      <w:r w:rsidR="00AD27D1">
        <w:rPr>
          <w:b/>
          <w:noProof/>
          <w:sz w:val="24"/>
        </w:rPr>
        <w:t>2</w:t>
      </w:r>
      <w:r w:rsidR="00DC4505">
        <w:rPr>
          <w:b/>
          <w:noProof/>
          <w:sz w:val="24"/>
        </w:rPr>
        <w:t>1</w:t>
      </w:r>
      <w:r w:rsidRPr="0033027D">
        <w:rPr>
          <w:b/>
          <w:noProof/>
          <w:sz w:val="24"/>
        </w:rPr>
        <w:tab/>
      </w:r>
      <w:r w:rsidR="00816B41" w:rsidRPr="00821869">
        <w:rPr>
          <w:b/>
          <w:noProof/>
          <w:sz w:val="24"/>
        </w:rPr>
        <w:t>R</w:t>
      </w:r>
      <w:r w:rsidR="007F7B79" w:rsidRPr="00821869">
        <w:rPr>
          <w:b/>
          <w:noProof/>
          <w:sz w:val="24"/>
        </w:rPr>
        <w:t>2</w:t>
      </w:r>
      <w:r w:rsidR="00816B41" w:rsidRPr="00821869">
        <w:rPr>
          <w:b/>
          <w:noProof/>
          <w:sz w:val="24"/>
        </w:rPr>
        <w:t>-</w:t>
      </w:r>
      <w:r w:rsidR="00821869" w:rsidRPr="00821869">
        <w:rPr>
          <w:b/>
          <w:noProof/>
          <w:sz w:val="24"/>
        </w:rPr>
        <w:t>2</w:t>
      </w:r>
      <w:r w:rsidR="00821869" w:rsidRPr="00821869">
        <w:rPr>
          <w:b/>
          <w:noProof/>
          <w:sz w:val="24"/>
        </w:rPr>
        <w:t>301393</w:t>
      </w:r>
    </w:p>
    <w:p w14:paraId="5776266B" w14:textId="6A338B05" w:rsidR="0010127D" w:rsidRPr="006A45BA" w:rsidRDefault="00DC4505" w:rsidP="00657C8C">
      <w:pPr>
        <w:pStyle w:val="CRCoverPage"/>
        <w:tabs>
          <w:tab w:val="right" w:pos="9639"/>
        </w:tabs>
        <w:spacing w:after="0" w:line="276" w:lineRule="auto"/>
        <w:rPr>
          <w:b/>
          <w:noProof/>
          <w:sz w:val="24"/>
        </w:rPr>
      </w:pPr>
      <w:r>
        <w:rPr>
          <w:b/>
          <w:noProof/>
          <w:sz w:val="24"/>
        </w:rPr>
        <w:t>Athens</w:t>
      </w:r>
      <w:r w:rsidR="0010127D">
        <w:rPr>
          <w:b/>
          <w:noProof/>
          <w:sz w:val="24"/>
        </w:rPr>
        <w:t>,</w:t>
      </w:r>
      <w:r w:rsidR="0010127D" w:rsidRPr="0033027D">
        <w:rPr>
          <w:b/>
          <w:noProof/>
          <w:sz w:val="24"/>
        </w:rPr>
        <w:t xml:space="preserve"> </w:t>
      </w:r>
      <w:r>
        <w:rPr>
          <w:b/>
          <w:noProof/>
          <w:sz w:val="24"/>
        </w:rPr>
        <w:t>27 February</w:t>
      </w:r>
      <w:r w:rsidR="0010127D" w:rsidRPr="007F7B79">
        <w:rPr>
          <w:b/>
          <w:noProof/>
          <w:sz w:val="24"/>
        </w:rPr>
        <w:t xml:space="preserve"> – </w:t>
      </w:r>
      <w:r>
        <w:rPr>
          <w:b/>
          <w:noProof/>
          <w:sz w:val="24"/>
        </w:rPr>
        <w:t>3</w:t>
      </w:r>
      <w:r w:rsidR="0010127D">
        <w:rPr>
          <w:b/>
          <w:noProof/>
          <w:sz w:val="24"/>
        </w:rPr>
        <w:t xml:space="preserve"> </w:t>
      </w:r>
      <w:r>
        <w:rPr>
          <w:b/>
          <w:noProof/>
          <w:sz w:val="24"/>
        </w:rPr>
        <w:t>March</w:t>
      </w:r>
      <w:r w:rsidR="0010127D">
        <w:rPr>
          <w:b/>
          <w:noProof/>
          <w:sz w:val="24"/>
        </w:rPr>
        <w:t>, 202</w:t>
      </w:r>
      <w:r>
        <w:rPr>
          <w:b/>
          <w:noProof/>
          <w:sz w:val="24"/>
        </w:rPr>
        <w:t>3</w:t>
      </w:r>
      <w:r w:rsidR="0010127D" w:rsidRPr="0033027D">
        <w:rPr>
          <w:b/>
          <w:noProof/>
          <w:sz w:val="24"/>
        </w:rPr>
        <w:tab/>
      </w:r>
    </w:p>
    <w:p w14:paraId="0CBA198B" w14:textId="77777777" w:rsidR="007D040F" w:rsidRPr="00BB3A4E" w:rsidRDefault="007D040F" w:rsidP="00657C8C">
      <w:pPr>
        <w:pStyle w:val="CRCoverPage"/>
        <w:spacing w:line="276" w:lineRule="auto"/>
        <w:rPr>
          <w:rFonts w:cs="Arial"/>
          <w:b/>
          <w:bCs/>
          <w:sz w:val="24"/>
          <w:lang w:val="en-US"/>
        </w:rPr>
      </w:pPr>
    </w:p>
    <w:p w14:paraId="5A72964D" w14:textId="51FFEB13" w:rsidR="007D040F" w:rsidRPr="00295181" w:rsidRDefault="007D040F" w:rsidP="00657C8C">
      <w:pPr>
        <w:pStyle w:val="CRCoverPage"/>
        <w:spacing w:line="276" w:lineRule="auto"/>
        <w:rPr>
          <w:rFonts w:cs="Arial"/>
          <w:b/>
          <w:bCs/>
          <w:sz w:val="24"/>
          <w:lang w:val="en-US"/>
        </w:rPr>
      </w:pPr>
      <w:r w:rsidRPr="00295181">
        <w:rPr>
          <w:rFonts w:cs="Arial"/>
          <w:b/>
          <w:bCs/>
          <w:sz w:val="24"/>
          <w:lang w:val="en-US"/>
        </w:rPr>
        <w:t>Agenda item:</w:t>
      </w:r>
      <w:r w:rsidRPr="00295181">
        <w:rPr>
          <w:rFonts w:cs="Arial"/>
          <w:b/>
          <w:bCs/>
          <w:sz w:val="24"/>
          <w:lang w:val="en-US"/>
        </w:rPr>
        <w:tab/>
      </w:r>
      <w:r w:rsidRPr="00295181">
        <w:rPr>
          <w:rFonts w:cs="Arial"/>
          <w:b/>
          <w:bCs/>
          <w:sz w:val="24"/>
          <w:lang w:val="en-US"/>
        </w:rPr>
        <w:tab/>
      </w:r>
      <w:r w:rsidR="00DC4505">
        <w:rPr>
          <w:rFonts w:cs="Arial"/>
          <w:b/>
          <w:bCs/>
          <w:sz w:val="24"/>
          <w:lang w:val="en-US"/>
        </w:rPr>
        <w:t>7.2</w:t>
      </w:r>
      <w:r w:rsidR="003F7318">
        <w:rPr>
          <w:rFonts w:cs="Arial"/>
          <w:b/>
          <w:bCs/>
          <w:sz w:val="24"/>
          <w:lang w:val="en-US"/>
        </w:rPr>
        <w:t>.1</w:t>
      </w:r>
    </w:p>
    <w:p w14:paraId="7D9EB809" w14:textId="0D8F9552" w:rsidR="00141C25" w:rsidRPr="00A044A1" w:rsidRDefault="00141C25" w:rsidP="00657C8C">
      <w:pPr>
        <w:pStyle w:val="CRCoverPage"/>
        <w:spacing w:line="276" w:lineRule="auto"/>
        <w:ind w:left="1985" w:hanging="1985"/>
        <w:rPr>
          <w:rFonts w:cs="Arial"/>
          <w:b/>
          <w:bCs/>
          <w:sz w:val="24"/>
          <w:lang w:val="de-DE" w:eastAsia="ja-JP"/>
        </w:rPr>
      </w:pPr>
      <w:r w:rsidRPr="00A044A1">
        <w:rPr>
          <w:rFonts w:cs="Arial"/>
          <w:b/>
          <w:bCs/>
          <w:sz w:val="24"/>
          <w:lang w:val="de-DE" w:eastAsia="ja-JP"/>
        </w:rPr>
        <w:t>Source:</w:t>
      </w:r>
      <w:r w:rsidRPr="00A044A1">
        <w:rPr>
          <w:rFonts w:cs="Arial"/>
          <w:b/>
          <w:bCs/>
          <w:sz w:val="24"/>
          <w:lang w:val="de-DE" w:eastAsia="ja-JP"/>
        </w:rPr>
        <w:tab/>
      </w:r>
      <w:r w:rsidR="0068089E" w:rsidRPr="00A044A1">
        <w:rPr>
          <w:rFonts w:cs="Arial"/>
          <w:b/>
          <w:bCs/>
          <w:sz w:val="24"/>
          <w:lang w:val="de-DE" w:eastAsia="ja-JP"/>
        </w:rPr>
        <w:t>Deutsche Telekom</w:t>
      </w:r>
      <w:r w:rsidR="00037E63">
        <w:rPr>
          <w:rFonts w:cs="Arial"/>
          <w:b/>
          <w:bCs/>
          <w:sz w:val="24"/>
          <w:lang w:val="de-DE" w:eastAsia="ja-JP"/>
        </w:rPr>
        <w:t>, Huawei, HiSilicon</w:t>
      </w:r>
      <w:r w:rsidR="00790A64">
        <w:rPr>
          <w:rFonts w:cs="Arial"/>
          <w:b/>
          <w:bCs/>
          <w:sz w:val="24"/>
          <w:lang w:val="de-DE" w:eastAsia="ja-JP"/>
        </w:rPr>
        <w:t>, Ericsson</w:t>
      </w:r>
      <w:r w:rsidR="001D0589">
        <w:rPr>
          <w:rFonts w:cs="Arial"/>
          <w:b/>
          <w:bCs/>
          <w:sz w:val="24"/>
          <w:lang w:val="de-DE" w:eastAsia="ja-JP"/>
        </w:rPr>
        <w:t>, Nokia, Nokia Shanghai Bell</w:t>
      </w:r>
      <w:r w:rsidR="00A566B5">
        <w:rPr>
          <w:rFonts w:cs="Arial"/>
          <w:b/>
          <w:bCs/>
          <w:sz w:val="24"/>
          <w:lang w:val="de-DE" w:eastAsia="ja-JP"/>
        </w:rPr>
        <w:t>, Thales</w:t>
      </w:r>
      <w:r w:rsidR="006F2C07">
        <w:rPr>
          <w:rFonts w:cs="Arial"/>
          <w:b/>
          <w:bCs/>
          <w:sz w:val="24"/>
          <w:lang w:val="de-DE" w:eastAsia="ja-JP"/>
        </w:rPr>
        <w:t xml:space="preserve">, </w:t>
      </w:r>
      <w:r w:rsidR="006F2C07" w:rsidRPr="006F2C07">
        <w:rPr>
          <w:rFonts w:cs="Arial"/>
          <w:b/>
          <w:bCs/>
          <w:sz w:val="24"/>
          <w:lang w:val="de-DE" w:eastAsia="ja-JP"/>
        </w:rPr>
        <w:t>Vodafone, Telit, BT, Telstra, Telecom Italia, Turkcell</w:t>
      </w:r>
    </w:p>
    <w:p w14:paraId="020AFC7D" w14:textId="3A0E7A72"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F508D4">
        <w:rPr>
          <w:rFonts w:ascii="Arial" w:hAnsi="Arial" w:cs="Arial"/>
          <w:b/>
          <w:bCs/>
          <w:sz w:val="24"/>
          <w:lang w:val="en-US"/>
        </w:rPr>
        <w:t>Considerations</w:t>
      </w:r>
      <w:r w:rsidR="00743089">
        <w:rPr>
          <w:rFonts w:ascii="Arial" w:hAnsi="Arial" w:cs="Arial"/>
          <w:b/>
          <w:bCs/>
          <w:sz w:val="24"/>
          <w:lang w:val="en-US"/>
        </w:rPr>
        <w:t xml:space="preserve"> on </w:t>
      </w:r>
      <w:r w:rsidR="00DC4505">
        <w:rPr>
          <w:rFonts w:ascii="Arial" w:hAnsi="Arial" w:cs="Arial"/>
          <w:b/>
          <w:bCs/>
          <w:sz w:val="24"/>
          <w:lang w:val="en-US"/>
        </w:rPr>
        <w:t xml:space="preserve">AS </w:t>
      </w:r>
      <w:r w:rsidR="00DC4505" w:rsidRPr="00DC4505">
        <w:rPr>
          <w:rFonts w:ascii="Arial" w:hAnsi="Arial" w:cs="Arial"/>
          <w:b/>
          <w:bCs/>
          <w:sz w:val="24"/>
          <w:lang w:val="en-US"/>
        </w:rPr>
        <w:t>deactivation due to discontinuous coverage</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79E4EF56" w14:textId="456C124A" w:rsidR="00814DD1" w:rsidRDefault="00DE4554" w:rsidP="00814DD1">
      <w:pPr>
        <w:spacing w:line="276" w:lineRule="auto"/>
        <w:jc w:val="both"/>
        <w:rPr>
          <w:lang w:eastAsia="zh-CN"/>
        </w:rPr>
      </w:pPr>
      <w:r>
        <w:rPr>
          <w:lang w:eastAsia="zh-CN"/>
        </w:rPr>
        <w:t>In the previous RAN</w:t>
      </w:r>
      <w:r w:rsidR="00422577">
        <w:rPr>
          <w:lang w:eastAsia="zh-CN"/>
        </w:rPr>
        <w:t xml:space="preserve"> Plenary</w:t>
      </w:r>
      <w:r>
        <w:rPr>
          <w:lang w:eastAsia="zh-CN"/>
        </w:rPr>
        <w:t xml:space="preserve"> meeting, </w:t>
      </w:r>
      <w:r w:rsidR="00157864">
        <w:rPr>
          <w:lang w:eastAsia="zh-CN"/>
        </w:rPr>
        <w:t>RAN#98-e,</w:t>
      </w:r>
      <w:r w:rsidR="00A87376">
        <w:rPr>
          <w:lang w:eastAsia="zh-CN"/>
        </w:rPr>
        <w:t xml:space="preserve"> Deutsche Telekom flagged</w:t>
      </w:r>
      <w:r w:rsidR="00157864">
        <w:rPr>
          <w:lang w:eastAsia="zh-CN"/>
        </w:rPr>
        <w:t xml:space="preserve"> </w:t>
      </w:r>
      <w:r w:rsidR="0082298A" w:rsidRPr="0082298A">
        <w:rPr>
          <w:lang w:eastAsia="zh-CN"/>
        </w:rPr>
        <w:t>the approval of the agreed CR 0859rev1 to 36.304 (R2-2213080)</w:t>
      </w:r>
      <w:r w:rsidR="00A87376">
        <w:rPr>
          <w:lang w:eastAsia="zh-CN"/>
        </w:rPr>
        <w:t>,</w:t>
      </w:r>
      <w:r w:rsidR="0082298A" w:rsidRPr="0082298A">
        <w:rPr>
          <w:lang w:eastAsia="zh-CN"/>
        </w:rPr>
        <w:t xml:space="preserve"> </w:t>
      </w:r>
      <w:r w:rsidR="00A87376">
        <w:rPr>
          <w:lang w:eastAsia="zh-CN"/>
        </w:rPr>
        <w:t xml:space="preserve">since </w:t>
      </w:r>
      <w:r w:rsidR="00157864">
        <w:rPr>
          <w:lang w:eastAsia="zh-CN"/>
        </w:rPr>
        <w:t xml:space="preserve">the proposed change to paragraph 4.1 referring to the </w:t>
      </w:r>
      <w:r w:rsidR="00157864">
        <w:rPr>
          <w:lang w:val="en-US"/>
        </w:rPr>
        <w:t>clarification added</w:t>
      </w:r>
      <w:r w:rsidR="00157864">
        <w:rPr>
          <w:sz w:val="18"/>
          <w:szCs w:val="18"/>
          <w:lang w:val="en-US"/>
        </w:rPr>
        <w:t xml:space="preserve"> </w:t>
      </w:r>
      <w:r w:rsidR="00157864">
        <w:rPr>
          <w:lang w:val="en-US"/>
        </w:rPr>
        <w:t>for idle mode operation during discontinuous coverage</w:t>
      </w:r>
      <w:r w:rsidR="00157864">
        <w:rPr>
          <w:lang w:eastAsia="zh-CN"/>
        </w:rPr>
        <w:t>, “(e.g.,</w:t>
      </w:r>
      <w:r w:rsidR="00157864">
        <w:t xml:space="preserve"> performing intra-frequency, inter-frequency or inter-RAT measurements)”, </w:t>
      </w:r>
      <w:r w:rsidR="000578F7" w:rsidRPr="00157864">
        <w:t>introduc</w:t>
      </w:r>
      <w:r w:rsidR="000578F7">
        <w:t>e</w:t>
      </w:r>
      <w:r w:rsidR="00B577EF">
        <w:t>d</w:t>
      </w:r>
      <w:r w:rsidR="00A87376">
        <w:t xml:space="preserve"> further</w:t>
      </w:r>
      <w:r w:rsidR="00157864" w:rsidRPr="00157864">
        <w:t xml:space="preserve"> unclarity </w:t>
      </w:r>
      <w:r w:rsidR="00157864">
        <w:t xml:space="preserve">in terms of </w:t>
      </w:r>
      <w:r w:rsidR="008F3F8A" w:rsidRPr="0082298A">
        <w:rPr>
          <w:lang w:eastAsia="zh-CN"/>
        </w:rPr>
        <w:t>the UE behaviour when SIB32 is received and the UE is out of coverage</w:t>
      </w:r>
      <w:r w:rsidR="00157864">
        <w:t>.</w:t>
      </w:r>
      <w:r w:rsidR="008F3F8A">
        <w:t xml:space="preserve"> </w:t>
      </w:r>
      <w:r w:rsidR="00814DD1">
        <w:t xml:space="preserve">RAN Plenary decided </w:t>
      </w:r>
      <w:r w:rsidR="00A87376">
        <w:t xml:space="preserve">not to include this clarification in the revised CR (RP-223533) and to </w:t>
      </w:r>
      <w:r w:rsidR="00814DD1">
        <w:t xml:space="preserve">continue having further discussions/analyses in the next RAN2 meeting on </w:t>
      </w:r>
      <w:r w:rsidR="00814DD1">
        <w:rPr>
          <w:lang w:eastAsia="zh-CN"/>
        </w:rPr>
        <w:t>how to better clarify in 36.304 the UE behaviour when SIB32 is received, and the UE is out of NTN coverage.</w:t>
      </w:r>
    </w:p>
    <w:p w14:paraId="34585A5E" w14:textId="0920625F" w:rsidR="00391B5D" w:rsidRDefault="00814DD1" w:rsidP="00A87376">
      <w:pPr>
        <w:spacing w:line="276" w:lineRule="auto"/>
        <w:jc w:val="both"/>
        <w:rPr>
          <w:lang w:eastAsia="zh-CN"/>
        </w:rPr>
      </w:pPr>
      <w:r>
        <w:rPr>
          <w:lang w:eastAsia="zh-CN"/>
        </w:rPr>
        <w:t xml:space="preserve">In this contribution, our intention is to highlight the issue </w:t>
      </w:r>
      <w:r w:rsidR="00026419">
        <w:rPr>
          <w:lang w:eastAsia="zh-CN"/>
        </w:rPr>
        <w:t>raised</w:t>
      </w:r>
      <w:r>
        <w:rPr>
          <w:lang w:eastAsia="zh-CN"/>
        </w:rPr>
        <w:t xml:space="preserve"> with regard to i</w:t>
      </w:r>
      <w:r w:rsidR="00026419">
        <w:rPr>
          <w:lang w:eastAsia="zh-CN"/>
        </w:rPr>
        <w:t>dle mode tasks towards TN</w:t>
      </w:r>
      <w:r w:rsidR="00A87376">
        <w:rPr>
          <w:lang w:eastAsia="zh-CN"/>
        </w:rPr>
        <w:t xml:space="preserve"> and propose an update of the CR in question for discussion and agreement in RAN2</w:t>
      </w:r>
      <w:r w:rsidR="00BB5F31">
        <w:rPr>
          <w:lang w:eastAsia="zh-CN"/>
        </w:rPr>
        <w:t>.</w:t>
      </w:r>
    </w:p>
    <w:p w14:paraId="737AAC97" w14:textId="79C590B1" w:rsidR="00344144" w:rsidRDefault="00786976" w:rsidP="00657C8C">
      <w:pPr>
        <w:pStyle w:val="Heading1"/>
        <w:numPr>
          <w:ilvl w:val="0"/>
          <w:numId w:val="4"/>
        </w:numPr>
        <w:spacing w:line="276" w:lineRule="auto"/>
        <w:rPr>
          <w:lang w:eastAsia="zh-CN"/>
        </w:rPr>
      </w:pPr>
      <w:r>
        <w:t>D</w:t>
      </w:r>
      <w:r w:rsidR="00DD40D9">
        <w:t xml:space="preserve">iscussion </w:t>
      </w:r>
    </w:p>
    <w:p w14:paraId="7B9006B2" w14:textId="6BA99A10" w:rsidR="00B577EF" w:rsidRPr="00257639" w:rsidRDefault="0067359E" w:rsidP="00DB0D96">
      <w:pPr>
        <w:spacing w:line="276" w:lineRule="auto"/>
        <w:jc w:val="both"/>
      </w:pPr>
      <w:r w:rsidRPr="00257639">
        <w:t xml:space="preserve">The agreements made regarding the </w:t>
      </w:r>
      <w:r w:rsidRPr="00257639">
        <w:rPr>
          <w:lang w:eastAsia="zh-CN"/>
        </w:rPr>
        <w:t xml:space="preserve">deactivation of access stratum due to discontinuous coverage have been captured in </w:t>
      </w:r>
      <w:r w:rsidR="00B577EF" w:rsidRPr="00257639">
        <w:t>TS 36.304 in section 4 on “General description of Idle mode”:</w:t>
      </w:r>
    </w:p>
    <w:p w14:paraId="2005DBC9" w14:textId="6613E5B1" w:rsidR="0067359E" w:rsidRDefault="00B577EF" w:rsidP="00AD18BC">
      <w:pPr>
        <w:pBdr>
          <w:top w:val="single" w:sz="4" w:space="1" w:color="auto"/>
          <w:left w:val="single" w:sz="4" w:space="4" w:color="auto"/>
          <w:bottom w:val="single" w:sz="4" w:space="1" w:color="auto"/>
          <w:right w:val="single" w:sz="4" w:space="4" w:color="auto"/>
        </w:pBdr>
        <w:jc w:val="both"/>
      </w:pPr>
      <w:bookmarkStart w:id="0" w:name="_Hlk115430984"/>
      <w:r>
        <w:rPr>
          <w:rFonts w:ascii="Arial" w:hAnsi="Arial" w:cs="Arial"/>
        </w:rPr>
        <w:t>“</w:t>
      </w:r>
      <w:r w:rsidR="0067359E" w:rsidRPr="0067359E">
        <w:t xml:space="preserve">If </w:t>
      </w:r>
      <w:r w:rsidR="0067359E" w:rsidRPr="0067359E">
        <w:rPr>
          <w:i/>
          <w:iCs/>
        </w:rPr>
        <w:t>SystemInformationBlockType32</w:t>
      </w:r>
      <w:r w:rsidR="0067359E" w:rsidRPr="0067359E">
        <w:t xml:space="preserve"> has been received and if the UE has determined that it is out of coverage using available satellite assistance information (e.g. ephemeris parameters and coverage parameters in current or previously received </w:t>
      </w:r>
      <w:r w:rsidR="0067359E" w:rsidRPr="0067359E">
        <w:rPr>
          <w:i/>
          <w:iCs/>
        </w:rPr>
        <w:t>SystemInformationBlockType32</w:t>
      </w:r>
      <w:r w:rsidR="0067359E" w:rsidRPr="0067359E">
        <w:t xml:space="preserve">, </w:t>
      </w:r>
      <w:r w:rsidR="0067359E" w:rsidRPr="0067359E">
        <w:rPr>
          <w:i/>
          <w:iCs/>
        </w:rPr>
        <w:t>SystemInformationBlockType31</w:t>
      </w:r>
      <w:r w:rsidR="0067359E" w:rsidRPr="0067359E">
        <w:t xml:space="preserve">, </w:t>
      </w:r>
      <w:r w:rsidR="0067359E" w:rsidRPr="0067359E">
        <w:rPr>
          <w:i/>
          <w:iCs/>
        </w:rPr>
        <w:t>t-Service</w:t>
      </w:r>
      <w:r w:rsidR="0067359E" w:rsidRPr="0067359E">
        <w:t xml:space="preserve"> in </w:t>
      </w:r>
      <w:r w:rsidR="0067359E" w:rsidRPr="0067359E">
        <w:rPr>
          <w:i/>
          <w:iCs/>
        </w:rPr>
        <w:t>SystemInformationBlockType3</w:t>
      </w:r>
      <w:r w:rsidR="0067359E" w:rsidRPr="0067359E">
        <w:t xml:space="preserve"> or other parameters), the AS configuration (e.g. priorities provided by dedicated signalling and logged measurements) is kept, </w:t>
      </w:r>
      <w:r w:rsidR="0067359E" w:rsidRPr="00DE4D00">
        <w:rPr>
          <w:b/>
          <w:bCs/>
        </w:rPr>
        <w:t>but the UE need not perform any idle mode tasks</w:t>
      </w:r>
      <w:r w:rsidR="0067359E" w:rsidRPr="0067359E">
        <w:t>. It is up to UE implementation to handle running timers. The detection of out of coverage using satellite assistance information is up to UE implementation and once in coverage the UE shall perform all idle mode tasks</w:t>
      </w:r>
      <w:r w:rsidRPr="00A96803">
        <w:t>.</w:t>
      </w:r>
      <w:r w:rsidR="0067359E">
        <w:t>”</w:t>
      </w:r>
    </w:p>
    <w:p w14:paraId="5940C571" w14:textId="0D5387ED" w:rsidR="0067359E" w:rsidRDefault="0067359E" w:rsidP="00DB0D96">
      <w:pPr>
        <w:spacing w:line="276" w:lineRule="auto"/>
        <w:jc w:val="both"/>
      </w:pPr>
      <w:r w:rsidRPr="00257639">
        <w:t>In RAN2#119bis-e, RAN2 received an LS from SA2 (</w:t>
      </w:r>
      <w:r w:rsidR="003C6602">
        <w:t>R2-2209191/</w:t>
      </w:r>
      <w:r w:rsidRPr="00257639">
        <w:t>S2-2207420) on the deactivation of access stratum due to discontinuous coverage</w:t>
      </w:r>
      <w:r w:rsidR="00D471C3">
        <w:t xml:space="preserve"> </w:t>
      </w:r>
      <w:r w:rsidRPr="00257639">
        <w:t xml:space="preserve">and was asked to provide feedback on the applicable cases of AS functions deactivation due to </w:t>
      </w:r>
      <w:r w:rsidR="002277DD" w:rsidRPr="00257639">
        <w:t>discontinuous coverage</w:t>
      </w:r>
      <w:r w:rsidRPr="00257639">
        <w:t xml:space="preserve">. </w:t>
      </w:r>
      <w:r w:rsidR="00AD18BC" w:rsidRPr="00257639">
        <w:t>RAN2 discussed the question and informed SA2 that “</w:t>
      </w:r>
      <w:r w:rsidR="00AD18BC" w:rsidRPr="00DB0D96">
        <w:t xml:space="preserve">it is up to UE implementation to deactivate Access Stratum functions due to </w:t>
      </w:r>
      <w:r w:rsidR="002277DD" w:rsidRPr="00257639">
        <w:t>discontinuous coverage</w:t>
      </w:r>
      <w:r w:rsidR="00AD18BC" w:rsidRPr="00DB0D96">
        <w:t>. This applies to any RAT supported by the UE including satellite and terrestrial access.”</w:t>
      </w:r>
      <w:r w:rsidR="00257639" w:rsidRPr="00DB0D96">
        <w:t>.</w:t>
      </w:r>
      <w:r w:rsidR="00C162AD">
        <w:t xml:space="preserve"> </w:t>
      </w:r>
      <w:r w:rsidR="00F24C51">
        <w:t xml:space="preserve">Based on this </w:t>
      </w:r>
      <w:r w:rsidR="004941FA" w:rsidRPr="00DB0D96">
        <w:t>reply</w:t>
      </w:r>
      <w:r w:rsidR="00C162AD">
        <w:t xml:space="preserve">, RAN2 </w:t>
      </w:r>
      <w:r w:rsidR="004941FA">
        <w:t>approved a CR of TS36.304 (R2-2213080), in which</w:t>
      </w:r>
      <w:r w:rsidR="002B77D9">
        <w:t xml:space="preserve"> a clarification in</w:t>
      </w:r>
      <w:r w:rsidR="005F7E89">
        <w:t xml:space="preserve"> </w:t>
      </w:r>
      <w:r w:rsidR="002B77D9" w:rsidRPr="002B77D9">
        <w:t xml:space="preserve">paragraph 4.1 </w:t>
      </w:r>
      <w:r w:rsidR="004941FA">
        <w:t xml:space="preserve">was added referring to the </w:t>
      </w:r>
      <w:r w:rsidR="002B77D9" w:rsidRPr="002B77D9">
        <w:t xml:space="preserve">idle mode </w:t>
      </w:r>
      <w:r w:rsidR="004941FA">
        <w:t>tasks not required to be performed by a UE</w:t>
      </w:r>
      <w:r w:rsidR="002B77D9" w:rsidRPr="002B77D9">
        <w:t xml:space="preserve"> during discontinuous coverage, “(e.g., performing intra-frequency, inter-frequency or inter-RAT measurements)”</w:t>
      </w:r>
      <w:r w:rsidR="004941FA">
        <w:t xml:space="preserve">; however, </w:t>
      </w:r>
      <w:r w:rsidR="002B77D9" w:rsidRPr="002B77D9">
        <w:t xml:space="preserve">RAN Plenary decided not to include this clarification </w:t>
      </w:r>
      <w:r w:rsidR="0092714D" w:rsidRPr="0092714D">
        <w:t>in the revised CR (RP-223533) and to continue having further discussions/analyses in the next RAN2 meeting on how to better clarify in 36.304 the UE behaviour when SIB32 is received, and the UE is out of NTN coverage.</w:t>
      </w:r>
    </w:p>
    <w:bookmarkEnd w:id="0"/>
    <w:p w14:paraId="3CBD4D1B" w14:textId="75A2E1D4" w:rsidR="002277DD" w:rsidRDefault="0048295B" w:rsidP="00DB0D96">
      <w:pPr>
        <w:spacing w:line="276" w:lineRule="auto"/>
        <w:jc w:val="both"/>
      </w:pPr>
      <w:r w:rsidRPr="00DB0D96">
        <w:lastRenderedPageBreak/>
        <w:t xml:space="preserve">According to the </w:t>
      </w:r>
      <w:r w:rsidR="00974061" w:rsidRPr="00DB0D96">
        <w:t>agreed text captured in TS36.304,</w:t>
      </w:r>
      <w:r w:rsidRPr="00DB0D96">
        <w:t xml:space="preserve"> </w:t>
      </w:r>
      <w:r w:rsidR="00974061" w:rsidRPr="00DB0D96">
        <w:t>the UE does not need to perform any idle mode task</w:t>
      </w:r>
      <w:r w:rsidR="002277DD">
        <w:t>s</w:t>
      </w:r>
      <w:r w:rsidR="00974061" w:rsidRPr="00DB0D96">
        <w:t xml:space="preserve"> (“… but the UE need not perform any idle mode tasks.”), NTN-related </w:t>
      </w:r>
      <w:r w:rsidR="00643A62" w:rsidRPr="00DB0D96">
        <w:t xml:space="preserve">idle mode </w:t>
      </w:r>
      <w:r w:rsidR="00974061" w:rsidRPr="00DB0D96">
        <w:t>task</w:t>
      </w:r>
      <w:r w:rsidR="002277DD">
        <w:t>s</w:t>
      </w:r>
      <w:r w:rsidR="00974061" w:rsidRPr="00DB0D96">
        <w:t xml:space="preserve"> but also TN-related one</w:t>
      </w:r>
      <w:r w:rsidR="002277DD">
        <w:t>s</w:t>
      </w:r>
      <w:r w:rsidR="00974061" w:rsidRPr="00DB0D96">
        <w:t>, once in a discontinuous NTN coverage.</w:t>
      </w:r>
      <w:r w:rsidR="002277DD">
        <w:t xml:space="preserve"> </w:t>
      </w:r>
      <w:r w:rsidR="00931259" w:rsidRPr="00003ECB">
        <w:t>Thus,</w:t>
      </w:r>
      <w:r w:rsidR="002277DD" w:rsidRPr="00003ECB">
        <w:t xml:space="preserve"> the introduction of this sentence changes UE legacy behaviour with regard to being ou</w:t>
      </w:r>
      <w:r w:rsidR="00C07C57" w:rsidRPr="00003ECB">
        <w:t>t</w:t>
      </w:r>
      <w:r w:rsidR="002277DD" w:rsidRPr="00003ECB">
        <w:t xml:space="preserve"> of coverage</w:t>
      </w:r>
      <w:r w:rsidR="002B3DA7" w:rsidRPr="00003ECB">
        <w:t xml:space="preserve"> that has been </w:t>
      </w:r>
      <w:r w:rsidR="002277DD" w:rsidRPr="00003ECB">
        <w:t>in the specification since UMTS times (see TS 25.304, chapter</w:t>
      </w:r>
      <w:r w:rsidR="005B64EE" w:rsidRPr="00003ECB">
        <w:t>s</w:t>
      </w:r>
      <w:r w:rsidR="002277DD" w:rsidRPr="00003ECB">
        <w:t xml:space="preserve"> </w:t>
      </w:r>
      <w:r w:rsidR="005B64EE" w:rsidRPr="00003ECB">
        <w:t>4.1, 4.2</w:t>
      </w:r>
      <w:r w:rsidR="002277DD" w:rsidRPr="00003ECB">
        <w:t xml:space="preserve">), </w:t>
      </w:r>
      <w:r w:rsidR="00EB4F46" w:rsidRPr="00003ECB">
        <w:t>has</w:t>
      </w:r>
      <w:r w:rsidR="002277DD" w:rsidRPr="00003ECB">
        <w:t xml:space="preserve"> been applied to LTE some 10 years ago (see TS 38.304, chapter</w:t>
      </w:r>
      <w:r w:rsidR="005B64EE" w:rsidRPr="00003ECB">
        <w:t>s</w:t>
      </w:r>
      <w:r w:rsidR="002277DD" w:rsidRPr="00003ECB">
        <w:t xml:space="preserve"> </w:t>
      </w:r>
      <w:r w:rsidR="005B64EE" w:rsidRPr="00003ECB">
        <w:t>4.1, 4.2</w:t>
      </w:r>
      <w:r w:rsidR="002277DD" w:rsidRPr="00003ECB">
        <w:t xml:space="preserve">), and also </w:t>
      </w:r>
      <w:r w:rsidR="00EB4F46" w:rsidRPr="00003ECB">
        <w:t>is</w:t>
      </w:r>
      <w:r w:rsidR="002277DD" w:rsidRPr="00003ECB">
        <w:t xml:space="preserve"> consistently required for NR since Rel-15 (see TS 38.304, chapter</w:t>
      </w:r>
      <w:r w:rsidR="005B64EE" w:rsidRPr="00003ECB">
        <w:t>s 4.1, 4.2</w:t>
      </w:r>
      <w:r w:rsidR="002277DD" w:rsidRPr="00003ECB">
        <w:t>).</w:t>
      </w:r>
    </w:p>
    <w:p w14:paraId="5F670FDF" w14:textId="78555ACB" w:rsidR="00C07C57" w:rsidRDefault="00C07C57" w:rsidP="00DB0D96">
      <w:pPr>
        <w:spacing w:line="276" w:lineRule="auto"/>
        <w:jc w:val="both"/>
      </w:pPr>
      <w:r>
        <w:t>It is also far from clear what “any idle mode tasks” refers to! In our understanding</w:t>
      </w:r>
      <w:r w:rsidR="002B3DA7">
        <w:t>,</w:t>
      </w:r>
      <w:r>
        <w:t xml:space="preserve"> these are at least the AS functions a UE performs</w:t>
      </w:r>
      <w:r w:rsidR="002B3DA7">
        <w:t>,</w:t>
      </w:r>
      <w:r>
        <w:t xml:space="preserve"> as defined in 36.304 (and 25.304/38.304)</w:t>
      </w:r>
      <w:r w:rsidR="002B3DA7">
        <w:t>,</w:t>
      </w:r>
      <w:r>
        <w:t xml:space="preserve"> which are at least:</w:t>
      </w:r>
    </w:p>
    <w:p w14:paraId="3C61C9E4" w14:textId="4A3E993E" w:rsidR="00C07C57" w:rsidRDefault="00C07C57" w:rsidP="00C07C57">
      <w:pPr>
        <w:pStyle w:val="ListParagraph"/>
        <w:numPr>
          <w:ilvl w:val="0"/>
          <w:numId w:val="49"/>
        </w:numPr>
        <w:spacing w:line="276" w:lineRule="auto"/>
        <w:jc w:val="both"/>
      </w:pPr>
      <w:r>
        <w:t xml:space="preserve">Measurements for and process of Cell Selection </w:t>
      </w:r>
    </w:p>
    <w:p w14:paraId="6A91FBCB" w14:textId="2B206FE6" w:rsidR="00C07C57" w:rsidRDefault="00C07C57" w:rsidP="00C07C57">
      <w:pPr>
        <w:pStyle w:val="ListParagraph"/>
        <w:numPr>
          <w:ilvl w:val="0"/>
          <w:numId w:val="49"/>
        </w:numPr>
        <w:spacing w:line="276" w:lineRule="auto"/>
        <w:jc w:val="both"/>
      </w:pPr>
      <w:r>
        <w:t xml:space="preserve">Measurements for and process of Cell Reselection </w:t>
      </w:r>
    </w:p>
    <w:p w14:paraId="2437617B" w14:textId="051375B9" w:rsidR="00C07C57" w:rsidRDefault="00C07C57" w:rsidP="00C07C57">
      <w:pPr>
        <w:pStyle w:val="ListParagraph"/>
        <w:numPr>
          <w:ilvl w:val="0"/>
          <w:numId w:val="49"/>
        </w:numPr>
        <w:spacing w:line="276" w:lineRule="auto"/>
        <w:jc w:val="both"/>
      </w:pPr>
      <w:r>
        <w:t xml:space="preserve">Measurements for and process of Any Cell Selection </w:t>
      </w:r>
    </w:p>
    <w:p w14:paraId="78D149F6" w14:textId="6A47049F" w:rsidR="00C07C57" w:rsidRDefault="00C07C57" w:rsidP="00C07C57">
      <w:pPr>
        <w:pStyle w:val="ListParagraph"/>
        <w:numPr>
          <w:ilvl w:val="0"/>
          <w:numId w:val="49"/>
        </w:numPr>
        <w:spacing w:line="276" w:lineRule="auto"/>
        <w:jc w:val="both"/>
      </w:pPr>
      <w:r>
        <w:t xml:space="preserve">Measurements for and process of Support of </w:t>
      </w:r>
      <w:r w:rsidR="00463B05">
        <w:t>task for NAS (</w:t>
      </w:r>
      <w:r w:rsidR="00931259">
        <w:t>i.e.,</w:t>
      </w:r>
      <w:r w:rsidR="00463B05">
        <w:t xml:space="preserve"> to support PLMN selection process)</w:t>
      </w:r>
      <w:r w:rsidR="00E35D5C">
        <w:t>.</w:t>
      </w:r>
      <w:r>
        <w:t xml:space="preserve"> </w:t>
      </w:r>
    </w:p>
    <w:p w14:paraId="27473C85" w14:textId="44C43925" w:rsidR="006511EE" w:rsidRDefault="0096015C" w:rsidP="00DB0D96">
      <w:pPr>
        <w:spacing w:line="276" w:lineRule="auto"/>
        <w:jc w:val="both"/>
        <w:rPr>
          <w:lang w:val="en-US" w:eastAsia="zh-CN"/>
        </w:rPr>
      </w:pPr>
      <w:r w:rsidRPr="00DB0D96">
        <w:t xml:space="preserve">This approach </w:t>
      </w:r>
      <w:r w:rsidR="002277DD">
        <w:t>might</w:t>
      </w:r>
      <w:r w:rsidR="002277DD" w:rsidRPr="00DB0D96">
        <w:t xml:space="preserve"> </w:t>
      </w:r>
      <w:r w:rsidRPr="00DB0D96">
        <w:t xml:space="preserve">be acceptable for NTN only cases, as in case of NTN </w:t>
      </w:r>
      <w:r w:rsidR="002277DD" w:rsidRPr="00257639">
        <w:t>discontinuous coverage</w:t>
      </w:r>
      <w:r w:rsidRPr="00DB0D96">
        <w:t xml:space="preserve">, the UE might end up searching for too long while there is no alternative NTN coverage. However, </w:t>
      </w:r>
      <w:r w:rsidR="00202A85" w:rsidRPr="00DB0D96">
        <w:t xml:space="preserve">there seems to be an issue </w:t>
      </w:r>
      <w:r w:rsidR="00B00536" w:rsidRPr="00DB0D96">
        <w:t xml:space="preserve">with this approach </w:t>
      </w:r>
      <w:r w:rsidR="00202A85" w:rsidRPr="00DB0D96">
        <w:t xml:space="preserve">in case of </w:t>
      </w:r>
      <w:r w:rsidR="00971A42" w:rsidRPr="00DB0D96">
        <w:t xml:space="preserve">TN and NTN </w:t>
      </w:r>
      <w:r w:rsidR="00202A85" w:rsidRPr="00DB0D96">
        <w:t xml:space="preserve">interworking. </w:t>
      </w:r>
      <w:r w:rsidR="006511EE">
        <w:t>To be more specific</w:t>
      </w:r>
      <w:r w:rsidR="00202A85" w:rsidRPr="00DB0D96">
        <w:t xml:space="preserve">, </w:t>
      </w:r>
      <w:r w:rsidR="00971A42" w:rsidRPr="00DB0D96">
        <w:t xml:space="preserve">let’s </w:t>
      </w:r>
      <w:r w:rsidR="00B00536" w:rsidRPr="00DB0D96">
        <w:t>consider a scenario in which</w:t>
      </w:r>
      <w:r w:rsidR="00A66B7C" w:rsidRPr="00DB0D96">
        <w:t xml:space="preserve"> a UE, suppor</w:t>
      </w:r>
      <w:r w:rsidR="00202A85" w:rsidRPr="00DB0D96">
        <w:t>t</w:t>
      </w:r>
      <w:r w:rsidR="00B00536" w:rsidRPr="00DB0D96">
        <w:t>ing</w:t>
      </w:r>
      <w:r w:rsidR="00A66B7C" w:rsidRPr="00DB0D96">
        <w:t xml:space="preserve"> both TN and NTN, </w:t>
      </w:r>
      <w:r w:rsidR="00202A85" w:rsidRPr="00DB0D96">
        <w:t xml:space="preserve">is </w:t>
      </w:r>
      <w:r w:rsidR="00643A62" w:rsidRPr="00DB0D96">
        <w:t>initially under TN coverage,</w:t>
      </w:r>
      <w:r w:rsidR="00202A85" w:rsidRPr="00DB0D96">
        <w:t xml:space="preserve"> but </w:t>
      </w:r>
      <w:r w:rsidR="00A66B7C" w:rsidRPr="00DB0D96">
        <w:t xml:space="preserve">loses TN coverage </w:t>
      </w:r>
      <w:r w:rsidR="003D2703" w:rsidRPr="00DB0D96">
        <w:t xml:space="preserve">due to coverage hole </w:t>
      </w:r>
      <w:r w:rsidR="00643A62" w:rsidRPr="00DB0D96">
        <w:t xml:space="preserve">and </w:t>
      </w:r>
      <w:r w:rsidR="003D2703" w:rsidRPr="00DB0D96">
        <w:t xml:space="preserve">ends up on NTN to be served. </w:t>
      </w:r>
      <w:r w:rsidR="00B00536" w:rsidRPr="00DB0D96">
        <w:t>Suddenly, the UE experiences discontinuous coverage in NTN</w:t>
      </w:r>
      <w:r w:rsidR="00971A42" w:rsidRPr="00DB0D96">
        <w:t>,</w:t>
      </w:r>
      <w:r w:rsidR="00B00536" w:rsidRPr="00DB0D96">
        <w:t xml:space="preserve"> </w:t>
      </w:r>
      <w:r w:rsidR="00A66B7C" w:rsidRPr="00DB0D96">
        <w:t xml:space="preserve">but </w:t>
      </w:r>
      <w:r w:rsidR="00B00536" w:rsidRPr="00DB0D96">
        <w:t>there is TN coverage available again</w:t>
      </w:r>
      <w:r w:rsidR="00971A42" w:rsidRPr="00DB0D96">
        <w:t>. In such a case</w:t>
      </w:r>
      <w:r w:rsidR="00A66B7C" w:rsidRPr="00DB0D96">
        <w:t xml:space="preserve">, </w:t>
      </w:r>
      <w:r w:rsidR="0086697C" w:rsidRPr="00DB0D96">
        <w:t xml:space="preserve">based on the </w:t>
      </w:r>
      <w:r w:rsidR="002277DD">
        <w:t xml:space="preserve">currently </w:t>
      </w:r>
      <w:r w:rsidR="0086697C" w:rsidRPr="00DB0D96">
        <w:t>agreed text of TS 36.304, it is not ensured</w:t>
      </w:r>
      <w:r w:rsidR="0086697C">
        <w:rPr>
          <w:lang w:val="en-US" w:eastAsia="zh-CN"/>
        </w:rPr>
        <w:t xml:space="preserve"> that </w:t>
      </w:r>
      <w:r w:rsidR="00A66B7C">
        <w:rPr>
          <w:lang w:val="en-US" w:eastAsia="zh-CN"/>
        </w:rPr>
        <w:t xml:space="preserve">the UE </w:t>
      </w:r>
      <w:r w:rsidR="0086697C">
        <w:rPr>
          <w:lang w:val="en-US" w:eastAsia="zh-CN"/>
        </w:rPr>
        <w:t xml:space="preserve">will perform </w:t>
      </w:r>
      <w:r w:rsidR="00003262">
        <w:rPr>
          <w:lang w:val="en-US"/>
        </w:rPr>
        <w:t>a cell selection or at least an any cell selection on the TN</w:t>
      </w:r>
      <w:r w:rsidR="002277DD">
        <w:rPr>
          <w:lang w:val="en-US"/>
        </w:rPr>
        <w:t xml:space="preserve"> as required in </w:t>
      </w:r>
      <w:r w:rsidR="00390E12" w:rsidRPr="009747EE">
        <w:rPr>
          <w:lang w:val="en-US"/>
        </w:rPr>
        <w:t>chapter</w:t>
      </w:r>
      <w:r w:rsidR="002277DD" w:rsidRPr="009747EE">
        <w:rPr>
          <w:lang w:val="en-US"/>
        </w:rPr>
        <w:t xml:space="preserve"> </w:t>
      </w:r>
      <w:r w:rsidR="009747EE">
        <w:rPr>
          <w:lang w:val="en-US"/>
        </w:rPr>
        <w:t>4</w:t>
      </w:r>
      <w:r w:rsidR="00D87E9B">
        <w:rPr>
          <w:lang w:val="en-US"/>
        </w:rPr>
        <w:t>.2</w:t>
      </w:r>
      <w:r w:rsidR="002277DD">
        <w:rPr>
          <w:lang w:val="en-US"/>
        </w:rPr>
        <w:t xml:space="preserve"> of said TS 36.304</w:t>
      </w:r>
      <w:r w:rsidR="0086697C">
        <w:rPr>
          <w:lang w:val="en-US" w:eastAsia="zh-CN"/>
        </w:rPr>
        <w:t>, even when the UE is back under perfect TN coverage</w:t>
      </w:r>
      <w:r w:rsidR="006511EE">
        <w:rPr>
          <w:lang w:val="en-US" w:eastAsia="zh-CN"/>
        </w:rPr>
        <w:t xml:space="preserve"> conditions</w:t>
      </w:r>
      <w:r w:rsidR="00A66B7C">
        <w:rPr>
          <w:lang w:val="en-US" w:eastAsia="zh-CN"/>
        </w:rPr>
        <w:t>.</w:t>
      </w:r>
      <w:r w:rsidR="0086697C">
        <w:rPr>
          <w:lang w:val="en-US" w:eastAsia="zh-CN"/>
        </w:rPr>
        <w:t xml:space="preserve"> This </w:t>
      </w:r>
      <w:r w:rsidR="0086697C" w:rsidRPr="0086697C">
        <w:rPr>
          <w:lang w:val="en-US" w:eastAsia="zh-CN"/>
        </w:rPr>
        <w:t xml:space="preserve">is a clear change of legacy TN </w:t>
      </w:r>
      <w:r w:rsidR="006315EF" w:rsidRPr="0086697C">
        <w:rPr>
          <w:lang w:val="en-US" w:eastAsia="zh-CN"/>
        </w:rPr>
        <w:t>behavio</w:t>
      </w:r>
      <w:r w:rsidR="004A2243">
        <w:rPr>
          <w:lang w:val="en-US" w:eastAsia="zh-CN"/>
        </w:rPr>
        <w:t>u</w:t>
      </w:r>
      <w:r w:rsidR="006315EF" w:rsidRPr="0086697C">
        <w:rPr>
          <w:lang w:val="en-US" w:eastAsia="zh-CN"/>
        </w:rPr>
        <w:t>r</w:t>
      </w:r>
      <w:r w:rsidR="0086697C" w:rsidRPr="0086697C">
        <w:rPr>
          <w:lang w:val="en-US" w:eastAsia="zh-CN"/>
        </w:rPr>
        <w:t>, where the UE</w:t>
      </w:r>
      <w:r w:rsidR="006315EF" w:rsidRPr="006315EF">
        <w:rPr>
          <w:lang w:val="en-US" w:eastAsia="zh-CN"/>
        </w:rPr>
        <w:t xml:space="preserve"> </w:t>
      </w:r>
      <w:r w:rsidR="006315EF">
        <w:rPr>
          <w:lang w:val="en-US" w:eastAsia="zh-CN"/>
        </w:rPr>
        <w:t>that</w:t>
      </w:r>
      <w:r w:rsidR="0086697C" w:rsidRPr="0086697C">
        <w:rPr>
          <w:lang w:val="en-US" w:eastAsia="zh-CN"/>
        </w:rPr>
        <w:t xml:space="preserve"> drops out of (TN) coverage is required to </w:t>
      </w:r>
      <w:r w:rsidR="0086697C">
        <w:rPr>
          <w:lang w:val="en-US" w:eastAsia="zh-CN"/>
        </w:rPr>
        <w:t>perform</w:t>
      </w:r>
      <w:r w:rsidR="0086697C" w:rsidRPr="0086697C">
        <w:rPr>
          <w:lang w:val="en-US" w:eastAsia="zh-CN"/>
        </w:rPr>
        <w:t xml:space="preserve"> the idle mode tasks as </w:t>
      </w:r>
      <w:r w:rsidR="009C4010">
        <w:rPr>
          <w:lang w:val="en-US" w:eastAsia="zh-CN"/>
        </w:rPr>
        <w:t xml:space="preserve">defined </w:t>
      </w:r>
      <w:r w:rsidR="0086697C" w:rsidRPr="0086697C">
        <w:rPr>
          <w:lang w:val="en-US" w:eastAsia="zh-CN"/>
        </w:rPr>
        <w:t xml:space="preserve">in the </w:t>
      </w:r>
      <w:r w:rsidR="009C4010">
        <w:rPr>
          <w:lang w:val="en-US" w:eastAsia="zh-CN"/>
        </w:rPr>
        <w:t xml:space="preserve">TS </w:t>
      </w:r>
      <w:r w:rsidR="006511EE" w:rsidRPr="0086697C">
        <w:rPr>
          <w:lang w:val="en-US" w:eastAsia="zh-CN"/>
        </w:rPr>
        <w:t>36.304</w:t>
      </w:r>
      <w:r w:rsidR="00390E12" w:rsidRPr="00390E12">
        <w:rPr>
          <w:lang w:val="en-US" w:eastAsia="zh-CN"/>
        </w:rPr>
        <w:t xml:space="preserve"> </w:t>
      </w:r>
      <w:r w:rsidR="00390E12">
        <w:rPr>
          <w:lang w:val="en-US" w:eastAsia="zh-CN"/>
        </w:rPr>
        <w:t>introduced by NTN optimizations</w:t>
      </w:r>
      <w:r w:rsidR="006511EE">
        <w:rPr>
          <w:lang w:val="en-US" w:eastAsia="zh-CN"/>
        </w:rPr>
        <w:t xml:space="preserve">. </w:t>
      </w:r>
    </w:p>
    <w:p w14:paraId="66F9E80D" w14:textId="4E570532" w:rsidR="00971A42" w:rsidRDefault="009C4010" w:rsidP="00DB0D96">
      <w:pPr>
        <w:spacing w:line="276" w:lineRule="auto"/>
        <w:jc w:val="both"/>
        <w:rPr>
          <w:lang w:val="en-US" w:eastAsia="zh-CN"/>
        </w:rPr>
      </w:pPr>
      <w:r>
        <w:rPr>
          <w:b/>
        </w:rPr>
        <w:t>Observation</w:t>
      </w:r>
      <w:r w:rsidRPr="00E803F3">
        <w:rPr>
          <w:b/>
        </w:rPr>
        <w:t xml:space="preserve"> 1: </w:t>
      </w:r>
      <w:r w:rsidR="000A3414" w:rsidRPr="000A3414">
        <w:rPr>
          <w:b/>
        </w:rPr>
        <w:t>According to the agreed text captured in TS</w:t>
      </w:r>
      <w:r w:rsidR="00390E12">
        <w:rPr>
          <w:b/>
        </w:rPr>
        <w:t xml:space="preserve"> </w:t>
      </w:r>
      <w:r w:rsidR="000A3414" w:rsidRPr="000A3414">
        <w:rPr>
          <w:b/>
        </w:rPr>
        <w:t xml:space="preserve">36.304, </w:t>
      </w:r>
      <w:r w:rsidR="004A2243" w:rsidRPr="004A2243">
        <w:rPr>
          <w:b/>
        </w:rPr>
        <w:t>it is up to UE implementation (quote “UE need not to perform any idle mode tasks”)</w:t>
      </w:r>
      <w:r w:rsidR="004A2243">
        <w:rPr>
          <w:b/>
        </w:rPr>
        <w:t xml:space="preserve"> and consequently </w:t>
      </w:r>
      <w:r w:rsidR="004A2243" w:rsidRPr="004A2243">
        <w:rPr>
          <w:b/>
        </w:rPr>
        <w:t xml:space="preserve">it is </w:t>
      </w:r>
      <w:r w:rsidR="004A2243">
        <w:rPr>
          <w:b/>
        </w:rPr>
        <w:t>not ensured</w:t>
      </w:r>
      <w:r w:rsidR="004A2243" w:rsidRPr="004A2243">
        <w:rPr>
          <w:b/>
        </w:rPr>
        <w:t xml:space="preserve"> that </w:t>
      </w:r>
      <w:r w:rsidR="00DA7757" w:rsidRPr="004A2243">
        <w:rPr>
          <w:b/>
        </w:rPr>
        <w:t>an</w:t>
      </w:r>
      <w:r w:rsidR="004A2243" w:rsidRPr="004A2243">
        <w:rPr>
          <w:b/>
        </w:rPr>
        <w:t xml:space="preserve"> NTN/TN capable UE that is out of NTN coverage but </w:t>
      </w:r>
      <w:r w:rsidR="00DA7757">
        <w:rPr>
          <w:b/>
        </w:rPr>
        <w:t>under</w:t>
      </w:r>
      <w:r w:rsidR="004A2243" w:rsidRPr="004A2243">
        <w:rPr>
          <w:b/>
        </w:rPr>
        <w:t xml:space="preserve"> usable TN coverage </w:t>
      </w:r>
      <w:r w:rsidR="004A2243">
        <w:rPr>
          <w:b/>
        </w:rPr>
        <w:t>will</w:t>
      </w:r>
      <w:r w:rsidR="004A2243" w:rsidRPr="004A2243">
        <w:rPr>
          <w:b/>
        </w:rPr>
        <w:t xml:space="preserve"> perform a cell selection or at least an any cell selection on the TN even when </w:t>
      </w:r>
      <w:r w:rsidR="004A2243">
        <w:rPr>
          <w:b/>
        </w:rPr>
        <w:t>under</w:t>
      </w:r>
      <w:r w:rsidR="004A2243" w:rsidRPr="004A2243">
        <w:rPr>
          <w:b/>
        </w:rPr>
        <w:t xml:space="preserve"> perfect TN coverage</w:t>
      </w:r>
      <w:r w:rsidR="004A2243">
        <w:rPr>
          <w:b/>
        </w:rPr>
        <w:t xml:space="preserve"> conditions</w:t>
      </w:r>
      <w:r w:rsidR="004A2243" w:rsidRPr="004A2243">
        <w:rPr>
          <w:b/>
        </w:rPr>
        <w:t xml:space="preserve">. </w:t>
      </w:r>
      <w:r w:rsidR="004A2243">
        <w:rPr>
          <w:b/>
        </w:rPr>
        <w:t xml:space="preserve">This functionality clearly changes </w:t>
      </w:r>
      <w:r w:rsidR="004A2243" w:rsidRPr="004A2243">
        <w:rPr>
          <w:b/>
        </w:rPr>
        <w:t>any legacy behaviour related to TN</w:t>
      </w:r>
      <w:r w:rsidR="004A2243">
        <w:rPr>
          <w:b/>
        </w:rPr>
        <w:t xml:space="preserve">. </w:t>
      </w:r>
    </w:p>
    <w:p w14:paraId="7FFE384E" w14:textId="111ADBEC" w:rsidR="00A66B7C" w:rsidRPr="00DC4505" w:rsidRDefault="00091693" w:rsidP="008B4627">
      <w:pPr>
        <w:jc w:val="both"/>
        <w:rPr>
          <w:highlight w:val="yellow"/>
          <w:lang w:val="en-US"/>
        </w:rPr>
      </w:pPr>
      <w:r>
        <w:rPr>
          <w:lang w:val="en-US" w:eastAsia="zh-CN"/>
        </w:rPr>
        <w:t xml:space="preserve">The aim of this contribution is not to </w:t>
      </w:r>
      <w:r w:rsidRPr="00091693">
        <w:rPr>
          <w:lang w:val="en-US" w:eastAsia="zh-CN"/>
        </w:rPr>
        <w:t xml:space="preserve">overturn what has been agreed in RAN2 </w:t>
      </w:r>
      <w:r w:rsidR="00C07C57">
        <w:rPr>
          <w:lang w:val="en-US" w:eastAsia="zh-CN"/>
        </w:rPr>
        <w:t>with regards to</w:t>
      </w:r>
      <w:r w:rsidR="00C07C57" w:rsidRPr="00091693">
        <w:rPr>
          <w:lang w:val="en-US" w:eastAsia="zh-CN"/>
        </w:rPr>
        <w:t xml:space="preserve"> </w:t>
      </w:r>
      <w:r w:rsidRPr="00091693">
        <w:rPr>
          <w:lang w:val="en-US" w:eastAsia="zh-CN"/>
        </w:rPr>
        <w:t>NTN discontinu</w:t>
      </w:r>
      <w:r>
        <w:rPr>
          <w:lang w:val="en-US" w:eastAsia="zh-CN"/>
        </w:rPr>
        <w:t>ou</w:t>
      </w:r>
      <w:r w:rsidRPr="00091693">
        <w:rPr>
          <w:lang w:val="en-US" w:eastAsia="zh-CN"/>
        </w:rPr>
        <w:t>s coverage</w:t>
      </w:r>
      <w:r w:rsidR="00C07C57">
        <w:rPr>
          <w:lang w:val="en-US" w:eastAsia="zh-CN"/>
        </w:rPr>
        <w:t xml:space="preserve"> and reasonable UE </w:t>
      </w:r>
      <w:r w:rsidR="00592C0F">
        <w:rPr>
          <w:lang w:val="en-US" w:eastAsia="zh-CN"/>
        </w:rPr>
        <w:t>behaviour</w:t>
      </w:r>
      <w:r>
        <w:rPr>
          <w:lang w:val="en-US" w:eastAsia="zh-CN"/>
        </w:rPr>
        <w:t xml:space="preserve">. </w:t>
      </w:r>
      <w:r w:rsidRPr="00711894">
        <w:rPr>
          <w:lang w:val="en-US" w:eastAsia="zh-CN"/>
        </w:rPr>
        <w:t xml:space="preserve">However, it </w:t>
      </w:r>
      <w:r w:rsidR="008B4627" w:rsidRPr="00711894">
        <w:rPr>
          <w:lang w:val="en-US" w:eastAsia="zh-CN"/>
        </w:rPr>
        <w:t>cannot be accepted</w:t>
      </w:r>
      <w:r w:rsidR="00C07C57" w:rsidRPr="00711894">
        <w:rPr>
          <w:lang w:val="en-US" w:eastAsia="zh-CN"/>
        </w:rPr>
        <w:t xml:space="preserve"> by the co-signing companies</w:t>
      </w:r>
      <w:r>
        <w:rPr>
          <w:lang w:val="en-US" w:eastAsia="zh-CN"/>
        </w:rPr>
        <w:t xml:space="preserve">, at least from a TN operator’s perspective, to </w:t>
      </w:r>
      <w:r w:rsidR="00C01398">
        <w:rPr>
          <w:lang w:val="en-US" w:eastAsia="zh-CN"/>
        </w:rPr>
        <w:t>introduce</w:t>
      </w:r>
      <w:r>
        <w:rPr>
          <w:lang w:val="en-US" w:eastAsia="zh-CN"/>
        </w:rPr>
        <w:t xml:space="preserve"> this new functionality </w:t>
      </w:r>
      <w:r w:rsidR="008B4627">
        <w:rPr>
          <w:lang w:val="en-US"/>
        </w:rPr>
        <w:t xml:space="preserve">of “not performing </w:t>
      </w:r>
      <w:r w:rsidR="00C07C57">
        <w:rPr>
          <w:lang w:val="en-US"/>
        </w:rPr>
        <w:t xml:space="preserve">any </w:t>
      </w:r>
      <w:r w:rsidR="008B4627">
        <w:rPr>
          <w:lang w:val="en-US"/>
        </w:rPr>
        <w:t xml:space="preserve">idle mode tasks” </w:t>
      </w:r>
      <w:r w:rsidR="00C01398">
        <w:rPr>
          <w:lang w:val="en-US"/>
        </w:rPr>
        <w:t xml:space="preserve">towards TN </w:t>
      </w:r>
      <w:r w:rsidR="00C01398">
        <w:rPr>
          <w:lang w:val="en-US" w:eastAsia="zh-CN"/>
        </w:rPr>
        <w:t>as it</w:t>
      </w:r>
      <w:r>
        <w:rPr>
          <w:lang w:val="en-US" w:eastAsia="zh-CN"/>
        </w:rPr>
        <w:t xml:space="preserve"> changes </w:t>
      </w:r>
      <w:r w:rsidRPr="00091693">
        <w:rPr>
          <w:lang w:val="en-US" w:eastAsia="zh-CN"/>
        </w:rPr>
        <w:t>any legacy behavio</w:t>
      </w:r>
      <w:r w:rsidR="008B4627">
        <w:rPr>
          <w:lang w:val="en-US" w:eastAsia="zh-CN"/>
        </w:rPr>
        <w:t>u</w:t>
      </w:r>
      <w:r w:rsidRPr="00091693">
        <w:rPr>
          <w:lang w:val="en-US" w:eastAsia="zh-CN"/>
        </w:rPr>
        <w:t>r related to T</w:t>
      </w:r>
      <w:r w:rsidR="008B4627">
        <w:rPr>
          <w:lang w:val="en-US" w:eastAsia="zh-CN"/>
        </w:rPr>
        <w:t>N</w:t>
      </w:r>
      <w:r w:rsidR="00C01398">
        <w:rPr>
          <w:lang w:val="en-US" w:eastAsia="zh-CN"/>
        </w:rPr>
        <w:t xml:space="preserve"> that has been up and running for 20 years</w:t>
      </w:r>
      <w:r w:rsidR="008B4627">
        <w:rPr>
          <w:lang w:val="en-US" w:eastAsia="zh-CN"/>
        </w:rPr>
        <w:t>.</w:t>
      </w:r>
      <w:r w:rsidR="00C01398">
        <w:rPr>
          <w:lang w:val="en-US" w:eastAsia="zh-CN"/>
        </w:rPr>
        <w:t xml:space="preserve">  </w:t>
      </w:r>
    </w:p>
    <w:p w14:paraId="1428CE95" w14:textId="500EDDCA" w:rsidR="0068089E" w:rsidRDefault="0068089E" w:rsidP="00657C8C">
      <w:pPr>
        <w:spacing w:line="276" w:lineRule="auto"/>
        <w:jc w:val="both"/>
        <w:rPr>
          <w:b/>
          <w:bCs/>
        </w:rPr>
      </w:pPr>
      <w:r w:rsidRPr="00A132A9">
        <w:rPr>
          <w:b/>
          <w:bCs/>
        </w:rPr>
        <w:t>Proposal</w:t>
      </w:r>
      <w:r w:rsidR="00190943">
        <w:rPr>
          <w:b/>
          <w:bCs/>
        </w:rPr>
        <w:t xml:space="preserve"> </w:t>
      </w:r>
      <w:r w:rsidR="00C81331">
        <w:rPr>
          <w:b/>
          <w:bCs/>
        </w:rPr>
        <w:t>1</w:t>
      </w:r>
      <w:r w:rsidRPr="00A132A9">
        <w:rPr>
          <w:b/>
          <w:bCs/>
        </w:rPr>
        <w:t xml:space="preserve">: </w:t>
      </w:r>
      <w:r w:rsidR="0027511B">
        <w:rPr>
          <w:b/>
        </w:rPr>
        <w:t xml:space="preserve">Having </w:t>
      </w:r>
      <w:r w:rsidR="00C01398">
        <w:rPr>
          <w:b/>
        </w:rPr>
        <w:t xml:space="preserve">identified that </w:t>
      </w:r>
      <w:r w:rsidR="00C01398" w:rsidRPr="00C01398">
        <w:rPr>
          <w:b/>
        </w:rPr>
        <w:t>this new functionality of “not performing</w:t>
      </w:r>
      <w:r w:rsidR="002078DF">
        <w:rPr>
          <w:b/>
        </w:rPr>
        <w:t xml:space="preserve"> any</w:t>
      </w:r>
      <w:r w:rsidR="00C01398" w:rsidRPr="00C01398">
        <w:rPr>
          <w:b/>
        </w:rPr>
        <w:t xml:space="preserve"> idle mode tasks” </w:t>
      </w:r>
      <w:r w:rsidR="00061EAE" w:rsidRPr="00DA7757">
        <w:rPr>
          <w:b/>
        </w:rPr>
        <w:t xml:space="preserve">when the UE is out of </w:t>
      </w:r>
      <w:r w:rsidR="003F7318">
        <w:rPr>
          <w:b/>
        </w:rPr>
        <w:t xml:space="preserve">NTN </w:t>
      </w:r>
      <w:r w:rsidR="00061EAE" w:rsidRPr="00DA7757">
        <w:rPr>
          <w:b/>
        </w:rPr>
        <w:t>coverage</w:t>
      </w:r>
      <w:r w:rsidR="00061EAE">
        <w:rPr>
          <w:b/>
        </w:rPr>
        <w:t xml:space="preserve">, </w:t>
      </w:r>
      <w:r w:rsidR="00C01398" w:rsidRPr="00C01398">
        <w:rPr>
          <w:b/>
        </w:rPr>
        <w:t>clearly changes any legacy behaviour related to TN</w:t>
      </w:r>
      <w:r w:rsidR="00C01398">
        <w:rPr>
          <w:b/>
        </w:rPr>
        <w:t xml:space="preserve">, it is proposed to </w:t>
      </w:r>
      <w:r w:rsidR="00711894">
        <w:rPr>
          <w:b/>
        </w:rPr>
        <w:t>limit the “UE is not required to perform any AS idle mode tasks” behaviour</w:t>
      </w:r>
      <w:r w:rsidR="00C01398">
        <w:rPr>
          <w:b/>
        </w:rPr>
        <w:t xml:space="preserve"> only to NTN and </w:t>
      </w:r>
      <w:r w:rsidR="002078DF">
        <w:rPr>
          <w:b/>
        </w:rPr>
        <w:t>specifically update the relevant specifications to capture this</w:t>
      </w:r>
      <w:r w:rsidR="00592C0F">
        <w:rPr>
          <w:b/>
        </w:rPr>
        <w:t xml:space="preserve"> unambiguously</w:t>
      </w:r>
      <w:r w:rsidR="0027511B">
        <w:rPr>
          <w:b/>
        </w:rPr>
        <w:t>.</w:t>
      </w:r>
    </w:p>
    <w:p w14:paraId="76C68936" w14:textId="3999381B" w:rsidR="00D43E36" w:rsidRDefault="000F590D" w:rsidP="00657C8C">
      <w:pPr>
        <w:pStyle w:val="Heading1"/>
        <w:numPr>
          <w:ilvl w:val="0"/>
          <w:numId w:val="4"/>
        </w:numPr>
        <w:spacing w:line="276" w:lineRule="auto"/>
      </w:pPr>
      <w:r>
        <w:t>Summary and Conclusions</w:t>
      </w:r>
    </w:p>
    <w:p w14:paraId="7B4CC7D3" w14:textId="579650AD" w:rsidR="00190943" w:rsidRPr="00190943" w:rsidRDefault="00A75B0E" w:rsidP="00190943">
      <w:pPr>
        <w:spacing w:line="276" w:lineRule="auto"/>
        <w:jc w:val="both"/>
        <w:rPr>
          <w:bCs/>
          <w:lang w:val="en-US"/>
        </w:rPr>
      </w:pPr>
      <w:r w:rsidRPr="00A75B0E">
        <w:rPr>
          <w:bCs/>
          <w:lang w:val="en-US"/>
        </w:rPr>
        <w:t xml:space="preserve">In this document, we have </w:t>
      </w:r>
      <w:r w:rsidR="00DA7757">
        <w:rPr>
          <w:bCs/>
          <w:lang w:val="en-US"/>
        </w:rPr>
        <w:t xml:space="preserve">analyzed </w:t>
      </w:r>
      <w:r w:rsidR="00FB48D9">
        <w:rPr>
          <w:bCs/>
          <w:lang w:val="en-US"/>
        </w:rPr>
        <w:t xml:space="preserve">how the currently </w:t>
      </w:r>
      <w:r w:rsidR="00FB48D9" w:rsidRPr="00FB48D9">
        <w:rPr>
          <w:bCs/>
          <w:lang w:val="en-US"/>
        </w:rPr>
        <w:t>agreed text captured in TS36.304</w:t>
      </w:r>
      <w:r w:rsidR="00FB48D9">
        <w:rPr>
          <w:bCs/>
          <w:lang w:val="en-US"/>
        </w:rPr>
        <w:t xml:space="preserve"> in terms of the UE behaviour </w:t>
      </w:r>
      <w:r w:rsidR="00DA7757" w:rsidRPr="00DA7757">
        <w:rPr>
          <w:lang w:eastAsia="zh-CN"/>
        </w:rPr>
        <w:t xml:space="preserve">when SIB32 is received and the UE is out of </w:t>
      </w:r>
      <w:r w:rsidR="00DA7757" w:rsidRPr="00FB48D9">
        <w:rPr>
          <w:lang w:eastAsia="zh-CN"/>
        </w:rPr>
        <w:t>coverage</w:t>
      </w:r>
      <w:r w:rsidR="00FB48D9" w:rsidRPr="00FB48D9">
        <w:rPr>
          <w:lang w:eastAsia="zh-CN"/>
        </w:rPr>
        <w:t xml:space="preserve"> </w:t>
      </w:r>
      <w:r w:rsidR="00FB48D9">
        <w:rPr>
          <w:lang w:eastAsia="zh-CN"/>
        </w:rPr>
        <w:t xml:space="preserve">has an impact on legacy behaviour related to TN and </w:t>
      </w:r>
      <w:r w:rsidR="00193E48">
        <w:rPr>
          <w:bCs/>
          <w:lang w:val="en-US"/>
        </w:rPr>
        <w:t xml:space="preserve">we </w:t>
      </w:r>
      <w:r w:rsidRPr="00A75B0E">
        <w:rPr>
          <w:bCs/>
          <w:lang w:val="en-US"/>
        </w:rPr>
        <w:t>propose the following</w:t>
      </w:r>
      <w:r w:rsidR="00FB4244">
        <w:rPr>
          <w:bCs/>
          <w:lang w:val="en-US"/>
        </w:rPr>
        <w:t>:</w:t>
      </w:r>
    </w:p>
    <w:p w14:paraId="30E30DC8" w14:textId="0629367E" w:rsidR="002078DF" w:rsidRDefault="002078DF" w:rsidP="002078DF">
      <w:pPr>
        <w:spacing w:line="276" w:lineRule="auto"/>
        <w:jc w:val="both"/>
        <w:rPr>
          <w:lang w:val="en-US" w:eastAsia="zh-CN"/>
        </w:rPr>
      </w:pPr>
      <w:r>
        <w:rPr>
          <w:b/>
        </w:rPr>
        <w:t>Observation</w:t>
      </w:r>
      <w:r w:rsidRPr="00E803F3">
        <w:rPr>
          <w:b/>
        </w:rPr>
        <w:t xml:space="preserve"> 1: </w:t>
      </w:r>
      <w:r w:rsidRPr="000A3414">
        <w:rPr>
          <w:b/>
        </w:rPr>
        <w:t xml:space="preserve">According to the agreed text captured in TS36.304, </w:t>
      </w:r>
      <w:r w:rsidRPr="004A2243">
        <w:rPr>
          <w:b/>
        </w:rPr>
        <w:t>it is up to UE implementation (quote “UE need not to perform any idle mode tasks”)</w:t>
      </w:r>
      <w:r>
        <w:rPr>
          <w:b/>
        </w:rPr>
        <w:t xml:space="preserve"> and consequently </w:t>
      </w:r>
      <w:r w:rsidRPr="004A2243">
        <w:rPr>
          <w:b/>
        </w:rPr>
        <w:t xml:space="preserve">it is </w:t>
      </w:r>
      <w:r>
        <w:rPr>
          <w:b/>
        </w:rPr>
        <w:t>not ensured</w:t>
      </w:r>
      <w:r w:rsidRPr="004A2243">
        <w:rPr>
          <w:b/>
        </w:rPr>
        <w:t xml:space="preserve"> that </w:t>
      </w:r>
      <w:r w:rsidR="00DA7757" w:rsidRPr="004A2243">
        <w:rPr>
          <w:b/>
        </w:rPr>
        <w:t>an</w:t>
      </w:r>
      <w:r w:rsidRPr="004A2243">
        <w:rPr>
          <w:b/>
        </w:rPr>
        <w:t xml:space="preserve"> NTN/TN capable UE that is out of NTN coverage but </w:t>
      </w:r>
      <w:r w:rsidR="00DA7757">
        <w:rPr>
          <w:b/>
        </w:rPr>
        <w:t>under</w:t>
      </w:r>
      <w:r w:rsidRPr="004A2243">
        <w:rPr>
          <w:b/>
        </w:rPr>
        <w:t xml:space="preserve"> usable TN coverage </w:t>
      </w:r>
      <w:r>
        <w:rPr>
          <w:b/>
        </w:rPr>
        <w:t>will</w:t>
      </w:r>
      <w:r w:rsidRPr="004A2243">
        <w:rPr>
          <w:b/>
        </w:rPr>
        <w:t xml:space="preserve"> perform a cell selection or at least an any cell selection on the TN even when </w:t>
      </w:r>
      <w:r>
        <w:rPr>
          <w:b/>
        </w:rPr>
        <w:t>under</w:t>
      </w:r>
      <w:r w:rsidRPr="004A2243">
        <w:rPr>
          <w:b/>
        </w:rPr>
        <w:t xml:space="preserve"> perfect TN coverage</w:t>
      </w:r>
      <w:r>
        <w:rPr>
          <w:b/>
        </w:rPr>
        <w:t xml:space="preserve"> conditions</w:t>
      </w:r>
      <w:r w:rsidRPr="004A2243">
        <w:rPr>
          <w:b/>
        </w:rPr>
        <w:t xml:space="preserve">. </w:t>
      </w:r>
      <w:r>
        <w:rPr>
          <w:b/>
        </w:rPr>
        <w:t xml:space="preserve">This functionality clearly changes </w:t>
      </w:r>
      <w:r w:rsidRPr="004A2243">
        <w:rPr>
          <w:b/>
        </w:rPr>
        <w:t>any legacy behaviour related to TN</w:t>
      </w:r>
      <w:r>
        <w:rPr>
          <w:b/>
        </w:rPr>
        <w:t xml:space="preserve">. </w:t>
      </w:r>
    </w:p>
    <w:p w14:paraId="28CE8853" w14:textId="2EBD4E0C" w:rsidR="002078DF" w:rsidRDefault="002078DF" w:rsidP="002078DF">
      <w:pPr>
        <w:spacing w:line="276" w:lineRule="auto"/>
        <w:jc w:val="both"/>
        <w:rPr>
          <w:b/>
        </w:rPr>
      </w:pPr>
      <w:r w:rsidRPr="00A132A9">
        <w:rPr>
          <w:b/>
          <w:bCs/>
        </w:rPr>
        <w:lastRenderedPageBreak/>
        <w:t>Proposal</w:t>
      </w:r>
      <w:r>
        <w:rPr>
          <w:b/>
          <w:bCs/>
        </w:rPr>
        <w:t xml:space="preserve"> 1</w:t>
      </w:r>
      <w:r w:rsidRPr="00A132A9">
        <w:rPr>
          <w:b/>
          <w:bCs/>
        </w:rPr>
        <w:t xml:space="preserve">: </w:t>
      </w:r>
      <w:r w:rsidR="00102F2A">
        <w:rPr>
          <w:b/>
        </w:rPr>
        <w:t xml:space="preserve">Having identified that </w:t>
      </w:r>
      <w:r w:rsidR="00102F2A" w:rsidRPr="00C01398">
        <w:rPr>
          <w:b/>
        </w:rPr>
        <w:t>this new functionality of “not performing</w:t>
      </w:r>
      <w:r w:rsidR="00102F2A">
        <w:rPr>
          <w:b/>
        </w:rPr>
        <w:t xml:space="preserve"> any</w:t>
      </w:r>
      <w:r w:rsidR="00102F2A" w:rsidRPr="00C01398">
        <w:rPr>
          <w:b/>
        </w:rPr>
        <w:t xml:space="preserve"> idle mode tasks” </w:t>
      </w:r>
      <w:r w:rsidR="00102F2A" w:rsidRPr="00DA7757">
        <w:rPr>
          <w:b/>
        </w:rPr>
        <w:t xml:space="preserve">when the UE is out of </w:t>
      </w:r>
      <w:r w:rsidR="00102F2A">
        <w:rPr>
          <w:b/>
        </w:rPr>
        <w:t xml:space="preserve">NTN </w:t>
      </w:r>
      <w:r w:rsidR="00102F2A" w:rsidRPr="00DA7757">
        <w:rPr>
          <w:b/>
        </w:rPr>
        <w:t>coverage</w:t>
      </w:r>
      <w:r w:rsidR="00102F2A">
        <w:rPr>
          <w:b/>
        </w:rPr>
        <w:t xml:space="preserve">, </w:t>
      </w:r>
      <w:r w:rsidR="00102F2A" w:rsidRPr="00C01398">
        <w:rPr>
          <w:b/>
        </w:rPr>
        <w:t>clearly changes any legacy behaviour related to TN</w:t>
      </w:r>
      <w:r w:rsidR="00102F2A">
        <w:rPr>
          <w:b/>
        </w:rPr>
        <w:t>, it is proposed to limit the “UE is not required to perform any AS idle mode tasks” behaviour only to NTN and specifically update the relevant specifications to capture this unambiguously</w:t>
      </w:r>
      <w:r w:rsidR="00496789">
        <w:rPr>
          <w:b/>
        </w:rPr>
        <w:t>.</w:t>
      </w:r>
    </w:p>
    <w:p w14:paraId="21E4B934" w14:textId="5C832448" w:rsidR="00592C0F" w:rsidRPr="002B3DA7" w:rsidRDefault="00592C0F" w:rsidP="002078DF">
      <w:pPr>
        <w:spacing w:line="276" w:lineRule="auto"/>
        <w:jc w:val="both"/>
        <w:rPr>
          <w:bCs/>
        </w:rPr>
      </w:pPr>
      <w:r w:rsidRPr="002B3DA7">
        <w:rPr>
          <w:bCs/>
        </w:rPr>
        <w:t>Draft CRs are provided by Deutsche Telekom et al for this meeting [</w:t>
      </w:r>
      <w:r w:rsidR="006121B2">
        <w:rPr>
          <w:bCs/>
        </w:rPr>
        <w:t>5</w:t>
      </w:r>
      <w:r w:rsidRPr="002B3DA7">
        <w:rPr>
          <w:bCs/>
        </w:rPr>
        <w:t xml:space="preserve">, </w:t>
      </w:r>
      <w:r w:rsidR="006121B2">
        <w:rPr>
          <w:bCs/>
        </w:rPr>
        <w:t>6</w:t>
      </w:r>
      <w:r w:rsidRPr="002B3DA7">
        <w:rPr>
          <w:bCs/>
        </w:rPr>
        <w:t>]</w:t>
      </w:r>
      <w:r w:rsidR="006121B2">
        <w:rPr>
          <w:bCs/>
        </w:rPr>
        <w:t>.</w:t>
      </w:r>
    </w:p>
    <w:p w14:paraId="557B2154" w14:textId="459570D1" w:rsidR="001C7F25" w:rsidRDefault="000F590D" w:rsidP="00657C8C">
      <w:pPr>
        <w:pStyle w:val="Heading1"/>
        <w:spacing w:line="276" w:lineRule="auto"/>
      </w:pPr>
      <w:r>
        <w:t>References</w:t>
      </w:r>
    </w:p>
    <w:p w14:paraId="3AEDA31B" w14:textId="12E2872E"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5620B9">
        <w:rPr>
          <w:lang w:val="en-US"/>
        </w:rPr>
        <w:t>R2-2213080</w:t>
      </w:r>
      <w:r w:rsidR="003C6602">
        <w:rPr>
          <w:lang w:val="en-US"/>
        </w:rPr>
        <w:t xml:space="preserve"> | R2-223533 (revision of R2-2213080)</w:t>
      </w:r>
      <w:r w:rsidR="00190943">
        <w:t>, “</w:t>
      </w:r>
      <w:r w:rsidR="00FB48D9" w:rsidRPr="00FB48D9">
        <w:t>Miscellaneous idle mode corrections</w:t>
      </w:r>
      <w:r w:rsidR="006C6BA4">
        <w:t>”</w:t>
      </w:r>
    </w:p>
    <w:p w14:paraId="022CF5C0" w14:textId="275DAFF8" w:rsidR="004877CD" w:rsidRDefault="004877CD" w:rsidP="004877CD">
      <w:pPr>
        <w:tabs>
          <w:tab w:val="left" w:pos="284"/>
        </w:tabs>
        <w:spacing w:line="276" w:lineRule="auto"/>
        <w:rPr>
          <w:lang w:val="en-US"/>
        </w:rPr>
      </w:pPr>
      <w:r w:rsidRPr="0093014E">
        <w:rPr>
          <w:lang w:val="en-US"/>
        </w:rPr>
        <w:t>[</w:t>
      </w:r>
      <w:r>
        <w:rPr>
          <w:lang w:val="en-US"/>
        </w:rPr>
        <w:t>2</w:t>
      </w:r>
      <w:r w:rsidRPr="0093014E">
        <w:rPr>
          <w:lang w:val="en-US"/>
        </w:rPr>
        <w:t xml:space="preserve">] </w:t>
      </w:r>
      <w:r>
        <w:rPr>
          <w:lang w:val="en-US"/>
        </w:rPr>
        <w:tab/>
      </w:r>
      <w:r>
        <w:rPr>
          <w:lang w:val="en-US"/>
        </w:rPr>
        <w:tab/>
      </w:r>
      <w:r w:rsidR="003C6602" w:rsidRPr="003C6602">
        <w:rPr>
          <w:lang w:val="en-US"/>
        </w:rPr>
        <w:t>R2-2209191/ S2-2207420</w:t>
      </w:r>
      <w:r w:rsidR="003C6602">
        <w:t xml:space="preserve">, “Reply </w:t>
      </w:r>
      <w:r w:rsidR="003C6602" w:rsidRPr="003C6602">
        <w:t>LS on the deactivation of access stratum due to discontinuous coverage</w:t>
      </w:r>
      <w:r w:rsidR="003C6602">
        <w:t>”</w:t>
      </w:r>
    </w:p>
    <w:p w14:paraId="72AC3666" w14:textId="4E7BF5B6" w:rsidR="005E527C" w:rsidRDefault="005E527C" w:rsidP="005E527C">
      <w:pPr>
        <w:tabs>
          <w:tab w:val="left" w:pos="284"/>
        </w:tabs>
        <w:spacing w:line="276" w:lineRule="auto"/>
      </w:pPr>
      <w:r>
        <w:rPr>
          <w:lang w:val="en-US"/>
        </w:rPr>
        <w:t>[3]</w:t>
      </w:r>
      <w:r>
        <w:rPr>
          <w:lang w:val="en-US"/>
        </w:rPr>
        <w:tab/>
      </w:r>
      <w:r>
        <w:rPr>
          <w:lang w:val="en-US"/>
        </w:rPr>
        <w:tab/>
      </w:r>
      <w:r w:rsidR="003C6602">
        <w:rPr>
          <w:lang w:val="en-US"/>
        </w:rPr>
        <w:t>R2-2210865,</w:t>
      </w:r>
      <w:r w:rsidR="003C6602">
        <w:t xml:space="preserve"> “</w:t>
      </w:r>
      <w:r w:rsidR="003C6602" w:rsidRPr="003C6602">
        <w:t>Reply LS on the deactivation of access stratum due to discontinuous coverage</w:t>
      </w:r>
      <w:r w:rsidR="003C6602">
        <w:t>”</w:t>
      </w:r>
    </w:p>
    <w:p w14:paraId="5F8A7395" w14:textId="53E1B84A" w:rsidR="00DA7757" w:rsidRDefault="00DA7757" w:rsidP="003C6602">
      <w:pPr>
        <w:tabs>
          <w:tab w:val="left" w:pos="284"/>
        </w:tabs>
        <w:spacing w:line="276" w:lineRule="auto"/>
        <w:ind w:left="567" w:hanging="567"/>
      </w:pPr>
      <w:r>
        <w:rPr>
          <w:lang w:val="en-US"/>
        </w:rPr>
        <w:t>[4]</w:t>
      </w:r>
      <w:r>
        <w:rPr>
          <w:lang w:val="en-US"/>
        </w:rPr>
        <w:tab/>
      </w:r>
      <w:r>
        <w:rPr>
          <w:lang w:val="en-US"/>
        </w:rPr>
        <w:tab/>
      </w:r>
      <w:r w:rsidR="003C6602">
        <w:rPr>
          <w:lang w:val="en-US"/>
        </w:rPr>
        <w:t>TS 36.304 (v17.3.0)</w:t>
      </w:r>
      <w:r w:rsidR="003C6602">
        <w:t>, “</w:t>
      </w:r>
      <w:r w:rsidR="003C6602" w:rsidRPr="003C6602">
        <w:t>Evolved Universal Terrestrial Radio Access (E-UTRA); User Equipment (UE) procedures in idle mode</w:t>
      </w:r>
      <w:r w:rsidR="003C6602">
        <w:t>”</w:t>
      </w:r>
    </w:p>
    <w:p w14:paraId="1567CF3E" w14:textId="62AE8605" w:rsidR="00592C0F" w:rsidRPr="00003ECB" w:rsidRDefault="00592C0F" w:rsidP="003C6602">
      <w:pPr>
        <w:tabs>
          <w:tab w:val="left" w:pos="284"/>
        </w:tabs>
        <w:spacing w:line="276" w:lineRule="auto"/>
        <w:ind w:left="567" w:hanging="567"/>
      </w:pPr>
      <w:r w:rsidRPr="00003ECB">
        <w:t>[</w:t>
      </w:r>
      <w:r w:rsidR="002B3DA7" w:rsidRPr="00003ECB">
        <w:t>5</w:t>
      </w:r>
      <w:r w:rsidRPr="00003ECB">
        <w:t>]</w:t>
      </w:r>
      <w:r w:rsidRPr="00003ECB">
        <w:tab/>
      </w:r>
      <w:r w:rsidRPr="00003ECB">
        <w:tab/>
      </w:r>
      <w:r w:rsidR="00003ECB" w:rsidRPr="00821869">
        <w:t>R2-</w:t>
      </w:r>
      <w:r w:rsidR="00821869" w:rsidRPr="00821869">
        <w:t>2301380</w:t>
      </w:r>
      <w:r w:rsidR="00003ECB" w:rsidRPr="00003ECB">
        <w:t xml:space="preserve">, </w:t>
      </w:r>
      <w:r w:rsidRPr="00003ECB">
        <w:t xml:space="preserve">Draft CR TS 36.300 </w:t>
      </w:r>
      <w:r w:rsidR="00003ECB" w:rsidRPr="00003ECB">
        <w:t>“Correction related to AS deactivation due to discontinuous coverage”</w:t>
      </w:r>
    </w:p>
    <w:p w14:paraId="536BD325" w14:textId="1A762848" w:rsidR="00592C0F" w:rsidRDefault="00592C0F" w:rsidP="00592C0F">
      <w:pPr>
        <w:tabs>
          <w:tab w:val="left" w:pos="284"/>
        </w:tabs>
        <w:spacing w:line="276" w:lineRule="auto"/>
        <w:ind w:left="567" w:hanging="567"/>
      </w:pPr>
      <w:r w:rsidRPr="00003ECB">
        <w:t>[</w:t>
      </w:r>
      <w:r w:rsidR="002B3DA7" w:rsidRPr="00003ECB">
        <w:t>6</w:t>
      </w:r>
      <w:r w:rsidRPr="00003ECB">
        <w:t>]</w:t>
      </w:r>
      <w:r w:rsidRPr="00003ECB">
        <w:tab/>
      </w:r>
      <w:r w:rsidRPr="00003ECB">
        <w:tab/>
      </w:r>
      <w:r w:rsidR="00821869">
        <w:t>R2-2301388</w:t>
      </w:r>
      <w:r w:rsidR="00003ECB" w:rsidRPr="00003ECB">
        <w:t xml:space="preserve">, </w:t>
      </w:r>
      <w:r w:rsidRPr="00003ECB">
        <w:t>Draft CR TS 36.304</w:t>
      </w:r>
      <w:r w:rsidR="00003ECB" w:rsidRPr="00003ECB">
        <w:t xml:space="preserve"> “Correction related to AS deactivation due to discontinuous coverage”</w:t>
      </w:r>
      <w:r w:rsidR="00003ECB">
        <w:t xml:space="preserve"> </w:t>
      </w:r>
    </w:p>
    <w:p w14:paraId="7B59DCDA" w14:textId="77777777" w:rsidR="00592C0F" w:rsidRDefault="00592C0F" w:rsidP="003C6602">
      <w:pPr>
        <w:tabs>
          <w:tab w:val="left" w:pos="284"/>
        </w:tabs>
        <w:spacing w:line="276" w:lineRule="auto"/>
        <w:ind w:left="567" w:hanging="567"/>
      </w:pPr>
    </w:p>
    <w:sectPr w:rsidR="00592C0F"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3041" w14:textId="77777777" w:rsidR="00866161" w:rsidRDefault="00866161">
      <w:r>
        <w:separator/>
      </w:r>
    </w:p>
  </w:endnote>
  <w:endnote w:type="continuationSeparator" w:id="0">
    <w:p w14:paraId="3932A6DA" w14:textId="77777777" w:rsidR="00866161" w:rsidRDefault="00866161">
      <w:r>
        <w:continuationSeparator/>
      </w:r>
    </w:p>
  </w:endnote>
  <w:endnote w:type="continuationNotice" w:id="1">
    <w:p w14:paraId="6054F838" w14:textId="77777777" w:rsidR="00866161" w:rsidRDefault="00866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1"/>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720F7C02" w:rsidR="008B02EE" w:rsidRDefault="008B02EE">
        <w:pPr>
          <w:pStyle w:val="Footer"/>
        </w:pPr>
        <w:r>
          <w:fldChar w:fldCharType="begin"/>
        </w:r>
        <w:r>
          <w:instrText>PAGE   \* MERGEFORMAT</w:instrText>
        </w:r>
        <w:r>
          <w:fldChar w:fldCharType="separate"/>
        </w:r>
        <w:r w:rsidR="001F61F6" w:rsidRPr="001F61F6">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90F48" w14:textId="77777777" w:rsidR="00866161" w:rsidRDefault="00866161">
      <w:r>
        <w:separator/>
      </w:r>
    </w:p>
  </w:footnote>
  <w:footnote w:type="continuationSeparator" w:id="0">
    <w:p w14:paraId="227AB131" w14:textId="77777777" w:rsidR="00866161" w:rsidRDefault="00866161">
      <w:r>
        <w:continuationSeparator/>
      </w:r>
    </w:p>
  </w:footnote>
  <w:footnote w:type="continuationNotice" w:id="1">
    <w:p w14:paraId="2214812E" w14:textId="77777777" w:rsidR="00866161" w:rsidRDefault="00866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57D4"/>
    <w:multiLevelType w:val="hybridMultilevel"/>
    <w:tmpl w:val="52ACEB42"/>
    <w:lvl w:ilvl="0" w:tplc="7F44E10C">
      <w:start w:val="1"/>
      <w:numFmt w:val="bullet"/>
      <w:lvlText w:val=""/>
      <w:lvlJc w:val="left"/>
      <w:pPr>
        <w:ind w:left="770" w:hanging="360"/>
      </w:pPr>
      <w:rPr>
        <w:rFonts w:ascii="Wingdings" w:hAnsi="Wingdings" w:hint="default"/>
        <w:color w:val="E2007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2"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AA42A4"/>
    <w:multiLevelType w:val="hybridMultilevel"/>
    <w:tmpl w:val="E0CA29D0"/>
    <w:lvl w:ilvl="0" w:tplc="8D20AF34">
      <w:start w:val="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4"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5"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FF067E"/>
    <w:multiLevelType w:val="hybridMultilevel"/>
    <w:tmpl w:val="0E6EEE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6D382C"/>
    <w:multiLevelType w:val="multilevel"/>
    <w:tmpl w:val="7AC224D5"/>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B01076E"/>
    <w:multiLevelType w:val="hybridMultilevel"/>
    <w:tmpl w:val="44E2172C"/>
    <w:lvl w:ilvl="0" w:tplc="06E85B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972BE"/>
    <w:multiLevelType w:val="hybridMultilevel"/>
    <w:tmpl w:val="7C36AA3C"/>
    <w:lvl w:ilvl="0" w:tplc="7F44E10C">
      <w:start w:val="1"/>
      <w:numFmt w:val="bullet"/>
      <w:lvlText w:val=""/>
      <w:lvlJc w:val="left"/>
      <w:pPr>
        <w:ind w:left="720" w:hanging="360"/>
      </w:pPr>
      <w:rPr>
        <w:rFonts w:ascii="Wingdings" w:hAnsi="Wingdings" w:hint="default"/>
        <w:color w:val="E2007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C16536"/>
    <w:multiLevelType w:val="hybridMultilevel"/>
    <w:tmpl w:val="C8367612"/>
    <w:lvl w:ilvl="0" w:tplc="B7641CC2">
      <w:numFmt w:val="bullet"/>
      <w:lvlText w:val=""/>
      <w:lvlJc w:val="left"/>
      <w:pPr>
        <w:ind w:left="720" w:hanging="360"/>
      </w:pPr>
      <w:rPr>
        <w:rFonts w:ascii="Wingdings" w:eastAsia="Calibri"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1674"/>
        </w:tabs>
        <w:ind w:left="1674" w:hanging="360"/>
      </w:pPr>
      <w:rPr>
        <w:rFonts w:ascii="Wingdings" w:hAnsi="Wingdings" w:hint="default"/>
      </w:rPr>
    </w:lvl>
    <w:lvl w:ilvl="3" w:tplc="04090001">
      <w:start w:val="1"/>
      <w:numFmt w:val="bullet"/>
      <w:lvlText w:val=""/>
      <w:lvlJc w:val="left"/>
      <w:pPr>
        <w:tabs>
          <w:tab w:val="num" w:pos="2394"/>
        </w:tabs>
        <w:ind w:left="2394" w:hanging="360"/>
      </w:pPr>
      <w:rPr>
        <w:rFonts w:ascii="Symbol" w:hAnsi="Symbol" w:hint="default"/>
      </w:rPr>
    </w:lvl>
    <w:lvl w:ilvl="4" w:tplc="04090003">
      <w:start w:val="1"/>
      <w:numFmt w:val="bullet"/>
      <w:lvlText w:val="o"/>
      <w:lvlJc w:val="left"/>
      <w:pPr>
        <w:tabs>
          <w:tab w:val="num" w:pos="3114"/>
        </w:tabs>
        <w:ind w:left="3114" w:hanging="360"/>
      </w:pPr>
      <w:rPr>
        <w:rFonts w:ascii="Courier New" w:hAnsi="Courier New" w:cs="Courier New" w:hint="default"/>
      </w:rPr>
    </w:lvl>
    <w:lvl w:ilvl="5" w:tplc="04090005">
      <w:start w:val="1"/>
      <w:numFmt w:val="bullet"/>
      <w:lvlText w:val=""/>
      <w:lvlJc w:val="left"/>
      <w:pPr>
        <w:tabs>
          <w:tab w:val="num" w:pos="3834"/>
        </w:tabs>
        <w:ind w:left="3834" w:hanging="360"/>
      </w:pPr>
      <w:rPr>
        <w:rFonts w:ascii="Wingdings" w:hAnsi="Wingdings" w:hint="default"/>
      </w:rPr>
    </w:lvl>
    <w:lvl w:ilvl="6" w:tplc="04090001">
      <w:start w:val="1"/>
      <w:numFmt w:val="bullet"/>
      <w:lvlText w:val=""/>
      <w:lvlJc w:val="left"/>
      <w:pPr>
        <w:tabs>
          <w:tab w:val="num" w:pos="4554"/>
        </w:tabs>
        <w:ind w:left="4554" w:hanging="360"/>
      </w:pPr>
      <w:rPr>
        <w:rFonts w:ascii="Symbol" w:hAnsi="Symbol" w:hint="default"/>
      </w:rPr>
    </w:lvl>
    <w:lvl w:ilvl="7" w:tplc="04090003">
      <w:start w:val="1"/>
      <w:numFmt w:val="bullet"/>
      <w:lvlText w:val="o"/>
      <w:lvlJc w:val="left"/>
      <w:pPr>
        <w:tabs>
          <w:tab w:val="num" w:pos="5274"/>
        </w:tabs>
        <w:ind w:left="5274" w:hanging="360"/>
      </w:pPr>
      <w:rPr>
        <w:rFonts w:ascii="Courier New" w:hAnsi="Courier New" w:cs="Courier New" w:hint="default"/>
      </w:rPr>
    </w:lvl>
    <w:lvl w:ilvl="8" w:tplc="04090005">
      <w:start w:val="1"/>
      <w:numFmt w:val="bullet"/>
      <w:lvlText w:val=""/>
      <w:lvlJc w:val="left"/>
      <w:pPr>
        <w:tabs>
          <w:tab w:val="num" w:pos="5994"/>
        </w:tabs>
        <w:ind w:left="5994" w:hanging="360"/>
      </w:pPr>
      <w:rPr>
        <w:rFonts w:ascii="Wingdings" w:hAnsi="Wingdings" w:hint="default"/>
      </w:rPr>
    </w:lvl>
  </w:abstractNum>
  <w:abstractNum w:abstractNumId="4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4523311">
    <w:abstractNumId w:val="44"/>
  </w:num>
  <w:num w:numId="2" w16cid:durableId="800542081">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3350472">
    <w:abstractNumId w:val="26"/>
  </w:num>
  <w:num w:numId="4" w16cid:durableId="1936286014">
    <w:abstractNumId w:val="6"/>
  </w:num>
  <w:num w:numId="5" w16cid:durableId="1031758919">
    <w:abstractNumId w:val="1"/>
  </w:num>
  <w:num w:numId="6" w16cid:durableId="196368173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976185">
    <w:abstractNumId w:val="32"/>
  </w:num>
  <w:num w:numId="8" w16cid:durableId="2098822928">
    <w:abstractNumId w:val="11"/>
  </w:num>
  <w:num w:numId="9" w16cid:durableId="407075317">
    <w:abstractNumId w:val="40"/>
  </w:num>
  <w:num w:numId="10" w16cid:durableId="1333295314">
    <w:abstractNumId w:val="21"/>
  </w:num>
  <w:num w:numId="11" w16cid:durableId="1585384100">
    <w:abstractNumId w:val="33"/>
  </w:num>
  <w:num w:numId="12" w16cid:durableId="906064605">
    <w:abstractNumId w:val="29"/>
  </w:num>
  <w:num w:numId="13" w16cid:durableId="1887990880">
    <w:abstractNumId w:val="19"/>
  </w:num>
  <w:num w:numId="14" w16cid:durableId="1003699405">
    <w:abstractNumId w:val="2"/>
  </w:num>
  <w:num w:numId="15" w16cid:durableId="1124232721">
    <w:abstractNumId w:val="42"/>
  </w:num>
  <w:num w:numId="16" w16cid:durableId="78333751">
    <w:abstractNumId w:val="3"/>
  </w:num>
  <w:num w:numId="17" w16cid:durableId="409623014">
    <w:abstractNumId w:val="45"/>
  </w:num>
  <w:num w:numId="18" w16cid:durableId="901671798">
    <w:abstractNumId w:val="4"/>
  </w:num>
  <w:num w:numId="19" w16cid:durableId="1849127441">
    <w:abstractNumId w:val="35"/>
  </w:num>
  <w:num w:numId="20" w16cid:durableId="148594368">
    <w:abstractNumId w:val="38"/>
  </w:num>
  <w:num w:numId="21" w16cid:durableId="778641186">
    <w:abstractNumId w:val="25"/>
  </w:num>
  <w:num w:numId="22" w16cid:durableId="1176191098">
    <w:abstractNumId w:val="17"/>
  </w:num>
  <w:num w:numId="23" w16cid:durableId="723410048">
    <w:abstractNumId w:val="9"/>
  </w:num>
  <w:num w:numId="24" w16cid:durableId="867445523">
    <w:abstractNumId w:val="39"/>
  </w:num>
  <w:num w:numId="25" w16cid:durableId="272254291">
    <w:abstractNumId w:val="22"/>
  </w:num>
  <w:num w:numId="26" w16cid:durableId="571549380">
    <w:abstractNumId w:val="8"/>
  </w:num>
  <w:num w:numId="27" w16cid:durableId="695083496">
    <w:abstractNumId w:val="22"/>
  </w:num>
  <w:num w:numId="28" w16cid:durableId="634913817">
    <w:abstractNumId w:val="5"/>
  </w:num>
  <w:num w:numId="29" w16cid:durableId="1670710352">
    <w:abstractNumId w:val="30"/>
  </w:num>
  <w:num w:numId="30" w16cid:durableId="285504223">
    <w:abstractNumId w:val="30"/>
    <w:lvlOverride w:ilvl="0">
      <w:startOverride w:val="1"/>
    </w:lvlOverride>
  </w:num>
  <w:num w:numId="31" w16cid:durableId="2037346462">
    <w:abstractNumId w:val="15"/>
  </w:num>
  <w:num w:numId="32" w16cid:durableId="1183327649">
    <w:abstractNumId w:val="16"/>
  </w:num>
  <w:num w:numId="33" w16cid:durableId="593128883">
    <w:abstractNumId w:val="12"/>
  </w:num>
  <w:num w:numId="34" w16cid:durableId="450173554">
    <w:abstractNumId w:val="27"/>
  </w:num>
  <w:num w:numId="35" w16cid:durableId="375009068">
    <w:abstractNumId w:val="7"/>
  </w:num>
  <w:num w:numId="36" w16cid:durableId="1262838297">
    <w:abstractNumId w:val="10"/>
  </w:num>
  <w:num w:numId="37" w16cid:durableId="1662804898">
    <w:abstractNumId w:val="43"/>
  </w:num>
  <w:num w:numId="38" w16cid:durableId="2033535313">
    <w:abstractNumId w:val="13"/>
  </w:num>
  <w:num w:numId="39" w16cid:durableId="1225292336">
    <w:abstractNumId w:val="20"/>
  </w:num>
  <w:num w:numId="40" w16cid:durableId="1895308762">
    <w:abstractNumId w:val="14"/>
  </w:num>
  <w:num w:numId="41" w16cid:durableId="560210747">
    <w:abstractNumId w:val="34"/>
  </w:num>
  <w:num w:numId="42" w16cid:durableId="1848473227">
    <w:abstractNumId w:val="24"/>
  </w:num>
  <w:num w:numId="43" w16cid:durableId="1280721647">
    <w:abstractNumId w:val="23"/>
  </w:num>
  <w:num w:numId="44" w16cid:durableId="1425222612">
    <w:abstractNumId w:val="36"/>
  </w:num>
  <w:num w:numId="45" w16cid:durableId="1214657845">
    <w:abstractNumId w:val="41"/>
  </w:num>
  <w:num w:numId="46" w16cid:durableId="1076167356">
    <w:abstractNumId w:val="31"/>
    <w:lvlOverride w:ilvl="0">
      <w:startOverride w:val="1"/>
    </w:lvlOverride>
    <w:lvlOverride w:ilvl="1"/>
    <w:lvlOverride w:ilvl="2"/>
    <w:lvlOverride w:ilvl="3"/>
    <w:lvlOverride w:ilvl="4"/>
    <w:lvlOverride w:ilvl="5"/>
    <w:lvlOverride w:ilvl="6"/>
    <w:lvlOverride w:ilvl="7"/>
    <w:lvlOverride w:ilvl="8"/>
  </w:num>
  <w:num w:numId="47" w16cid:durableId="334918758">
    <w:abstractNumId w:val="37"/>
  </w:num>
  <w:num w:numId="48" w16cid:durableId="16465437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2452496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262"/>
    <w:rsid w:val="0000377D"/>
    <w:rsid w:val="00003A8E"/>
    <w:rsid w:val="00003AD0"/>
    <w:rsid w:val="00003E73"/>
    <w:rsid w:val="00003ECB"/>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B59"/>
    <w:rsid w:val="00025EA7"/>
    <w:rsid w:val="00026419"/>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D11"/>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37E63"/>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8F7"/>
    <w:rsid w:val="00057A53"/>
    <w:rsid w:val="0006096A"/>
    <w:rsid w:val="00060C19"/>
    <w:rsid w:val="000614D6"/>
    <w:rsid w:val="00061EAE"/>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693"/>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414"/>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5C40"/>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10C"/>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32E"/>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2F2A"/>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8FC"/>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864"/>
    <w:rsid w:val="00157A27"/>
    <w:rsid w:val="00157BE9"/>
    <w:rsid w:val="00157D53"/>
    <w:rsid w:val="00160037"/>
    <w:rsid w:val="001600CA"/>
    <w:rsid w:val="001602A9"/>
    <w:rsid w:val="0016047D"/>
    <w:rsid w:val="001608FB"/>
    <w:rsid w:val="00160C31"/>
    <w:rsid w:val="00160FA8"/>
    <w:rsid w:val="00161193"/>
    <w:rsid w:val="001615B8"/>
    <w:rsid w:val="00161BAA"/>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02F"/>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89"/>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1F6"/>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A85"/>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8DF"/>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7DD"/>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39"/>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18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A7"/>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7D9"/>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5A4"/>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A46"/>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E12"/>
    <w:rsid w:val="00390F31"/>
    <w:rsid w:val="00391233"/>
    <w:rsid w:val="003914B9"/>
    <w:rsid w:val="003919CE"/>
    <w:rsid w:val="00391B5D"/>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02"/>
    <w:rsid w:val="003C66CA"/>
    <w:rsid w:val="003C7110"/>
    <w:rsid w:val="003C752E"/>
    <w:rsid w:val="003C7859"/>
    <w:rsid w:val="003C79B8"/>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703"/>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28"/>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5FC6"/>
    <w:rsid w:val="003F608C"/>
    <w:rsid w:val="003F6513"/>
    <w:rsid w:val="003F651E"/>
    <w:rsid w:val="003F6928"/>
    <w:rsid w:val="003F6E71"/>
    <w:rsid w:val="003F6FD5"/>
    <w:rsid w:val="003F70F1"/>
    <w:rsid w:val="003F71CE"/>
    <w:rsid w:val="003F7318"/>
    <w:rsid w:val="003F76AE"/>
    <w:rsid w:val="003F7A4C"/>
    <w:rsid w:val="003F7C3E"/>
    <w:rsid w:val="003F7D0E"/>
    <w:rsid w:val="003F7EB4"/>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77"/>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3C"/>
    <w:rsid w:val="00440B58"/>
    <w:rsid w:val="00440D0D"/>
    <w:rsid w:val="00440E49"/>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3B05"/>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323"/>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5B"/>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1FA"/>
    <w:rsid w:val="004943A9"/>
    <w:rsid w:val="00494411"/>
    <w:rsid w:val="00494AAC"/>
    <w:rsid w:val="004959BB"/>
    <w:rsid w:val="00495AA5"/>
    <w:rsid w:val="00496634"/>
    <w:rsid w:val="00496789"/>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2243"/>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0B9"/>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276"/>
    <w:rsid w:val="00592C0F"/>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53A"/>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E"/>
    <w:rsid w:val="005B6BA7"/>
    <w:rsid w:val="005B6DAF"/>
    <w:rsid w:val="005B7122"/>
    <w:rsid w:val="005B7BD8"/>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8FB"/>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E89"/>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1B2"/>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5EF"/>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3A62"/>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1EE"/>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67D82"/>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3CC"/>
    <w:rsid w:val="00673554"/>
    <w:rsid w:val="0067359E"/>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76B"/>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07"/>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894"/>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888"/>
    <w:rsid w:val="00721A48"/>
    <w:rsid w:val="007222EE"/>
    <w:rsid w:val="007227EC"/>
    <w:rsid w:val="00722E0A"/>
    <w:rsid w:val="0072334A"/>
    <w:rsid w:val="007233F7"/>
    <w:rsid w:val="00723998"/>
    <w:rsid w:val="00724060"/>
    <w:rsid w:val="0072413C"/>
    <w:rsid w:val="007246D5"/>
    <w:rsid w:val="00724BB7"/>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0A64"/>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E63"/>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A9C"/>
    <w:rsid w:val="007C0D71"/>
    <w:rsid w:val="007C0E67"/>
    <w:rsid w:val="007C110C"/>
    <w:rsid w:val="007C1463"/>
    <w:rsid w:val="007C1BC6"/>
    <w:rsid w:val="007C2097"/>
    <w:rsid w:val="007C2363"/>
    <w:rsid w:val="007C25D5"/>
    <w:rsid w:val="007C26AD"/>
    <w:rsid w:val="007C2B2C"/>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C74"/>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4DD1"/>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69"/>
    <w:rsid w:val="008218F4"/>
    <w:rsid w:val="0082194C"/>
    <w:rsid w:val="008219E0"/>
    <w:rsid w:val="00821F09"/>
    <w:rsid w:val="00821F75"/>
    <w:rsid w:val="00821F83"/>
    <w:rsid w:val="00821F8C"/>
    <w:rsid w:val="0082205A"/>
    <w:rsid w:val="00822607"/>
    <w:rsid w:val="0082298A"/>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4A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161"/>
    <w:rsid w:val="00866384"/>
    <w:rsid w:val="00866400"/>
    <w:rsid w:val="00866628"/>
    <w:rsid w:val="00866677"/>
    <w:rsid w:val="008666AC"/>
    <w:rsid w:val="0086697C"/>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0F1"/>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48C"/>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27"/>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3F8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4D"/>
    <w:rsid w:val="009271BD"/>
    <w:rsid w:val="00927924"/>
    <w:rsid w:val="00927EB4"/>
    <w:rsid w:val="00927EF0"/>
    <w:rsid w:val="009300FD"/>
    <w:rsid w:val="0093014E"/>
    <w:rsid w:val="009301D8"/>
    <w:rsid w:val="009309BC"/>
    <w:rsid w:val="00930BC0"/>
    <w:rsid w:val="00930C91"/>
    <w:rsid w:val="00930FDA"/>
    <w:rsid w:val="00931259"/>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15C"/>
    <w:rsid w:val="00960583"/>
    <w:rsid w:val="009605D3"/>
    <w:rsid w:val="009606FC"/>
    <w:rsid w:val="009608ED"/>
    <w:rsid w:val="0096092F"/>
    <w:rsid w:val="00960BA6"/>
    <w:rsid w:val="009612E9"/>
    <w:rsid w:val="00961583"/>
    <w:rsid w:val="0096177D"/>
    <w:rsid w:val="00961BAA"/>
    <w:rsid w:val="0096230C"/>
    <w:rsid w:val="009625DD"/>
    <w:rsid w:val="009626A4"/>
    <w:rsid w:val="00962773"/>
    <w:rsid w:val="00962AED"/>
    <w:rsid w:val="00962B5A"/>
    <w:rsid w:val="00962CFC"/>
    <w:rsid w:val="009630B2"/>
    <w:rsid w:val="0096364E"/>
    <w:rsid w:val="00963C4A"/>
    <w:rsid w:val="0096430F"/>
    <w:rsid w:val="00964374"/>
    <w:rsid w:val="00964C5E"/>
    <w:rsid w:val="00964E8B"/>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42"/>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061"/>
    <w:rsid w:val="00974680"/>
    <w:rsid w:val="009747E4"/>
    <w:rsid w:val="009747EE"/>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60A"/>
    <w:rsid w:val="00994741"/>
    <w:rsid w:val="0099476C"/>
    <w:rsid w:val="00994AB3"/>
    <w:rsid w:val="00994E28"/>
    <w:rsid w:val="0099577E"/>
    <w:rsid w:val="00995BEE"/>
    <w:rsid w:val="0099634D"/>
    <w:rsid w:val="00996720"/>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010"/>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06C"/>
    <w:rsid w:val="009F012E"/>
    <w:rsid w:val="009F0381"/>
    <w:rsid w:val="009F060A"/>
    <w:rsid w:val="009F10F4"/>
    <w:rsid w:val="009F1145"/>
    <w:rsid w:val="009F12C6"/>
    <w:rsid w:val="009F1311"/>
    <w:rsid w:val="009F1331"/>
    <w:rsid w:val="009F1418"/>
    <w:rsid w:val="009F1B38"/>
    <w:rsid w:val="009F1B7E"/>
    <w:rsid w:val="009F2302"/>
    <w:rsid w:val="009F265D"/>
    <w:rsid w:val="009F2819"/>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4A1"/>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ADD"/>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6B5"/>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B7C"/>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376"/>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51B"/>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8BC"/>
    <w:rsid w:val="00AD1BC9"/>
    <w:rsid w:val="00AD1CD8"/>
    <w:rsid w:val="00AD1F34"/>
    <w:rsid w:val="00AD208E"/>
    <w:rsid w:val="00AD22DE"/>
    <w:rsid w:val="00AD27D1"/>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1FD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536"/>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C64"/>
    <w:rsid w:val="00B26D82"/>
    <w:rsid w:val="00B27252"/>
    <w:rsid w:val="00B27454"/>
    <w:rsid w:val="00B2748A"/>
    <w:rsid w:val="00B275AE"/>
    <w:rsid w:val="00B278BE"/>
    <w:rsid w:val="00B2795A"/>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7EF"/>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580"/>
    <w:rsid w:val="00B75775"/>
    <w:rsid w:val="00B7588B"/>
    <w:rsid w:val="00B758F9"/>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31"/>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1D7"/>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21E"/>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398"/>
    <w:rsid w:val="00C01410"/>
    <w:rsid w:val="00C015CC"/>
    <w:rsid w:val="00C01705"/>
    <w:rsid w:val="00C0178E"/>
    <w:rsid w:val="00C01CC2"/>
    <w:rsid w:val="00C0260B"/>
    <w:rsid w:val="00C03B82"/>
    <w:rsid w:val="00C03C1B"/>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07C57"/>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2AD"/>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12"/>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2DE"/>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B0D"/>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5D"/>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6F7"/>
    <w:rsid w:val="00D46792"/>
    <w:rsid w:val="00D467EE"/>
    <w:rsid w:val="00D469B0"/>
    <w:rsid w:val="00D46C7E"/>
    <w:rsid w:val="00D46EC7"/>
    <w:rsid w:val="00D471C3"/>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E9B"/>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757"/>
    <w:rsid w:val="00DA7926"/>
    <w:rsid w:val="00DA7A67"/>
    <w:rsid w:val="00DB045F"/>
    <w:rsid w:val="00DB0840"/>
    <w:rsid w:val="00DB08BA"/>
    <w:rsid w:val="00DB0B1E"/>
    <w:rsid w:val="00DB0D96"/>
    <w:rsid w:val="00DB110A"/>
    <w:rsid w:val="00DB1404"/>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05"/>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4D00"/>
    <w:rsid w:val="00DE52D4"/>
    <w:rsid w:val="00DE5442"/>
    <w:rsid w:val="00DE551C"/>
    <w:rsid w:val="00DE55C6"/>
    <w:rsid w:val="00DE5A65"/>
    <w:rsid w:val="00DE5C4E"/>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D5C"/>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0FEA"/>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0B6"/>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2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10C"/>
    <w:rsid w:val="00EB34CE"/>
    <w:rsid w:val="00EB3886"/>
    <w:rsid w:val="00EB3ADF"/>
    <w:rsid w:val="00EB409E"/>
    <w:rsid w:val="00EB4263"/>
    <w:rsid w:val="00EB44BA"/>
    <w:rsid w:val="00EB462B"/>
    <w:rsid w:val="00EB472D"/>
    <w:rsid w:val="00EB4C0F"/>
    <w:rsid w:val="00EB4D3B"/>
    <w:rsid w:val="00EB4F46"/>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0E5"/>
    <w:rsid w:val="00EC1581"/>
    <w:rsid w:val="00EC1B49"/>
    <w:rsid w:val="00EC1CE3"/>
    <w:rsid w:val="00EC24DF"/>
    <w:rsid w:val="00EC2A6D"/>
    <w:rsid w:val="00EC2CEC"/>
    <w:rsid w:val="00EC34AF"/>
    <w:rsid w:val="00EC3568"/>
    <w:rsid w:val="00EC410B"/>
    <w:rsid w:val="00EC459A"/>
    <w:rsid w:val="00EC4C0C"/>
    <w:rsid w:val="00EC4E24"/>
    <w:rsid w:val="00EC52D5"/>
    <w:rsid w:val="00EC530F"/>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5E4"/>
    <w:rsid w:val="00F03974"/>
    <w:rsid w:val="00F03A3A"/>
    <w:rsid w:val="00F03BC2"/>
    <w:rsid w:val="00F03EAA"/>
    <w:rsid w:val="00F04048"/>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812"/>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3B01"/>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4C51"/>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104C"/>
    <w:rsid w:val="00F519DC"/>
    <w:rsid w:val="00F520B4"/>
    <w:rsid w:val="00F526DE"/>
    <w:rsid w:val="00F527F2"/>
    <w:rsid w:val="00F52991"/>
    <w:rsid w:val="00F52AB8"/>
    <w:rsid w:val="00F52CAC"/>
    <w:rsid w:val="00F52FCC"/>
    <w:rsid w:val="00F53050"/>
    <w:rsid w:val="00F531AA"/>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42E"/>
    <w:rsid w:val="00F70621"/>
    <w:rsid w:val="00F70819"/>
    <w:rsid w:val="00F7084C"/>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24E"/>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723"/>
    <w:rsid w:val="00FB48D9"/>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AE1"/>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9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character" w:customStyle="1" w:styleId="CommentsChar">
    <w:name w:val="Comments Char"/>
    <w:link w:val="Comments"/>
    <w:qFormat/>
    <w:locked/>
    <w:rsid w:val="00DB1404"/>
    <w:rPr>
      <w:rFonts w:ascii="Arial" w:eastAsia="MS Mincho" w:hAnsi="Arial" w:cs="Arial"/>
      <w:i/>
      <w:noProof/>
      <w:sz w:val="18"/>
      <w:szCs w:val="24"/>
    </w:rPr>
  </w:style>
  <w:style w:type="paragraph" w:customStyle="1" w:styleId="Comments">
    <w:name w:val="Comments"/>
    <w:basedOn w:val="Normal"/>
    <w:link w:val="CommentsChar"/>
    <w:qFormat/>
    <w:rsid w:val="00DB1404"/>
    <w:pPr>
      <w:spacing w:before="40" w:after="0"/>
    </w:pPr>
    <w:rPr>
      <w:rFonts w:ascii="Arial" w:eastAsia="MS Mincho" w:hAnsi="Arial" w:cs="Arial"/>
      <w:i/>
      <w:noProof/>
      <w:sz w:val="18"/>
      <w:szCs w:val="24"/>
      <w:lang w:val="fr-FR" w:eastAsia="fr-FR"/>
    </w:rPr>
  </w:style>
  <w:style w:type="paragraph" w:customStyle="1" w:styleId="Agreement">
    <w:name w:val="Agreement"/>
    <w:basedOn w:val="Normal"/>
    <w:next w:val="Normal"/>
    <w:uiPriority w:val="99"/>
    <w:qFormat/>
    <w:rsid w:val="00F10812"/>
    <w:pPr>
      <w:numPr>
        <w:numId w:val="45"/>
      </w:numPr>
      <w:spacing w:before="60" w:after="0"/>
    </w:pPr>
    <w:rPr>
      <w:rFonts w:eastAsiaTheme="minorEastAsia"/>
      <w:b/>
    </w:rPr>
  </w:style>
  <w:style w:type="character" w:customStyle="1" w:styleId="CRCoverPageZchn">
    <w:name w:val="CR Cover Page Zchn"/>
    <w:link w:val="CRCoverPage"/>
    <w:qFormat/>
    <w:locked/>
    <w:rsid w:val="00FA12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04888312">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2304602">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79799168">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00456082">
      <w:bodyDiv w:val="1"/>
      <w:marLeft w:val="0"/>
      <w:marRight w:val="0"/>
      <w:marTop w:val="0"/>
      <w:marBottom w:val="0"/>
      <w:divBdr>
        <w:top w:val="none" w:sz="0" w:space="0" w:color="auto"/>
        <w:left w:val="none" w:sz="0" w:space="0" w:color="auto"/>
        <w:bottom w:val="none" w:sz="0" w:space="0" w:color="auto"/>
        <w:right w:val="none" w:sz="0" w:space="0" w:color="auto"/>
      </w:divBdr>
    </w:div>
    <w:div w:id="621226614">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57614573">
      <w:bodyDiv w:val="1"/>
      <w:marLeft w:val="0"/>
      <w:marRight w:val="0"/>
      <w:marTop w:val="0"/>
      <w:marBottom w:val="0"/>
      <w:divBdr>
        <w:top w:val="none" w:sz="0" w:space="0" w:color="auto"/>
        <w:left w:val="none" w:sz="0" w:space="0" w:color="auto"/>
        <w:bottom w:val="none" w:sz="0" w:space="0" w:color="auto"/>
        <w:right w:val="none" w:sz="0" w:space="0" w:color="auto"/>
      </w:divBdr>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22695">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79706016">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75648140">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0863052">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284240">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489394910">
      <w:bodyDiv w:val="1"/>
      <w:marLeft w:val="0"/>
      <w:marRight w:val="0"/>
      <w:marTop w:val="0"/>
      <w:marBottom w:val="0"/>
      <w:divBdr>
        <w:top w:val="none" w:sz="0" w:space="0" w:color="auto"/>
        <w:left w:val="none" w:sz="0" w:space="0" w:color="auto"/>
        <w:bottom w:val="none" w:sz="0" w:space="0" w:color="auto"/>
        <w:right w:val="none" w:sz="0" w:space="0" w:color="auto"/>
      </w:divBdr>
    </w:div>
    <w:div w:id="1490318275">
      <w:bodyDiv w:val="1"/>
      <w:marLeft w:val="0"/>
      <w:marRight w:val="0"/>
      <w:marTop w:val="0"/>
      <w:marBottom w:val="0"/>
      <w:divBdr>
        <w:top w:val="none" w:sz="0" w:space="0" w:color="auto"/>
        <w:left w:val="none" w:sz="0" w:space="0" w:color="auto"/>
        <w:bottom w:val="none" w:sz="0" w:space="0" w:color="auto"/>
        <w:right w:val="none" w:sz="0" w:space="0" w:color="auto"/>
      </w:divBdr>
    </w:div>
    <w:div w:id="1516269572">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401802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79721658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89257236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088267163">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 w:id="214427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3.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3D76D432-3ECD-4200-B56A-6CB4D5F0C847}">
  <ds:schemaRefs>
    <ds:schemaRef ds:uri="http://schemas.openxmlformats.org/officeDocument/2006/bibliography"/>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1328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8489</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Deutsche Telekom (Efi Nikolitsa)</cp:lastModifiedBy>
  <cp:revision>9</cp:revision>
  <cp:lastPrinted>1901-01-02T14:00:00Z</cp:lastPrinted>
  <dcterms:created xsi:type="dcterms:W3CDTF">2023-02-14T07:45:00Z</dcterms:created>
  <dcterms:modified xsi:type="dcterms:W3CDTF">2023-02-17T06:34:00Z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1676278369</vt:lpwstr>
  </property>
</Properties>
</file>