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7F0B9B14"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CA1578">
        <w:rPr>
          <w:rFonts w:ascii="Calibri" w:eastAsia="MS Mincho" w:hAnsi="Calibri" w:cs="Calibri"/>
          <w:sz w:val="24"/>
          <w:szCs w:val="24"/>
          <w:lang w:val="en-US" w:eastAsia="en-US"/>
        </w:rPr>
        <w:t>1</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F3538B" w:rsidRPr="00F3538B">
        <w:rPr>
          <w:rFonts w:ascii="Calibri" w:eastAsia="MS Mincho" w:hAnsi="Calibri" w:cs="Calibri"/>
          <w:sz w:val="24"/>
          <w:szCs w:val="24"/>
          <w:lang w:val="en-US" w:eastAsia="en-US"/>
        </w:rPr>
        <w:t>R2</w:t>
      </w:r>
      <w:r w:rsidR="00F3538B">
        <w:rPr>
          <w:rFonts w:ascii="Calibri" w:eastAsia="MS Mincho" w:hAnsi="Calibri" w:cs="Calibri"/>
          <w:sz w:val="24"/>
          <w:szCs w:val="24"/>
          <w:lang w:val="en-US" w:eastAsia="en-US"/>
        </w:rPr>
        <w:t>-</w:t>
      </w:r>
      <w:r w:rsidR="00CA1578" w:rsidRPr="00F3538B">
        <w:rPr>
          <w:rFonts w:ascii="Calibri" w:eastAsia="MS Mincho" w:hAnsi="Calibri" w:cs="Calibri"/>
          <w:sz w:val="24"/>
          <w:szCs w:val="24"/>
          <w:lang w:val="en-US" w:eastAsia="en-US"/>
        </w:rPr>
        <w:t>2</w:t>
      </w:r>
      <w:r w:rsidR="00133CAD">
        <w:rPr>
          <w:rFonts w:ascii="Calibri" w:eastAsia="MS Mincho" w:hAnsi="Calibri" w:cs="Calibri"/>
          <w:sz w:val="24"/>
          <w:szCs w:val="24"/>
          <w:lang w:val="en-US" w:eastAsia="en-US"/>
        </w:rPr>
        <w:t>301094</w:t>
      </w:r>
    </w:p>
    <w:p w14:paraId="36508560" w14:textId="4FFDC5A8" w:rsidR="006D2320" w:rsidRPr="00D278AD" w:rsidRDefault="00EC2B17"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371453">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Greece</w:t>
      </w:r>
      <w:r w:rsidR="00371453">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February</w:t>
      </w:r>
      <w:r w:rsidR="00371453">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27</w:t>
      </w:r>
      <w:r w:rsidR="00371453">
        <w:rPr>
          <w:rFonts w:ascii="Calibri" w:eastAsia="MS Mincho" w:hAnsi="Calibri" w:cs="Calibri"/>
          <w:sz w:val="24"/>
          <w:szCs w:val="24"/>
          <w:lang w:val="en-US" w:eastAsia="en-US"/>
        </w:rPr>
        <w:t xml:space="preserve"> – </w:t>
      </w:r>
      <w:r>
        <w:rPr>
          <w:rFonts w:ascii="Calibri" w:eastAsia="MS Mincho" w:hAnsi="Calibri" w:cs="Calibri"/>
          <w:sz w:val="24"/>
          <w:szCs w:val="24"/>
          <w:lang w:val="en-US" w:eastAsia="en-US"/>
        </w:rPr>
        <w:t>March</w:t>
      </w:r>
      <w:r w:rsidR="00371453">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3</w:t>
      </w:r>
      <w:r w:rsidR="00371453">
        <w:rPr>
          <w:rFonts w:ascii="Calibri" w:eastAsia="MS Mincho" w:hAnsi="Calibri" w:cs="Calibri"/>
          <w:sz w:val="24"/>
          <w:szCs w:val="24"/>
          <w:lang w:val="en-US" w:eastAsia="en-US"/>
        </w:rPr>
        <w:t>, 202</w:t>
      </w:r>
      <w:r>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C26800" w:rsidRPr="00C26800">
        <w:rPr>
          <w:rFonts w:ascii="Calibri" w:eastAsia="MS Mincho" w:hAnsi="Calibri" w:cs="Calibri"/>
          <w:sz w:val="24"/>
          <w:szCs w:val="24"/>
          <w:lang w:val="en-US" w:eastAsia="en-US"/>
        </w:rPr>
        <w:t>(Re</w:t>
      </w:r>
      <w:r w:rsidR="008679E2">
        <w:rPr>
          <w:rFonts w:ascii="Calibri" w:eastAsia="MS Mincho" w:hAnsi="Calibri" w:cs="Calibri"/>
          <w:sz w:val="24"/>
          <w:szCs w:val="24"/>
          <w:lang w:val="en-US" w:eastAsia="en-US"/>
        </w:rPr>
        <w:t>submission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CA1578" w:rsidRPr="00F3538B">
        <w:rPr>
          <w:rFonts w:ascii="Calibri" w:eastAsia="MS Mincho" w:hAnsi="Calibri" w:cs="Calibri"/>
          <w:sz w:val="24"/>
          <w:szCs w:val="24"/>
          <w:lang w:val="en-US" w:eastAsia="en-US"/>
        </w:rPr>
        <w:t>22</w:t>
      </w:r>
      <w:r w:rsidR="00CA1578">
        <w:rPr>
          <w:rFonts w:ascii="Calibri" w:eastAsia="MS Mincho" w:hAnsi="Calibri" w:cs="Calibri"/>
          <w:sz w:val="24"/>
          <w:szCs w:val="24"/>
          <w:lang w:val="en-US" w:eastAsia="en-US"/>
        </w:rPr>
        <w:t>10218</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7CA14C79"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7098E7D6"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FB20C0">
        <w:rPr>
          <w:rFonts w:ascii="Calibri" w:eastAsia="MS Mincho" w:hAnsi="Calibri" w:cs="Calibri"/>
          <w:sz w:val="24"/>
          <w:lang w:val="en-US" w:eastAsia="en-US"/>
        </w:rPr>
        <w:t xml:space="preserve">and group handover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284CE456" w14:textId="5102B682" w:rsidR="00F35244" w:rsidRPr="00053F5C" w:rsidRDefault="00DD4E7D" w:rsidP="00053F5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1CC84EBD" w14:textId="3DA76C2E" w:rsidR="00F35244" w:rsidRDefault="00F35244" w:rsidP="00F35244">
      <w:pPr>
        <w:pStyle w:val="maintext"/>
        <w:ind w:firstLineChars="0" w:firstLine="0"/>
        <w:jc w:val="left"/>
      </w:pPr>
      <w:r>
        <w:t>In RAN2#119</w:t>
      </w:r>
      <w:r w:rsidR="009533D1">
        <w:t>bis-</w:t>
      </w:r>
      <w:r>
        <w:t xml:space="preserve">e meeting, RAN2 discussed </w:t>
      </w:r>
      <w:r w:rsidR="009533D1">
        <w:t>handover</w:t>
      </w:r>
      <w:r>
        <w:t xml:space="preserve"> enhancement and we have reached the agreements as follows.</w:t>
      </w:r>
    </w:p>
    <w:p w14:paraId="37564000" w14:textId="77777777"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02E203E4" w14:textId="2F0CE168"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Send an LS to RAN1 (cc RAN4) listing the scenarios (</w:t>
      </w:r>
      <w:r w:rsidRPr="003E28F0">
        <w:t>intra-satellite, inter-satellite with same or different feeder links</w:t>
      </w:r>
      <w:r>
        <w:t xml:space="preserve">) </w:t>
      </w:r>
      <w:r w:rsidRPr="003E28F0">
        <w:t>a</w:t>
      </w:r>
      <w:r>
        <w:t>n</w:t>
      </w:r>
      <w:r w:rsidRPr="003E28F0">
        <w:t>d check with RAN1 in which scenarios RACH-less is possible</w:t>
      </w:r>
      <w:r>
        <w:t xml:space="preserve"> (with no indication of RAN2 preference)</w:t>
      </w:r>
    </w:p>
    <w:p w14:paraId="1C302DE6" w14:textId="7CD2BBCB"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Continue the discussion (in future meeting) on group HO / “</w:t>
      </w:r>
      <w:r w:rsidRPr="00BD692E">
        <w:t>UE specific pre-configuration of the targ</w:t>
      </w:r>
      <w:r>
        <w:t>et cell + group HO” indication in the next meeting, also on the possible real benefits</w:t>
      </w:r>
    </w:p>
    <w:p w14:paraId="0776A15B" w14:textId="77777777"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7ED1EDB5" w14:textId="26FB6F82" w:rsidR="00306179" w:rsidRPr="003E28F0"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New Proposal 2: RAN2 continues the discussion (</w:t>
      </w:r>
      <w:proofErr w:type="gramStart"/>
      <w:r>
        <w:t>e.g.</w:t>
      </w:r>
      <w:proofErr w:type="gramEnd"/>
      <w:r>
        <w:t xml:space="preserve"> at RAN2#120) on the solution with keeping the same PCI after switching of the satellites. Clarify at least the following: RAN1 impact; The need to perform UL beam switching and/or RA; Applicability to hard or soft satellite switching</w:t>
      </w:r>
    </w:p>
    <w:p w14:paraId="4581B9F9" w14:textId="77777777" w:rsidR="00F35244" w:rsidRDefault="00F35244" w:rsidP="00405220">
      <w:pPr>
        <w:pStyle w:val="maintext"/>
        <w:ind w:firstLineChars="0" w:firstLine="0"/>
        <w:jc w:val="left"/>
      </w:pPr>
    </w:p>
    <w:p w14:paraId="59D38946" w14:textId="450A9D33" w:rsidR="00962837" w:rsidRPr="00405220" w:rsidRDefault="00A96E0C" w:rsidP="00405220">
      <w:pPr>
        <w:pStyle w:val="maintext"/>
        <w:ind w:firstLineChars="0" w:firstLine="0"/>
        <w:jc w:val="left"/>
      </w:pPr>
      <w:r w:rsidRPr="00B23B91">
        <w:t>We think that the benefit of</w:t>
      </w:r>
      <w:r>
        <w:t xml:space="preserve"> Timer/</w:t>
      </w:r>
      <w:proofErr w:type="gramStart"/>
      <w:r>
        <w:t>location based</w:t>
      </w:r>
      <w:proofErr w:type="gramEnd"/>
      <w:r>
        <w:t xml:space="preserve"> trigger can be realise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D357F0">
        <w:t>.</w:t>
      </w:r>
      <w:r w:rsidR="008A509D">
        <w:t xml:space="preserve"> Also, RACH-less HO can be supported under certain conditions.</w:t>
      </w:r>
      <w:r w:rsidR="00053F5C">
        <w:t xml:space="preserve"> At last, we discuss the group handover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 xml:space="preserve">RAN2 confirms that at least for the moving cell case the next serving cells can be largely predicted in NTN (at least for UEs not at the cell edge) thanks to the existence of predefined satellite orbits and negligible UE’s mobility </w:t>
            </w:r>
            <w:r w:rsidRPr="00BE6545">
              <w:lastRenderedPageBreak/>
              <w:t>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FEE6590"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r w:rsidR="00E64074">
        <w:t xml:space="preserve">gNB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preconfiguration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w:t>
      </w:r>
      <w:proofErr w:type="gramStart"/>
      <w:r w:rsidR="006E7CA1">
        <w:t xml:space="preserve">and </w:t>
      </w:r>
      <w:r w:rsidR="00BB7622">
        <w:t>also</w:t>
      </w:r>
      <w:proofErr w:type="gramEnd"/>
      <w:r w:rsidR="00BB7622">
        <w:t xml:space="preserve">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lastRenderedPageBreak/>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w:t>
      </w:r>
      <w:proofErr w:type="gramStart"/>
      <w:r w:rsidR="009B5127">
        <w:t>and also</w:t>
      </w:r>
      <w:proofErr w:type="gramEnd"/>
      <w:r w:rsidR="009B5127">
        <w:t xml:space="preserve">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10966B2B" w14:textId="7231B65B" w:rsidR="00173948" w:rsidRPr="00173948" w:rsidRDefault="00C422E5" w:rsidP="002C0D1B">
      <w:r>
        <w:t xml:space="preserve">Signalling during </w:t>
      </w:r>
      <w:r w:rsidR="00AD7CB0">
        <w:t xml:space="preserve">Handover execution </w:t>
      </w:r>
      <w:r>
        <w:t xml:space="preserve">phase can also be optimised by </w:t>
      </w:r>
      <w:r w:rsidR="003C2C77">
        <w:t>allowing RACH-less HO.</w:t>
      </w:r>
      <w:r w:rsidR="00CA475E">
        <w:t xml:space="preserve"> For the concerns raised during last RAN2 meeting, we think it is worth to implement RACH-less handover in NR and the LTE RACH-less handover is the baseline.</w:t>
      </w:r>
      <w:r w:rsidR="00B50775">
        <w:t xml:space="preserve"> Please note that in Rel-18 mobile IAB WI, it was agreed that RACH-less handover could be considered for the UEs connecting to a mobile IAB node.</w:t>
      </w:r>
      <w:r w:rsidR="003C673F">
        <w:t xml:space="preserve"> </w:t>
      </w:r>
      <w:proofErr w:type="gramStart"/>
      <w:r w:rsidR="003C673F">
        <w:t>Therefore</w:t>
      </w:r>
      <w:proofErr w:type="gramEnd"/>
      <w:r w:rsidR="00FA7F67">
        <w:t xml:space="preserve"> we have enough motivations to implement RACH-less handover in NR.</w:t>
      </w:r>
    </w:p>
    <w:p w14:paraId="661C112B" w14:textId="5781C995" w:rsidR="003C2C77" w:rsidRDefault="003C2C77" w:rsidP="002C0D1B">
      <w:pPr>
        <w:rPr>
          <w:b/>
          <w:bCs/>
        </w:rPr>
      </w:pPr>
      <w:r w:rsidRPr="002C0D1B">
        <w:rPr>
          <w:b/>
          <w:bCs/>
        </w:rPr>
        <w:t>Proposal 2: Allow RACH-less HO for NTN-NTN HO under certain conditions</w:t>
      </w:r>
      <w:r w:rsidR="007812E9">
        <w:rPr>
          <w:b/>
          <w:bCs/>
        </w:rPr>
        <w:t>.</w:t>
      </w:r>
    </w:p>
    <w:p w14:paraId="291F44BA" w14:textId="38D6B77E" w:rsidR="00AA258D" w:rsidRDefault="00AA258D" w:rsidP="002C0D1B">
      <w:r w:rsidRPr="00AA258D">
        <w:t>RAN</w:t>
      </w:r>
      <w:r>
        <w:t xml:space="preserve">2 agreed to further discuss group-cast handover for NTN, where UEs will be grouped </w:t>
      </w:r>
      <w:proofErr w:type="gramStart"/>
      <w:r>
        <w:t>e.g.</w:t>
      </w:r>
      <w:proofErr w:type="gramEnd"/>
      <w:r>
        <w:t xml:space="preserve"> based on their locations, moving speed etc, and then a group common handover configuration which includes the handover parameters common to all the UEs in that group will be transmitted to that group of UEs in order to trigger the group handover. </w:t>
      </w:r>
      <w:r w:rsidR="006A4134">
        <w:t xml:space="preserve">It should be noticed that some UE specific parameters </w:t>
      </w:r>
      <w:proofErr w:type="gramStart"/>
      <w:r w:rsidR="006A4134">
        <w:t>e.g.</w:t>
      </w:r>
      <w:proofErr w:type="gramEnd"/>
      <w:r w:rsidR="006A4134">
        <w:t xml:space="preserve"> preambles, C-RNTI (if needed) will still be configured via dedicated signalling.</w:t>
      </w:r>
      <w:r w:rsidR="006D3B0D">
        <w:t xml:space="preserve"> But this group-cast handover will save the signalling overhead </w:t>
      </w:r>
      <w:r w:rsidR="00B47EFD">
        <w:t xml:space="preserve">for configuring </w:t>
      </w:r>
      <w:r w:rsidR="006D3B0D">
        <w:t xml:space="preserve">those cell specific </w:t>
      </w:r>
      <w:r w:rsidR="00B47EFD">
        <w:t>parameters</w:t>
      </w:r>
      <w:r w:rsidR="006D3B0D">
        <w:t>.</w:t>
      </w:r>
    </w:p>
    <w:p w14:paraId="4C8979FA" w14:textId="51A125CE" w:rsidR="00AE4510" w:rsidRPr="002A607F" w:rsidRDefault="00AE4510" w:rsidP="002C0D1B">
      <w:pPr>
        <w:rPr>
          <w:b/>
          <w:bCs/>
        </w:rPr>
      </w:pPr>
      <w:r w:rsidRPr="002A607F">
        <w:rPr>
          <w:b/>
          <w:bCs/>
        </w:rPr>
        <w:t xml:space="preserve">Proposal 3: </w:t>
      </w:r>
      <w:r w:rsidR="006F4F66">
        <w:rPr>
          <w:b/>
          <w:bCs/>
        </w:rPr>
        <w:t>RAN2 to agree that</w:t>
      </w:r>
      <w:r w:rsidR="002A607F">
        <w:rPr>
          <w:b/>
          <w:bCs/>
        </w:rPr>
        <w:t xml:space="preserve"> </w:t>
      </w:r>
      <w:r w:rsidR="001759A1">
        <w:rPr>
          <w:b/>
          <w:bCs/>
        </w:rPr>
        <w:t xml:space="preserve">a </w:t>
      </w:r>
      <w:r w:rsidR="002A607F">
        <w:rPr>
          <w:b/>
          <w:bCs/>
        </w:rPr>
        <w:t xml:space="preserve">group cast handover configuration </w:t>
      </w:r>
      <w:r w:rsidR="0080170B">
        <w:rPr>
          <w:b/>
          <w:bCs/>
        </w:rPr>
        <w:t xml:space="preserve">is provided </w:t>
      </w:r>
      <w:r w:rsidR="002A607F">
        <w:rPr>
          <w:b/>
          <w:bCs/>
        </w:rPr>
        <w:t>includ</w:t>
      </w:r>
      <w:r w:rsidR="0002592C">
        <w:rPr>
          <w:b/>
          <w:bCs/>
        </w:rPr>
        <w:t>ing</w:t>
      </w:r>
      <w:r w:rsidR="002A607F">
        <w:rPr>
          <w:b/>
          <w:bCs/>
        </w:rPr>
        <w:t xml:space="preserve"> the </w:t>
      </w:r>
      <w:r w:rsidR="0080170B">
        <w:rPr>
          <w:b/>
          <w:bCs/>
        </w:rPr>
        <w:t xml:space="preserve">cell specific </w:t>
      </w:r>
      <w:r w:rsidR="002A607F">
        <w:rPr>
          <w:b/>
          <w:bCs/>
        </w:rPr>
        <w:t xml:space="preserve">configuration common to all UEs in </w:t>
      </w:r>
      <w:r w:rsidR="0002592C">
        <w:rPr>
          <w:b/>
          <w:bCs/>
        </w:rPr>
        <w:t xml:space="preserve">a </w:t>
      </w:r>
      <w:r w:rsidR="002A607F">
        <w:rPr>
          <w:b/>
          <w:bCs/>
        </w:rPr>
        <w:t>group.</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255D8621" w14:textId="77777777" w:rsidR="00FF4A3F" w:rsidRDefault="00FF4A3F" w:rsidP="00FF4A3F">
      <w:pPr>
        <w:rPr>
          <w:b/>
          <w:bCs/>
        </w:rPr>
      </w:pPr>
      <w:r w:rsidRPr="002C0D1B">
        <w:rPr>
          <w:b/>
          <w:bCs/>
        </w:rPr>
        <w:t>Proposal 2: Allow RACH-less HO for NTN-NTN HO under certain conditions</w:t>
      </w:r>
      <w:r>
        <w:rPr>
          <w:b/>
          <w:bCs/>
        </w:rPr>
        <w:t>.</w:t>
      </w:r>
    </w:p>
    <w:p w14:paraId="6FF69922" w14:textId="77777777" w:rsidR="00FF4A3F" w:rsidRPr="002A607F" w:rsidRDefault="00FF4A3F" w:rsidP="00FF4A3F">
      <w:pPr>
        <w:rPr>
          <w:b/>
          <w:bCs/>
        </w:rPr>
      </w:pPr>
      <w:r w:rsidRPr="002A607F">
        <w:rPr>
          <w:b/>
          <w:bCs/>
        </w:rPr>
        <w:t xml:space="preserve">Proposal 3: </w:t>
      </w:r>
      <w:r>
        <w:rPr>
          <w:b/>
          <w:bCs/>
        </w:rPr>
        <w:t>RAN2 to agree that a group cast handover configuration is provided including the cell specific configuration common to all UEs in a group.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10CC" w14:textId="77777777" w:rsidR="002D1DB4" w:rsidRDefault="002D1DB4">
      <w:r>
        <w:separator/>
      </w:r>
    </w:p>
  </w:endnote>
  <w:endnote w:type="continuationSeparator" w:id="0">
    <w:p w14:paraId="1A99D473" w14:textId="77777777" w:rsidR="002D1DB4" w:rsidRDefault="002D1DB4">
      <w:r>
        <w:continuationSeparator/>
      </w:r>
    </w:p>
  </w:endnote>
  <w:endnote w:type="continuationNotice" w:id="1">
    <w:p w14:paraId="0870C2A2" w14:textId="77777777" w:rsidR="002D1DB4" w:rsidRDefault="002D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17A6" w14:textId="77777777" w:rsidR="002D1DB4" w:rsidRDefault="002D1DB4">
      <w:r>
        <w:separator/>
      </w:r>
    </w:p>
  </w:footnote>
  <w:footnote w:type="continuationSeparator" w:id="0">
    <w:p w14:paraId="463AE337" w14:textId="77777777" w:rsidR="002D1DB4" w:rsidRDefault="002D1DB4">
      <w:r>
        <w:continuationSeparator/>
      </w:r>
    </w:p>
  </w:footnote>
  <w:footnote w:type="continuationNotice" w:id="1">
    <w:p w14:paraId="0C07B780" w14:textId="77777777" w:rsidR="002D1DB4" w:rsidRDefault="002D1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8"/>
  </w:num>
  <w:num w:numId="3">
    <w:abstractNumId w:val="22"/>
  </w:num>
  <w:num w:numId="4">
    <w:abstractNumId w:val="16"/>
  </w:num>
  <w:num w:numId="5">
    <w:abstractNumId w:val="4"/>
  </w:num>
  <w:num w:numId="6">
    <w:abstractNumId w:val="34"/>
  </w:num>
  <w:num w:numId="7">
    <w:abstractNumId w:val="32"/>
  </w:num>
  <w:num w:numId="8">
    <w:abstractNumId w:val="39"/>
  </w:num>
  <w:num w:numId="9">
    <w:abstractNumId w:val="3"/>
  </w:num>
  <w:num w:numId="10">
    <w:abstractNumId w:val="26"/>
  </w:num>
  <w:num w:numId="11">
    <w:abstractNumId w:val="27"/>
  </w:num>
  <w:num w:numId="12">
    <w:abstractNumId w:val="8"/>
  </w:num>
  <w:num w:numId="13">
    <w:abstractNumId w:val="35"/>
  </w:num>
  <w:num w:numId="14">
    <w:abstractNumId w:val="25"/>
  </w:num>
  <w:num w:numId="15">
    <w:abstractNumId w:val="20"/>
  </w:num>
  <w:num w:numId="16">
    <w:abstractNumId w:val="33"/>
  </w:num>
  <w:num w:numId="17">
    <w:abstractNumId w:val="1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5"/>
  </w:num>
  <w:num w:numId="22">
    <w:abstractNumId w:val="6"/>
  </w:num>
  <w:num w:numId="23">
    <w:abstractNumId w:val="11"/>
  </w:num>
  <w:num w:numId="24">
    <w:abstractNumId w:val="13"/>
  </w:num>
  <w:num w:numId="25">
    <w:abstractNumId w:val="30"/>
  </w:num>
  <w:num w:numId="26">
    <w:abstractNumId w:val="23"/>
  </w:num>
  <w:num w:numId="27">
    <w:abstractNumId w:val="36"/>
  </w:num>
  <w:num w:numId="28">
    <w:abstractNumId w:val="28"/>
  </w:num>
  <w:num w:numId="29">
    <w:abstractNumId w:val="5"/>
  </w:num>
  <w:num w:numId="30">
    <w:abstractNumId w:val="12"/>
  </w:num>
  <w:num w:numId="31">
    <w:abstractNumId w:val="10"/>
  </w:num>
  <w:num w:numId="32">
    <w:abstractNumId w:val="19"/>
  </w:num>
  <w:num w:numId="33">
    <w:abstractNumId w:val="2"/>
  </w:num>
  <w:num w:numId="34">
    <w:abstractNumId w:val="29"/>
  </w:num>
  <w:num w:numId="35">
    <w:abstractNumId w:val="1"/>
  </w:num>
  <w:num w:numId="36">
    <w:abstractNumId w:val="37"/>
  </w:num>
  <w:num w:numId="37">
    <w:abstractNumId w:val="17"/>
  </w:num>
  <w:num w:numId="38">
    <w:abstractNumId w:val="9"/>
  </w:num>
  <w:num w:numId="39">
    <w:abstractNumId w:val="31"/>
  </w:num>
  <w:num w:numId="4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DA"/>
    <w:rsid w:val="00335588"/>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4A6E"/>
    <w:rsid w:val="003F4B78"/>
    <w:rsid w:val="003F4D46"/>
    <w:rsid w:val="003F4DE9"/>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D12"/>
    <w:rsid w:val="00547058"/>
    <w:rsid w:val="00547098"/>
    <w:rsid w:val="00547964"/>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3C0A"/>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A62"/>
    <w:rsid w:val="00BA1C26"/>
    <w:rsid w:val="00BA2092"/>
    <w:rsid w:val="00BA20ED"/>
    <w:rsid w:val="00BA237C"/>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CFE"/>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E7B71EA-3599-4C5C-A713-E71F8CC8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1113</Words>
  <Characters>6348</Characters>
  <Application>Microsoft Office Word</Application>
  <DocSecurity>0</DocSecurity>
  <Lines>52</Lines>
  <Paragraphs>14</Paragraphs>
  <ScaleCrop>false</ScaleCrop>
  <Company>Alcatel-Lucent</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28</cp:revision>
  <cp:lastPrinted>2009-09-26T16:02:00Z</cp:lastPrinted>
  <dcterms:created xsi:type="dcterms:W3CDTF">2023-02-16T11:26:00Z</dcterms:created>
  <dcterms:modified xsi:type="dcterms:W3CDTF">2023-02-16T11:27:00Z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