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C6F3C9F" w:rsidR="006016F0" w:rsidRPr="00BA5CB2" w:rsidRDefault="00B412D6" w:rsidP="006016F0">
      <w:pPr>
        <w:pStyle w:val="3GPPHeader"/>
        <w:spacing w:after="60"/>
        <w:rPr>
          <w:rFonts w:ascii="Arial" w:hAnsi="Arial" w:cs="Arial"/>
          <w:sz w:val="32"/>
          <w:szCs w:val="32"/>
          <w:highlight w:val="yellow"/>
          <w:lang w:val="sv-SE"/>
        </w:rPr>
      </w:pPr>
      <w:r w:rsidRPr="00BA5CB2">
        <w:rPr>
          <w:rFonts w:ascii="Arial" w:hAnsi="Arial" w:cs="Arial"/>
          <w:lang w:val="sv-SE"/>
        </w:rPr>
        <w:t>3GPP TSG-RAN WG2 #1</w:t>
      </w:r>
      <w:r w:rsidR="00BC5409" w:rsidRPr="00BA5CB2">
        <w:rPr>
          <w:rFonts w:ascii="Arial" w:eastAsiaTheme="minorEastAsia" w:hAnsi="Arial" w:cs="Arial"/>
          <w:lang w:val="sv-SE"/>
        </w:rPr>
        <w:t>2</w:t>
      </w:r>
      <w:r w:rsidR="00EC63D9" w:rsidRPr="00BA5CB2">
        <w:rPr>
          <w:rFonts w:ascii="Arial" w:eastAsiaTheme="minorEastAsia" w:hAnsi="Arial" w:cs="Arial"/>
          <w:lang w:val="sv-SE"/>
        </w:rPr>
        <w:t>1</w:t>
      </w:r>
      <w:r w:rsidR="00B8141F" w:rsidRPr="00BA5CB2">
        <w:rPr>
          <w:rFonts w:ascii="Arial" w:hAnsi="Arial" w:cs="Arial"/>
          <w:lang w:val="sv-SE"/>
        </w:rPr>
        <w:t xml:space="preserve"> </w:t>
      </w:r>
      <w:r w:rsidR="006016F0" w:rsidRPr="00BA5CB2">
        <w:rPr>
          <w:rFonts w:ascii="Arial" w:hAnsi="Arial" w:cs="Arial"/>
          <w:lang w:val="sv-SE"/>
        </w:rPr>
        <w:tab/>
      </w:r>
      <w:r w:rsidR="00BA5CB2" w:rsidRPr="00BA5CB2">
        <w:rPr>
          <w:rFonts w:ascii="Arial" w:hAnsi="Arial" w:cs="Arial"/>
          <w:lang w:val="sv-SE"/>
        </w:rPr>
        <w:t>R2-2301012</w:t>
      </w:r>
    </w:p>
    <w:p w14:paraId="3A795FCC" w14:textId="77777777" w:rsidR="003B5BED" w:rsidRPr="0078088F" w:rsidRDefault="003B5BED" w:rsidP="003B5BED">
      <w:pPr>
        <w:pStyle w:val="Header"/>
        <w:tabs>
          <w:tab w:val="right" w:pos="9630"/>
        </w:tabs>
        <w:spacing w:after="120"/>
        <w:rPr>
          <w:rFonts w:eastAsia="SimSun" w:cs="SimHei"/>
          <w:noProof w:val="0"/>
          <w:sz w:val="24"/>
          <w:szCs w:val="22"/>
        </w:rPr>
      </w:pPr>
      <w:r w:rsidRPr="0078088F">
        <w:rPr>
          <w:rFonts w:eastAsia="MS PGothic" w:cs="Arial"/>
          <w:bCs w:val="0"/>
          <w:noProof w:val="0"/>
          <w:sz w:val="24"/>
          <w:szCs w:val="24"/>
          <w:lang w:val="en-GB" w:eastAsia="ja-JP"/>
        </w:rPr>
        <w:t>Athens, GR, 27</w:t>
      </w:r>
      <w:r w:rsidRPr="00533B52">
        <w:rPr>
          <w:rFonts w:eastAsia="MS PGothic" w:cs="Arial"/>
          <w:bCs w:val="0"/>
          <w:noProof w:val="0"/>
          <w:sz w:val="24"/>
          <w:szCs w:val="24"/>
          <w:vertAlign w:val="superscript"/>
          <w:lang w:val="en-GB" w:eastAsia="ja-JP"/>
        </w:rPr>
        <w:t>th</w:t>
      </w:r>
      <w:r w:rsidRPr="0078088F">
        <w:rPr>
          <w:rFonts w:eastAsia="MS PGothic" w:cs="Arial"/>
          <w:bCs w:val="0"/>
          <w:noProof w:val="0"/>
          <w:sz w:val="24"/>
          <w:szCs w:val="24"/>
          <w:lang w:val="en-GB" w:eastAsia="ja-JP"/>
        </w:rPr>
        <w:t xml:space="preserve"> Feb–3</w:t>
      </w:r>
      <w:r w:rsidRPr="00533B52">
        <w:rPr>
          <w:rFonts w:eastAsia="MS PGothic" w:cs="Arial"/>
          <w:bCs w:val="0"/>
          <w:noProof w:val="0"/>
          <w:sz w:val="24"/>
          <w:szCs w:val="24"/>
          <w:vertAlign w:val="superscript"/>
          <w:lang w:val="en-GB" w:eastAsia="ja-JP"/>
        </w:rPr>
        <w:t>rd</w:t>
      </w:r>
      <w:r>
        <w:rPr>
          <w:rFonts w:eastAsia="MS PGothic" w:cs="Arial"/>
          <w:bCs w:val="0"/>
          <w:noProof w:val="0"/>
          <w:sz w:val="24"/>
          <w:szCs w:val="24"/>
          <w:lang w:val="en-GB" w:eastAsia="ja-JP"/>
        </w:rPr>
        <w:t xml:space="preserve"> </w:t>
      </w:r>
      <w:r w:rsidRPr="0078088F">
        <w:rPr>
          <w:rFonts w:eastAsia="MS PGothic" w:cs="Arial"/>
          <w:bCs w:val="0"/>
          <w:noProof w:val="0"/>
          <w:sz w:val="24"/>
          <w:szCs w:val="24"/>
          <w:lang w:val="en-GB" w:eastAsia="ja-JP"/>
        </w:rPr>
        <w:t>Mar 2023</w:t>
      </w:r>
    </w:p>
    <w:p w14:paraId="5D0E0822" w14:textId="77777777" w:rsidR="003B5BED" w:rsidRDefault="003B5BED" w:rsidP="008C4837">
      <w:pPr>
        <w:pStyle w:val="3GPPHeader"/>
        <w:rPr>
          <w:rFonts w:ascii="Arial" w:hAnsi="Arial" w:cs="Arial"/>
          <w:sz w:val="22"/>
          <w:szCs w:val="22"/>
        </w:rPr>
      </w:pPr>
    </w:p>
    <w:p w14:paraId="67060A0F" w14:textId="06574566"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4A6B" w:rsidRPr="00964A6B">
        <w:rPr>
          <w:rFonts w:ascii="Arial" w:hAnsi="Arial" w:cs="Arial"/>
          <w:sz w:val="22"/>
          <w:szCs w:val="22"/>
        </w:rPr>
        <w:t>8.</w:t>
      </w:r>
      <w:r w:rsidR="00BC5409">
        <w:rPr>
          <w:rFonts w:ascii="Arial" w:hAnsi="Arial" w:cs="Arial"/>
          <w:sz w:val="22"/>
          <w:szCs w:val="22"/>
        </w:rPr>
        <w:t>6</w:t>
      </w:r>
      <w:r w:rsidR="00964A6B" w:rsidRPr="00964A6B">
        <w:rPr>
          <w:rFonts w:ascii="Arial" w:hAnsi="Arial" w:cs="Arial"/>
          <w:sz w:val="22"/>
          <w:szCs w:val="22"/>
        </w:rPr>
        <w:t>.</w:t>
      </w:r>
      <w:r w:rsidR="00BC5409">
        <w:rPr>
          <w:rFonts w:ascii="Arial" w:hAnsi="Arial" w:cs="Arial"/>
          <w:sz w:val="22"/>
          <w:szCs w:val="22"/>
        </w:rPr>
        <w:t xml:space="preserve">3.1 </w:t>
      </w:r>
      <w:r w:rsidR="00BC5409" w:rsidRPr="00BC5409">
        <w:rPr>
          <w:rFonts w:ascii="Arial" w:hAnsi="Arial" w:cs="Arial"/>
          <w:sz w:val="22"/>
          <w:szCs w:val="22"/>
        </w:rPr>
        <w:t>Enhancements for neighbor cell measurements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095339EA"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BC5409" w:rsidRPr="00BC5409">
        <w:rPr>
          <w:rFonts w:ascii="Arial" w:hAnsi="Arial" w:cs="Arial"/>
          <w:sz w:val="22"/>
          <w:szCs w:val="22"/>
        </w:rPr>
        <w:t>Enhancements for neighbor cell measurements</w:t>
      </w:r>
      <w:r w:rsidR="00964A6B" w:rsidRPr="00964A6B">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49379B79" w14:textId="22370D2B" w:rsidR="007B2A8E" w:rsidRDefault="000631A1" w:rsidP="000631A1">
      <w:pPr>
        <w:tabs>
          <w:tab w:val="left" w:pos="1723"/>
        </w:tabs>
        <w:rPr>
          <w:rFonts w:ascii="Arial" w:eastAsiaTheme="minorEastAsia" w:hAnsi="Arial" w:cs="Arial"/>
          <w:sz w:val="20"/>
          <w:szCs w:val="20"/>
          <w:lang w:val="en-GB"/>
        </w:rPr>
      </w:pPr>
      <w:r>
        <w:rPr>
          <w:rFonts w:ascii="Arial" w:eastAsiaTheme="minorEastAsia" w:hAnsi="Arial" w:cs="Arial"/>
          <w:sz w:val="20"/>
          <w:szCs w:val="20"/>
          <w:lang w:val="en-GB"/>
        </w:rPr>
        <w:t xml:space="preserve">In this contribution, we </w:t>
      </w:r>
      <w:r w:rsidR="001E3C9C">
        <w:rPr>
          <w:rFonts w:ascii="Arial" w:eastAsiaTheme="minorEastAsia" w:hAnsi="Arial" w:cs="Arial"/>
          <w:sz w:val="20"/>
          <w:szCs w:val="20"/>
          <w:lang w:val="en-GB"/>
        </w:rPr>
        <w:t>further discuss n</w:t>
      </w:r>
      <w:r>
        <w:rPr>
          <w:rFonts w:ascii="Arial" w:eastAsiaTheme="minorEastAsia" w:hAnsi="Arial" w:cs="Arial"/>
          <w:sz w:val="20"/>
          <w:szCs w:val="20"/>
          <w:lang w:val="en-GB"/>
        </w:rPr>
        <w:t>eighbour cell measurement enhancement aspects</w:t>
      </w:r>
      <w:r w:rsidR="001E3C9C">
        <w:rPr>
          <w:rFonts w:ascii="Arial" w:eastAsiaTheme="minorEastAsia" w:hAnsi="Arial" w:cs="Arial"/>
          <w:sz w:val="20"/>
          <w:szCs w:val="20"/>
          <w:lang w:val="en-GB"/>
        </w:rPr>
        <w:t xml:space="preserve"> based on agreements made in last meeting</w:t>
      </w:r>
      <w:r w:rsidR="00907912">
        <w:rPr>
          <w:rFonts w:ascii="Arial" w:eastAsiaTheme="minorEastAsia" w:hAnsi="Arial" w:cs="Arial"/>
          <w:sz w:val="20"/>
          <w:szCs w:val="20"/>
          <w:lang w:val="en-GB"/>
        </w:rPr>
        <w:t>.</w:t>
      </w:r>
    </w:p>
    <w:p w14:paraId="05B1868E" w14:textId="0F46699F" w:rsidR="00785CEA" w:rsidRDefault="000D01C7" w:rsidP="00785CEA">
      <w:pPr>
        <w:pStyle w:val="Heading1"/>
        <w:rPr>
          <w:rFonts w:eastAsiaTheme="minorEastAsia"/>
          <w:lang w:val="en-US" w:eastAsia="ja-JP"/>
        </w:rPr>
      </w:pPr>
      <w:r w:rsidRPr="001572AF">
        <w:rPr>
          <w:rFonts w:eastAsiaTheme="minorEastAsia"/>
          <w:lang w:val="en-US" w:eastAsia="ja-JP"/>
        </w:rPr>
        <w:t>Discussion</w:t>
      </w:r>
    </w:p>
    <w:p w14:paraId="36D2B799" w14:textId="77777777" w:rsidR="00785CEA" w:rsidRDefault="00785CEA" w:rsidP="00785CEA">
      <w:pPr>
        <w:pStyle w:val="Heading2"/>
      </w:pPr>
      <w:r>
        <w:t>Neighbour cell measurements before RLF</w:t>
      </w:r>
      <w:r w:rsidRPr="00677696">
        <w:t xml:space="preserve"> </w:t>
      </w:r>
      <w:r>
        <w:t xml:space="preserve">for NB-IOT </w:t>
      </w:r>
    </w:p>
    <w:p w14:paraId="4CDA2AEE" w14:textId="77777777" w:rsidR="00785CEA" w:rsidRPr="003F2974" w:rsidRDefault="00785CEA" w:rsidP="00785CEA">
      <w:pPr>
        <w:pStyle w:val="ListParagraph"/>
        <w:numPr>
          <w:ilvl w:val="2"/>
          <w:numId w:val="1"/>
        </w:numPr>
        <w:snapToGrid w:val="0"/>
        <w:rPr>
          <w:rFonts w:ascii="Arial" w:eastAsiaTheme="minorEastAsia" w:hAnsi="Arial" w:cs="Arial"/>
          <w:sz w:val="22"/>
        </w:rPr>
      </w:pPr>
      <w:r w:rsidRPr="003F2974">
        <w:rPr>
          <w:rFonts w:ascii="Arial" w:eastAsiaTheme="minorEastAsia" w:hAnsi="Arial" w:cs="Arial"/>
          <w:sz w:val="22"/>
        </w:rPr>
        <w:t xml:space="preserve">RSRP-based trigger </w:t>
      </w:r>
    </w:p>
    <w:p w14:paraId="68ADD369" w14:textId="77777777" w:rsidR="00785CEA" w:rsidRPr="003F2974" w:rsidRDefault="00785CEA" w:rsidP="00785CEA">
      <w:pPr>
        <w:pStyle w:val="ListParagraph"/>
        <w:snapToGrid w:val="0"/>
        <w:rPr>
          <w:rFonts w:ascii="Arial" w:eastAsiaTheme="minorEastAsia" w:hAnsi="Arial" w:cs="Arial"/>
          <w:sz w:val="20"/>
          <w:szCs w:val="20"/>
        </w:rPr>
      </w:pPr>
    </w:p>
    <w:p w14:paraId="6F945303" w14:textId="77777777" w:rsidR="00785CEA" w:rsidRDefault="00785CEA" w:rsidP="00785CEA">
      <w:pPr>
        <w:snapToGrid w:val="0"/>
        <w:rPr>
          <w:rFonts w:ascii="Arial" w:eastAsiaTheme="minorEastAsia" w:hAnsi="Arial" w:cs="Arial"/>
          <w:sz w:val="20"/>
          <w:szCs w:val="20"/>
        </w:rPr>
      </w:pPr>
      <w:r>
        <w:rPr>
          <w:rFonts w:ascii="Arial" w:eastAsiaTheme="minorEastAsia" w:hAnsi="Arial" w:cs="Arial"/>
          <w:sz w:val="20"/>
          <w:szCs w:val="20"/>
        </w:rPr>
        <w:t>From 36.331, the configuration of RSRP-based neighbor cell measurement before RLF for NB-IoT is copied as below:</w:t>
      </w:r>
    </w:p>
    <w:tbl>
      <w:tblPr>
        <w:tblStyle w:val="TableGrid"/>
        <w:tblW w:w="0" w:type="auto"/>
        <w:tblLook w:val="04A0" w:firstRow="1" w:lastRow="0" w:firstColumn="1" w:lastColumn="0" w:noHBand="0" w:noVBand="1"/>
      </w:tblPr>
      <w:tblGrid>
        <w:gridCol w:w="9629"/>
      </w:tblGrid>
      <w:tr w:rsidR="00785CEA" w14:paraId="2A9AC3D1" w14:textId="77777777" w:rsidTr="00A92D60">
        <w:tc>
          <w:tcPr>
            <w:tcW w:w="9629" w:type="dxa"/>
          </w:tcPr>
          <w:p w14:paraId="28417B33" w14:textId="77777777" w:rsidR="00785CEA" w:rsidRDefault="00785CEA" w:rsidP="00A92D60">
            <w:pPr>
              <w:pStyle w:val="PL"/>
              <w:shd w:val="clear" w:color="auto" w:fill="E6E6E6"/>
              <w:snapToGrid w:val="0"/>
              <w:rPr>
                <w:rFonts w:ascii="Courier New" w:eastAsia="SimSun" w:hAnsi="Courier New"/>
                <w:szCs w:val="20"/>
              </w:rPr>
            </w:pPr>
            <w:r>
              <w:t>-- ASN1START</w:t>
            </w:r>
          </w:p>
          <w:p w14:paraId="73201696" w14:textId="77777777" w:rsidR="00785CEA" w:rsidRDefault="00785CEA" w:rsidP="00A92D60">
            <w:pPr>
              <w:pStyle w:val="PL"/>
              <w:shd w:val="clear" w:color="auto" w:fill="E6E6E6"/>
              <w:snapToGrid w:val="0"/>
            </w:pPr>
          </w:p>
          <w:p w14:paraId="310F6823" w14:textId="77777777" w:rsidR="00785CEA" w:rsidRDefault="00785CEA" w:rsidP="00A92D60">
            <w:pPr>
              <w:pStyle w:val="PL"/>
              <w:shd w:val="clear" w:color="auto" w:fill="E6E6E6"/>
              <w:snapToGrid w:val="0"/>
            </w:pPr>
            <w:r>
              <w:t>SystemInformationBlockType3-NB-r13 ::=</w:t>
            </w:r>
            <w:r>
              <w:tab/>
              <w:t>SEQUENCE {</w:t>
            </w:r>
          </w:p>
          <w:p w14:paraId="371AD311" w14:textId="77777777" w:rsidR="00785CEA" w:rsidRDefault="00785CEA" w:rsidP="00A92D60">
            <w:pPr>
              <w:pStyle w:val="PL"/>
              <w:shd w:val="clear" w:color="auto" w:fill="E6E6E6"/>
              <w:snapToGrid w:val="0"/>
            </w:pPr>
            <w:r>
              <w:tab/>
              <w:t>cellReselectionInfoCommon-r13</w:t>
            </w:r>
            <w:r>
              <w:tab/>
            </w:r>
            <w:r>
              <w:tab/>
            </w:r>
            <w:r>
              <w:tab/>
              <w:t>SEQUENCE {</w:t>
            </w:r>
          </w:p>
          <w:p w14:paraId="1B20108A" w14:textId="77777777" w:rsidR="00785CEA" w:rsidRDefault="00785CEA" w:rsidP="00A92D60">
            <w:pPr>
              <w:pStyle w:val="PL"/>
              <w:shd w:val="clear" w:color="auto" w:fill="E6E6E6"/>
              <w:snapToGrid w:val="0"/>
              <w:rPr>
                <w:color w:val="FF0000"/>
              </w:rPr>
            </w:pPr>
            <w:r>
              <w:rPr>
                <w:color w:val="FF0000"/>
              </w:rPr>
              <w:t>//the unrelated part is skipped//</w:t>
            </w:r>
          </w:p>
          <w:p w14:paraId="38273E0C" w14:textId="77777777" w:rsidR="00785CEA" w:rsidRDefault="00785CEA" w:rsidP="00A92D60">
            <w:pPr>
              <w:pStyle w:val="PL"/>
              <w:shd w:val="clear" w:color="auto" w:fill="E6E6E6"/>
              <w:snapToGrid w:val="0"/>
            </w:pPr>
            <w:r>
              <w:tab/>
              <w:t>]],</w:t>
            </w:r>
          </w:p>
          <w:p w14:paraId="548429E0" w14:textId="77777777" w:rsidR="00785CEA" w:rsidRDefault="00785CEA" w:rsidP="00A92D60">
            <w:pPr>
              <w:pStyle w:val="PL"/>
              <w:shd w:val="clear" w:color="auto" w:fill="E6E6E6"/>
              <w:snapToGrid w:val="0"/>
            </w:pPr>
            <w:r>
              <w:tab/>
            </w:r>
            <w:r>
              <w:rPr>
                <w:highlight w:val="yellow"/>
              </w:rPr>
              <w:t>[[</w:t>
            </w:r>
            <w:r>
              <w:rPr>
                <w:highlight w:val="yellow"/>
              </w:rPr>
              <w:tab/>
              <w:t>connMeasConfig-r17</w:t>
            </w:r>
            <w:r>
              <w:rPr>
                <w:highlight w:val="yellow"/>
              </w:rPr>
              <w:tab/>
            </w:r>
            <w:r>
              <w:rPr>
                <w:highlight w:val="yellow"/>
              </w:rPr>
              <w:tab/>
            </w:r>
            <w:r>
              <w:rPr>
                <w:highlight w:val="yellow"/>
              </w:rPr>
              <w:tab/>
            </w:r>
            <w:r>
              <w:rPr>
                <w:highlight w:val="yellow"/>
              </w:rPr>
              <w:tab/>
            </w:r>
            <w:r>
              <w:rPr>
                <w:highlight w:val="yellow"/>
              </w:rPr>
              <w:tab/>
              <w:t>ConnMeasConfig-NB-r17</w:t>
            </w:r>
            <w:r>
              <w:rPr>
                <w:highlight w:val="yellow"/>
              </w:rPr>
              <w:tab/>
              <w:t>OPTIONAL,</w:t>
            </w:r>
            <w:r>
              <w:rPr>
                <w:highlight w:val="yellow"/>
              </w:rPr>
              <w:tab/>
              <w:t>-- Need OR</w:t>
            </w:r>
          </w:p>
          <w:p w14:paraId="6D475635" w14:textId="77777777" w:rsidR="00785CEA" w:rsidRDefault="00785CEA" w:rsidP="00A92D60">
            <w:pPr>
              <w:pStyle w:val="PL"/>
              <w:shd w:val="clear" w:color="auto" w:fill="E6E6E6"/>
              <w:snapToGrid w:val="0"/>
            </w:pPr>
            <w:r>
              <w:tab/>
            </w:r>
            <w:r>
              <w:tab/>
              <w:t>t-Service-r17</w:t>
            </w:r>
            <w:r>
              <w:tab/>
            </w:r>
            <w:r>
              <w:tab/>
            </w:r>
            <w:r>
              <w:tab/>
            </w:r>
            <w:r>
              <w:tab/>
            </w:r>
            <w:r>
              <w:tab/>
            </w:r>
            <w:r>
              <w:tab/>
              <w:t>TimeOffsetUTC-r17</w:t>
            </w:r>
            <w:r>
              <w:tab/>
            </w:r>
            <w:r>
              <w:tab/>
            </w:r>
            <w:r>
              <w:tab/>
            </w:r>
            <w:r>
              <w:tab/>
              <w:t>OPTIONAL</w:t>
            </w:r>
            <w:r>
              <w:tab/>
              <w:t>-- Need OR</w:t>
            </w:r>
          </w:p>
          <w:p w14:paraId="64C3154E" w14:textId="77777777" w:rsidR="00785CEA" w:rsidRDefault="00785CEA" w:rsidP="00A92D60">
            <w:pPr>
              <w:pStyle w:val="PL"/>
              <w:shd w:val="clear" w:color="auto" w:fill="E6E6E6"/>
              <w:snapToGrid w:val="0"/>
            </w:pPr>
            <w:r>
              <w:tab/>
              <w:t>]]</w:t>
            </w:r>
          </w:p>
          <w:p w14:paraId="2B153A76" w14:textId="77777777" w:rsidR="00785CEA" w:rsidRDefault="00785CEA" w:rsidP="00A92D60">
            <w:pPr>
              <w:pStyle w:val="PL"/>
              <w:shd w:val="clear" w:color="auto" w:fill="E6E6E6"/>
              <w:snapToGrid w:val="0"/>
            </w:pPr>
            <w:r>
              <w:t>}</w:t>
            </w:r>
          </w:p>
          <w:p w14:paraId="687094A3" w14:textId="77777777" w:rsidR="00785CEA" w:rsidRDefault="00785CEA" w:rsidP="00A92D60">
            <w:pPr>
              <w:pStyle w:val="PL"/>
              <w:shd w:val="clear" w:color="auto" w:fill="E6E6E6"/>
              <w:snapToGrid w:val="0"/>
              <w:rPr>
                <w:color w:val="FF0000"/>
              </w:rPr>
            </w:pPr>
            <w:r>
              <w:rPr>
                <w:color w:val="FF0000"/>
              </w:rPr>
              <w:t>//the unrelated part is skipped//</w:t>
            </w:r>
          </w:p>
          <w:p w14:paraId="42030DE7" w14:textId="77777777" w:rsidR="00785CEA" w:rsidRPr="00785CEA" w:rsidRDefault="00785CEA" w:rsidP="00A92D60">
            <w:pPr>
              <w:pStyle w:val="PL"/>
              <w:shd w:val="clear" w:color="auto" w:fill="E6E6E6"/>
              <w:snapToGrid w:val="0"/>
              <w:rPr>
                <w:highlight w:val="yellow"/>
                <w:lang w:val="pt-PT"/>
              </w:rPr>
            </w:pPr>
            <w:r w:rsidRPr="00785CEA">
              <w:rPr>
                <w:highlight w:val="yellow"/>
                <w:lang w:val="pt-PT"/>
              </w:rPr>
              <w:t>ConnMeasConfig-NB-r17 ::= SEQUENCE {</w:t>
            </w:r>
          </w:p>
          <w:p w14:paraId="0A3924D9" w14:textId="77777777" w:rsidR="00785CEA" w:rsidRPr="00785CEA" w:rsidRDefault="00785CEA" w:rsidP="00A92D60">
            <w:pPr>
              <w:pStyle w:val="PL"/>
              <w:shd w:val="clear" w:color="auto" w:fill="E6E6E6"/>
              <w:snapToGrid w:val="0"/>
              <w:rPr>
                <w:highlight w:val="yellow"/>
                <w:lang w:val="pt-PT"/>
              </w:rPr>
            </w:pPr>
            <w:r w:rsidRPr="00785CEA">
              <w:rPr>
                <w:highlight w:val="yellow"/>
                <w:lang w:val="pt-PT"/>
              </w:rPr>
              <w:tab/>
              <w:t>s-MeasureIntra-r17</w:t>
            </w:r>
            <w:r w:rsidRPr="00785CEA">
              <w:rPr>
                <w:highlight w:val="yellow"/>
                <w:lang w:val="pt-PT"/>
              </w:rPr>
              <w:tab/>
            </w:r>
            <w:r w:rsidRPr="00785CEA">
              <w:rPr>
                <w:highlight w:val="yellow"/>
                <w:lang w:val="pt-PT"/>
              </w:rPr>
              <w:tab/>
              <w:t>NRSRP-Range-NB-r14,</w:t>
            </w:r>
          </w:p>
          <w:p w14:paraId="4D4748B6" w14:textId="77777777" w:rsidR="00785CEA" w:rsidRDefault="00785CEA" w:rsidP="00A92D60">
            <w:pPr>
              <w:pStyle w:val="PL"/>
              <w:shd w:val="clear" w:color="auto" w:fill="E6E6E6"/>
              <w:snapToGrid w:val="0"/>
              <w:rPr>
                <w:highlight w:val="yellow"/>
              </w:rPr>
            </w:pPr>
            <w:r w:rsidRPr="00785CEA">
              <w:rPr>
                <w:highlight w:val="yellow"/>
                <w:lang w:val="pt-PT"/>
              </w:rPr>
              <w:tab/>
            </w:r>
            <w:r>
              <w:rPr>
                <w:highlight w:val="yellow"/>
              </w:rPr>
              <w:t>s-MeasureInter-r17</w:t>
            </w:r>
            <w:r>
              <w:rPr>
                <w:highlight w:val="yellow"/>
              </w:rPr>
              <w:tab/>
            </w:r>
            <w:r>
              <w:rPr>
                <w:highlight w:val="yellow"/>
              </w:rPr>
              <w:tab/>
              <w:t>NRSRP-Range-NB-r14</w:t>
            </w:r>
            <w:r>
              <w:rPr>
                <w:highlight w:val="yellow"/>
              </w:rPr>
              <w:tab/>
              <w:t>OPTIONAL,</w:t>
            </w:r>
            <w:r>
              <w:rPr>
                <w:highlight w:val="yellow"/>
              </w:rPr>
              <w:tab/>
              <w:t>-- Need OP</w:t>
            </w:r>
          </w:p>
          <w:p w14:paraId="42BD4A94" w14:textId="77777777" w:rsidR="00785CEA" w:rsidRDefault="00785CEA" w:rsidP="00A92D60">
            <w:pPr>
              <w:pStyle w:val="PL"/>
              <w:shd w:val="clear" w:color="auto" w:fill="E6E6E6"/>
              <w:snapToGrid w:val="0"/>
              <w:rPr>
                <w:highlight w:val="yellow"/>
              </w:rPr>
            </w:pPr>
            <w:r>
              <w:rPr>
                <w:highlight w:val="yellow"/>
              </w:rPr>
              <w:tab/>
              <w:t>neighCellMeasCriteria-r17</w:t>
            </w:r>
            <w:r>
              <w:rPr>
                <w:highlight w:val="yellow"/>
              </w:rPr>
              <w:tab/>
            </w:r>
            <w:r>
              <w:rPr>
                <w:highlight w:val="yellow"/>
              </w:rPr>
              <w:tab/>
              <w:t>SEQUENCE {</w:t>
            </w:r>
          </w:p>
          <w:p w14:paraId="72E2EF26" w14:textId="77777777" w:rsidR="00785CEA" w:rsidRDefault="00785CEA" w:rsidP="00A92D60">
            <w:pPr>
              <w:pStyle w:val="PL"/>
              <w:shd w:val="clear" w:color="auto" w:fill="E6E6E6"/>
              <w:snapToGrid w:val="0"/>
              <w:rPr>
                <w:highlight w:val="yellow"/>
              </w:rPr>
            </w:pPr>
            <w:r>
              <w:rPr>
                <w:highlight w:val="yellow"/>
              </w:rPr>
              <w:tab/>
            </w:r>
            <w:r>
              <w:rPr>
                <w:highlight w:val="yellow"/>
              </w:rPr>
              <w:tab/>
            </w:r>
            <w:r>
              <w:rPr>
                <w:highlight w:val="yellow"/>
              </w:rPr>
              <w:tab/>
            </w:r>
            <w:r>
              <w:rPr>
                <w:highlight w:val="yellow"/>
              </w:rPr>
              <w:tab/>
              <w:t>s-MeasureDeltaP-r17</w:t>
            </w:r>
            <w:r>
              <w:rPr>
                <w:highlight w:val="yellow"/>
              </w:rPr>
              <w:tab/>
            </w:r>
            <w:r>
              <w:rPr>
                <w:highlight w:val="yellow"/>
              </w:rPr>
              <w:tab/>
              <w:t>ENUMERATED {dB6, dB9, dB12, dB15},</w:t>
            </w:r>
          </w:p>
          <w:p w14:paraId="06FD676A" w14:textId="77777777" w:rsidR="00785CEA" w:rsidRDefault="00785CEA" w:rsidP="00A92D60">
            <w:pPr>
              <w:pStyle w:val="PL"/>
              <w:shd w:val="clear" w:color="auto" w:fill="E6E6E6"/>
              <w:snapToGrid w:val="0"/>
              <w:rPr>
                <w:highlight w:val="yellow"/>
              </w:rPr>
            </w:pPr>
            <w:r>
              <w:rPr>
                <w:highlight w:val="yellow"/>
              </w:rPr>
              <w:tab/>
            </w:r>
            <w:r>
              <w:rPr>
                <w:highlight w:val="yellow"/>
              </w:rPr>
              <w:tab/>
            </w:r>
            <w:r>
              <w:rPr>
                <w:highlight w:val="yellow"/>
              </w:rPr>
              <w:tab/>
            </w:r>
            <w:r>
              <w:rPr>
                <w:highlight w:val="yellow"/>
              </w:rPr>
              <w:tab/>
              <w:t>t-MeasureDeltaP-r17</w:t>
            </w:r>
            <w:r>
              <w:rPr>
                <w:highlight w:val="yellow"/>
              </w:rPr>
              <w:tab/>
            </w:r>
            <w:r>
              <w:rPr>
                <w:highlight w:val="yellow"/>
              </w:rPr>
              <w:tab/>
              <w:t>ENUMERATED {s15, s30, s45, s60}</w:t>
            </w:r>
          </w:p>
          <w:p w14:paraId="4275027B" w14:textId="77777777" w:rsidR="00785CEA" w:rsidRDefault="00785CEA" w:rsidP="00A92D60">
            <w:pPr>
              <w:pStyle w:val="PL"/>
              <w:shd w:val="clear" w:color="auto" w:fill="E6E6E6"/>
              <w:snapToGrid w:val="0"/>
              <w:rPr>
                <w:highlight w:val="yellow"/>
              </w:rPr>
            </w:pPr>
            <w:r>
              <w:rPr>
                <w:highlight w:val="yellow"/>
              </w:rPr>
              <w:tab/>
            </w:r>
            <w:r>
              <w:rPr>
                <w:highlight w:val="yellow"/>
              </w:rPr>
              <w:tab/>
            </w:r>
            <w:r>
              <w:rPr>
                <w:highlight w:val="yellow"/>
              </w:rPr>
              <w:tab/>
              <w:t>}</w:t>
            </w:r>
            <w:r>
              <w:rPr>
                <w:highlight w:val="yellow"/>
              </w:rPr>
              <w:tab/>
              <w:t>OPTIONAL</w:t>
            </w:r>
            <w:r>
              <w:rPr>
                <w:highlight w:val="yellow"/>
              </w:rPr>
              <w:tab/>
              <w:t>-- Need OR</w:t>
            </w:r>
          </w:p>
          <w:p w14:paraId="1DED12A2" w14:textId="77777777" w:rsidR="00785CEA" w:rsidRDefault="00785CEA" w:rsidP="00A92D60">
            <w:pPr>
              <w:pStyle w:val="PL"/>
              <w:shd w:val="clear" w:color="auto" w:fill="E6E6E6"/>
              <w:snapToGrid w:val="0"/>
              <w:rPr>
                <w:highlight w:val="yellow"/>
              </w:rPr>
            </w:pPr>
          </w:p>
          <w:p w14:paraId="2AF0A48C" w14:textId="77777777" w:rsidR="00785CEA" w:rsidRDefault="00785CEA" w:rsidP="00A92D60">
            <w:pPr>
              <w:pStyle w:val="PL"/>
              <w:shd w:val="clear" w:color="auto" w:fill="E6E6E6"/>
              <w:snapToGrid w:val="0"/>
            </w:pPr>
            <w:r>
              <w:rPr>
                <w:highlight w:val="yellow"/>
              </w:rPr>
              <w:t>}</w:t>
            </w:r>
          </w:p>
          <w:p w14:paraId="6CE56493" w14:textId="77777777" w:rsidR="00785CEA" w:rsidRDefault="00785CEA" w:rsidP="00A92D60">
            <w:pPr>
              <w:pStyle w:val="PL"/>
              <w:shd w:val="clear" w:color="auto" w:fill="E6E6E6"/>
              <w:snapToGrid w:val="0"/>
            </w:pPr>
          </w:p>
          <w:p w14:paraId="375053D0" w14:textId="77777777" w:rsidR="00785CEA" w:rsidRDefault="00785CEA" w:rsidP="00A92D60">
            <w:pPr>
              <w:pStyle w:val="PL"/>
              <w:shd w:val="clear" w:color="auto" w:fill="E6E6E6"/>
              <w:snapToGrid w:val="0"/>
            </w:pPr>
            <w:r>
              <w:t>-- ASN1STOP</w:t>
            </w:r>
          </w:p>
          <w:p w14:paraId="1FAC2882" w14:textId="77777777" w:rsidR="00785CEA" w:rsidRDefault="00785CEA" w:rsidP="00A92D60">
            <w:pPr>
              <w:snapToGrid w:val="0"/>
              <w:rPr>
                <w:rFonts w:ascii="Arial" w:eastAsiaTheme="minorEastAsia" w:hAnsi="Arial" w:cs="Arial"/>
                <w:sz w:val="20"/>
                <w:szCs w:val="20"/>
              </w:rPr>
            </w:pPr>
          </w:p>
        </w:tc>
      </w:tr>
    </w:tbl>
    <w:p w14:paraId="0E56F26F" w14:textId="77777777" w:rsidR="00785CEA" w:rsidRDefault="00785CEA" w:rsidP="00785CEA">
      <w:pPr>
        <w:snapToGrid w:val="0"/>
        <w:rPr>
          <w:rFonts w:ascii="Arial" w:eastAsiaTheme="minorEastAsia" w:hAnsi="Arial" w:cs="Arial"/>
          <w:sz w:val="20"/>
          <w:szCs w:val="20"/>
        </w:rPr>
      </w:pPr>
    </w:p>
    <w:p w14:paraId="389F4712" w14:textId="0934EE57" w:rsidR="00785CEA" w:rsidRPr="003F2974" w:rsidRDefault="00785CEA" w:rsidP="00785CEA">
      <w:pPr>
        <w:pStyle w:val="Observation"/>
        <w:numPr>
          <w:ilvl w:val="0"/>
          <w:numId w:val="0"/>
        </w:numPr>
        <w:rPr>
          <w:rFonts w:ascii="Arial" w:hAnsi="Arial" w:cs="Arial"/>
          <w:b w:val="0"/>
          <w:bCs w:val="0"/>
          <w:sz w:val="22"/>
          <w:szCs w:val="22"/>
        </w:rPr>
      </w:pPr>
      <w:r>
        <w:rPr>
          <w:rFonts w:ascii="Arial" w:hAnsi="Arial" w:cs="Arial"/>
          <w:b w:val="0"/>
          <w:bCs w:val="0"/>
          <w:sz w:val="22"/>
          <w:szCs w:val="22"/>
        </w:rPr>
        <w:t xml:space="preserve">RSRP-based measurement trigger will not be </w:t>
      </w:r>
      <w:r w:rsidR="004E34DC">
        <w:rPr>
          <w:rFonts w:ascii="Arial" w:hAnsi="Arial" w:cs="Arial"/>
          <w:b w:val="0"/>
          <w:bCs w:val="0"/>
          <w:sz w:val="22"/>
          <w:szCs w:val="22"/>
        </w:rPr>
        <w:t>very useful</w:t>
      </w:r>
      <w:r>
        <w:rPr>
          <w:rFonts w:ascii="Arial" w:hAnsi="Arial" w:cs="Arial"/>
          <w:b w:val="0"/>
          <w:bCs w:val="0"/>
          <w:sz w:val="22"/>
          <w:szCs w:val="22"/>
        </w:rPr>
        <w:t xml:space="preserve"> in NTN scenario, </w:t>
      </w:r>
      <w:r w:rsidR="004E34DC">
        <w:rPr>
          <w:rFonts w:ascii="Arial" w:hAnsi="Arial" w:cs="Arial"/>
          <w:b w:val="0"/>
          <w:bCs w:val="0"/>
          <w:sz w:val="22"/>
          <w:szCs w:val="22"/>
        </w:rPr>
        <w:t xml:space="preserve">considering the </w:t>
      </w:r>
      <w:r w:rsidRPr="003F2974">
        <w:rPr>
          <w:rFonts w:ascii="Arial" w:hAnsi="Arial" w:cs="Arial"/>
          <w:b w:val="0"/>
          <w:bCs w:val="0"/>
          <w:sz w:val="22"/>
          <w:szCs w:val="22"/>
        </w:rPr>
        <w:t>connMeasConfig-r17</w:t>
      </w:r>
      <w:r>
        <w:rPr>
          <w:rFonts w:ascii="Arial" w:hAnsi="Arial" w:cs="Arial"/>
          <w:b w:val="0"/>
          <w:bCs w:val="0"/>
          <w:sz w:val="22"/>
          <w:szCs w:val="22"/>
        </w:rPr>
        <w:t xml:space="preserve"> above is optional IE, it could be left to NW whether to configure it</w:t>
      </w:r>
      <w:r w:rsidR="004E34DC">
        <w:rPr>
          <w:rFonts w:ascii="Arial" w:hAnsi="Arial" w:cs="Arial"/>
          <w:b w:val="0"/>
          <w:bCs w:val="0"/>
          <w:sz w:val="22"/>
          <w:szCs w:val="22"/>
        </w:rPr>
        <w:t xml:space="preserve"> or not</w:t>
      </w:r>
      <w:r>
        <w:rPr>
          <w:rFonts w:ascii="Arial" w:hAnsi="Arial" w:cs="Arial"/>
          <w:b w:val="0"/>
          <w:bCs w:val="0"/>
          <w:sz w:val="22"/>
          <w:szCs w:val="22"/>
        </w:rPr>
        <w:t xml:space="preserve">:  </w:t>
      </w:r>
    </w:p>
    <w:p w14:paraId="51764099" w14:textId="77777777" w:rsidR="00785CEA" w:rsidRPr="008745DE" w:rsidRDefault="00785CEA" w:rsidP="00785CEA">
      <w:pPr>
        <w:pStyle w:val="Proposal"/>
        <w:rPr>
          <w:rFonts w:ascii="Arial" w:hAnsi="Arial" w:cs="Arial"/>
          <w:sz w:val="22"/>
          <w:szCs w:val="22"/>
          <w:lang w:val="en-GB"/>
        </w:rPr>
      </w:pPr>
      <w:bookmarkStart w:id="2" w:name="_Ref126750117"/>
      <w:r w:rsidRPr="008745DE">
        <w:rPr>
          <w:rFonts w:ascii="Arial" w:hAnsi="Arial" w:cs="Arial"/>
          <w:sz w:val="22"/>
          <w:szCs w:val="22"/>
          <w:lang w:val="en-GB"/>
        </w:rPr>
        <w:t xml:space="preserve">for NB-IoT, it is up to NW whether to configure Rel-17 NRSRP-based trigger for </w:t>
      </w:r>
      <w:proofErr w:type="spellStart"/>
      <w:r w:rsidRPr="008745DE">
        <w:rPr>
          <w:rFonts w:ascii="Arial" w:hAnsi="Arial" w:cs="Arial"/>
          <w:sz w:val="22"/>
          <w:szCs w:val="22"/>
          <w:lang w:val="en-GB"/>
        </w:rPr>
        <w:t>neighboring</w:t>
      </w:r>
      <w:proofErr w:type="spellEnd"/>
      <w:r w:rsidRPr="008745DE">
        <w:rPr>
          <w:rFonts w:ascii="Arial" w:hAnsi="Arial" w:cs="Arial"/>
          <w:sz w:val="22"/>
          <w:szCs w:val="22"/>
          <w:lang w:val="en-GB"/>
        </w:rPr>
        <w:t xml:space="preserve"> measurement in RRC-connected mode.</w:t>
      </w:r>
      <w:bookmarkEnd w:id="2"/>
    </w:p>
    <w:p w14:paraId="40991D3A" w14:textId="77777777" w:rsidR="00785CEA" w:rsidRPr="003F2974" w:rsidRDefault="00785CEA" w:rsidP="00785CEA">
      <w:pPr>
        <w:pStyle w:val="Observation"/>
        <w:numPr>
          <w:ilvl w:val="0"/>
          <w:numId w:val="0"/>
        </w:numPr>
        <w:rPr>
          <w:rFonts w:ascii="Arial" w:hAnsi="Arial" w:cs="Arial"/>
          <w:b w:val="0"/>
          <w:bCs w:val="0"/>
          <w:sz w:val="22"/>
          <w:szCs w:val="22"/>
        </w:rPr>
      </w:pPr>
    </w:p>
    <w:p w14:paraId="4D030646" w14:textId="77777777" w:rsidR="00785CEA" w:rsidRPr="003F2974" w:rsidRDefault="00785CEA" w:rsidP="00785CEA">
      <w:pPr>
        <w:pStyle w:val="ListParagraph"/>
        <w:numPr>
          <w:ilvl w:val="2"/>
          <w:numId w:val="1"/>
        </w:numPr>
        <w:snapToGrid w:val="0"/>
        <w:rPr>
          <w:rFonts w:ascii="Arial" w:eastAsiaTheme="minorEastAsia" w:hAnsi="Arial" w:cs="Arial"/>
          <w:sz w:val="22"/>
        </w:rPr>
      </w:pPr>
      <w:r>
        <w:rPr>
          <w:rFonts w:ascii="Arial" w:eastAsiaTheme="minorEastAsia" w:hAnsi="Arial" w:cs="Arial"/>
          <w:sz w:val="22"/>
          <w:lang w:val="en-GB"/>
        </w:rPr>
        <w:t>Time</w:t>
      </w:r>
      <w:r w:rsidRPr="003F2974">
        <w:rPr>
          <w:rFonts w:ascii="Arial" w:eastAsiaTheme="minorEastAsia" w:hAnsi="Arial" w:cs="Arial"/>
          <w:sz w:val="22"/>
        </w:rPr>
        <w:t xml:space="preserve">-based trigger </w:t>
      </w:r>
    </w:p>
    <w:p w14:paraId="08147ADB" w14:textId="77777777" w:rsidR="00785CEA" w:rsidRDefault="00785CEA" w:rsidP="00785CEA">
      <w:pPr>
        <w:snapToGrid w:val="0"/>
        <w:rPr>
          <w:rFonts w:ascii="Arial" w:eastAsiaTheme="minorEastAsia" w:hAnsi="Arial" w:cs="Arial"/>
          <w:b/>
          <w:bCs/>
          <w:sz w:val="20"/>
          <w:szCs w:val="20"/>
        </w:rPr>
      </w:pPr>
    </w:p>
    <w:p w14:paraId="14B9EBB8" w14:textId="711EF8F7" w:rsidR="00785CEA" w:rsidRDefault="00785CEA" w:rsidP="00785CEA">
      <w:pPr>
        <w:pStyle w:val="Observation"/>
        <w:numPr>
          <w:ilvl w:val="0"/>
          <w:numId w:val="0"/>
        </w:numPr>
        <w:rPr>
          <w:rFonts w:ascii="Arial" w:hAnsi="Arial" w:cs="Arial"/>
          <w:b w:val="0"/>
          <w:bCs w:val="0"/>
          <w:sz w:val="22"/>
          <w:szCs w:val="22"/>
        </w:rPr>
      </w:pPr>
      <w:r>
        <w:rPr>
          <w:rFonts w:ascii="Arial" w:hAnsi="Arial" w:cs="Arial"/>
          <w:b w:val="0"/>
          <w:bCs w:val="0"/>
          <w:sz w:val="22"/>
          <w:szCs w:val="22"/>
        </w:rPr>
        <w:t>In</w:t>
      </w:r>
      <w:r w:rsidRPr="003F2974">
        <w:rPr>
          <w:rFonts w:ascii="Arial" w:hAnsi="Arial" w:cs="Arial"/>
          <w:b w:val="0"/>
          <w:bCs w:val="0"/>
          <w:sz w:val="22"/>
          <w:szCs w:val="22"/>
        </w:rPr>
        <w:t xml:space="preserve"> </w:t>
      </w:r>
      <w:r>
        <w:rPr>
          <w:rFonts w:ascii="Arial" w:hAnsi="Arial" w:cs="Arial"/>
          <w:b w:val="0"/>
          <w:bCs w:val="0"/>
          <w:sz w:val="22"/>
          <w:szCs w:val="22"/>
        </w:rPr>
        <w:t>RAN2#</w:t>
      </w:r>
      <w:r w:rsidR="00422E37">
        <w:rPr>
          <w:rFonts w:ascii="Arial" w:hAnsi="Arial" w:cs="Arial"/>
          <w:b w:val="0"/>
          <w:bCs w:val="0"/>
          <w:sz w:val="22"/>
          <w:szCs w:val="22"/>
        </w:rPr>
        <w:t>120</w:t>
      </w:r>
      <w:r>
        <w:rPr>
          <w:rFonts w:ascii="Arial" w:hAnsi="Arial" w:cs="Arial"/>
          <w:b w:val="0"/>
          <w:bCs w:val="0"/>
          <w:sz w:val="22"/>
          <w:szCs w:val="22"/>
        </w:rPr>
        <w:t>e meeting, we made following agreement</w:t>
      </w:r>
      <w:r w:rsidR="00422E37">
        <w:rPr>
          <w:rFonts w:ascii="Arial" w:hAnsi="Arial" w:cs="Arial"/>
          <w:b w:val="0"/>
          <w:bCs w:val="0"/>
          <w:sz w:val="22"/>
          <w:szCs w:val="22"/>
        </w:rPr>
        <w:t xml:space="preserve"> which is appliable to NB-IoT:</w:t>
      </w:r>
    </w:p>
    <w:tbl>
      <w:tblPr>
        <w:tblStyle w:val="TableGrid"/>
        <w:tblW w:w="0" w:type="auto"/>
        <w:tblLook w:val="04A0" w:firstRow="1" w:lastRow="0" w:firstColumn="1" w:lastColumn="0" w:noHBand="0" w:noVBand="1"/>
      </w:tblPr>
      <w:tblGrid>
        <w:gridCol w:w="9629"/>
      </w:tblGrid>
      <w:tr w:rsidR="00785CEA" w14:paraId="502131C3" w14:textId="77777777" w:rsidTr="00A92D60">
        <w:tc>
          <w:tcPr>
            <w:tcW w:w="9629" w:type="dxa"/>
          </w:tcPr>
          <w:p w14:paraId="2A06DCC2" w14:textId="77777777" w:rsidR="001E3C9C" w:rsidRDefault="001E3C9C" w:rsidP="001E3C9C">
            <w:pPr>
              <w:pStyle w:val="ListParagraph"/>
              <w:numPr>
                <w:ilvl w:val="0"/>
                <w:numId w:val="53"/>
              </w:numPr>
              <w:tabs>
                <w:tab w:val="left" w:pos="1723"/>
              </w:tabs>
              <w:rPr>
                <w:rFonts w:ascii="Arial" w:eastAsiaTheme="minorEastAsia" w:hAnsi="Arial" w:cs="Arial"/>
                <w:sz w:val="20"/>
                <w:szCs w:val="20"/>
                <w:lang w:val="en-GB"/>
              </w:rPr>
            </w:pPr>
            <w:r w:rsidRPr="005B3B7C">
              <w:rPr>
                <w:rFonts w:ascii="Arial" w:eastAsiaTheme="minorEastAsia" w:hAnsi="Arial" w:cs="Arial"/>
                <w:sz w:val="20"/>
                <w:szCs w:val="20"/>
                <w:lang w:val="en-GB"/>
              </w:rPr>
              <w:t>For NB-IoT</w:t>
            </w:r>
            <w:r>
              <w:rPr>
                <w:rFonts w:ascii="Arial" w:eastAsiaTheme="minorEastAsia" w:hAnsi="Arial" w:cs="Arial"/>
                <w:sz w:val="20"/>
                <w:szCs w:val="20"/>
                <w:lang w:val="en-GB"/>
              </w:rPr>
              <w:t>, quasi-earth fixed cells,</w:t>
            </w:r>
          </w:p>
          <w:p w14:paraId="644FDA30" w14:textId="77777777" w:rsidR="001E3C9C" w:rsidRPr="005B3B7C" w:rsidRDefault="001E3C9C" w:rsidP="001E3C9C">
            <w:pPr>
              <w:pStyle w:val="ListParagraph"/>
              <w:numPr>
                <w:ilvl w:val="1"/>
                <w:numId w:val="53"/>
              </w:numPr>
              <w:tabs>
                <w:tab w:val="left" w:pos="1723"/>
              </w:tabs>
              <w:rPr>
                <w:rFonts w:ascii="Arial" w:eastAsiaTheme="minorEastAsia" w:hAnsi="Arial" w:cs="Arial"/>
                <w:sz w:val="20"/>
                <w:szCs w:val="20"/>
                <w:lang w:val="en-GB"/>
              </w:rPr>
            </w:pPr>
            <w:r w:rsidRPr="005B3B7C">
              <w:rPr>
                <w:rFonts w:ascii="Arial" w:eastAsiaTheme="minorEastAsia" w:hAnsi="Arial" w:cs="Arial"/>
                <w:sz w:val="20"/>
                <w:szCs w:val="20"/>
                <w:lang w:val="en-GB"/>
              </w:rPr>
              <w:lastRenderedPageBreak/>
              <w:t xml:space="preserve">we support a trigger for neighbour cell measurements based on T-service </w:t>
            </w:r>
          </w:p>
          <w:p w14:paraId="667249DD" w14:textId="77777777" w:rsidR="001E3C9C" w:rsidRPr="005B3B7C" w:rsidRDefault="001E3C9C" w:rsidP="001E3C9C">
            <w:pPr>
              <w:pStyle w:val="ListParagraph"/>
              <w:numPr>
                <w:ilvl w:val="1"/>
                <w:numId w:val="53"/>
              </w:numPr>
              <w:tabs>
                <w:tab w:val="left" w:pos="1723"/>
              </w:tabs>
              <w:rPr>
                <w:rFonts w:ascii="Arial" w:eastAsiaTheme="minorEastAsia" w:hAnsi="Arial" w:cs="Arial"/>
                <w:sz w:val="20"/>
                <w:szCs w:val="20"/>
                <w:lang w:val="en-GB"/>
              </w:rPr>
            </w:pPr>
            <w:r w:rsidRPr="005B3B7C">
              <w:rPr>
                <w:rFonts w:ascii="Arial" w:eastAsiaTheme="minorEastAsia" w:hAnsi="Arial" w:cs="Arial"/>
                <w:sz w:val="20"/>
                <w:szCs w:val="20"/>
                <w:lang w:val="en-GB"/>
              </w:rPr>
              <w:t xml:space="preserve">UE shall start intra/inter frequency measurement in connected mode before the t-Service if present. The exact time to start measurements in connected mode before t-Service can be left to UE implementation” </w:t>
            </w:r>
          </w:p>
          <w:p w14:paraId="498888BD" w14:textId="77777777" w:rsidR="001E3C9C" w:rsidRPr="005B3B7C" w:rsidRDefault="001E3C9C" w:rsidP="001E3C9C">
            <w:pPr>
              <w:pStyle w:val="ListParagraph"/>
              <w:numPr>
                <w:ilvl w:val="1"/>
                <w:numId w:val="53"/>
              </w:numPr>
              <w:tabs>
                <w:tab w:val="left" w:pos="1723"/>
              </w:tabs>
              <w:rPr>
                <w:rFonts w:ascii="Arial" w:eastAsiaTheme="minorEastAsia" w:hAnsi="Arial" w:cs="Arial"/>
                <w:sz w:val="20"/>
                <w:szCs w:val="20"/>
                <w:lang w:val="en-GB"/>
              </w:rPr>
            </w:pPr>
            <w:r w:rsidRPr="005B3B7C">
              <w:rPr>
                <w:rFonts w:ascii="Arial" w:eastAsiaTheme="minorEastAsia" w:hAnsi="Arial" w:cs="Arial"/>
                <w:sz w:val="20"/>
                <w:szCs w:val="20"/>
                <w:lang w:val="en-GB"/>
              </w:rPr>
              <w:t>RAN2 will not specify the condition of stopping UE measurement before t-Service</w:t>
            </w:r>
          </w:p>
          <w:p w14:paraId="15F29241" w14:textId="77777777" w:rsidR="001E3C9C" w:rsidRPr="005B3B7C" w:rsidRDefault="001E3C9C" w:rsidP="001E3C9C">
            <w:pPr>
              <w:pStyle w:val="ListParagraph"/>
              <w:numPr>
                <w:ilvl w:val="0"/>
                <w:numId w:val="53"/>
              </w:numPr>
              <w:tabs>
                <w:tab w:val="left" w:pos="1723"/>
              </w:tabs>
              <w:rPr>
                <w:rFonts w:ascii="Arial" w:eastAsiaTheme="minorEastAsia" w:hAnsi="Arial" w:cs="Arial"/>
                <w:sz w:val="20"/>
                <w:szCs w:val="20"/>
                <w:lang w:val="en-GB"/>
              </w:rPr>
            </w:pPr>
            <w:r w:rsidRPr="005B3B7C">
              <w:rPr>
                <w:rFonts w:ascii="Arial" w:eastAsiaTheme="minorEastAsia" w:hAnsi="Arial" w:cs="Arial"/>
                <w:sz w:val="20"/>
                <w:szCs w:val="20"/>
                <w:lang w:val="en-GB"/>
              </w:rPr>
              <w:t xml:space="preserve">For earth-moving cell, </w:t>
            </w:r>
            <w:bookmarkStart w:id="3" w:name="_Hlk126749823"/>
            <w:r w:rsidRPr="005B3B7C">
              <w:rPr>
                <w:rFonts w:ascii="Arial" w:eastAsiaTheme="minorEastAsia" w:hAnsi="Arial" w:cs="Arial"/>
                <w:sz w:val="20"/>
                <w:szCs w:val="20"/>
                <w:lang w:val="en-GB"/>
              </w:rPr>
              <w:t>the UE derives when loss of coverage of current cell happens (how to derive this information is FFS)</w:t>
            </w:r>
            <w:bookmarkEnd w:id="3"/>
          </w:p>
          <w:p w14:paraId="3B94A23F" w14:textId="15E1880E" w:rsidR="003F03F2" w:rsidRPr="001E3C9C" w:rsidRDefault="001E3C9C" w:rsidP="001E3C9C">
            <w:pPr>
              <w:pStyle w:val="Observation"/>
              <w:numPr>
                <w:ilvl w:val="0"/>
                <w:numId w:val="53"/>
              </w:numPr>
              <w:rPr>
                <w:rFonts w:ascii="Arial" w:hAnsi="Arial" w:cs="Arial"/>
                <w:b w:val="0"/>
                <w:bCs w:val="0"/>
                <w:sz w:val="22"/>
                <w:szCs w:val="22"/>
              </w:rPr>
            </w:pPr>
            <w:r w:rsidRPr="001E3C9C">
              <w:rPr>
                <w:rFonts w:ascii="Arial" w:eastAsiaTheme="minorEastAsia" w:hAnsi="Arial" w:cs="Arial"/>
                <w:b w:val="0"/>
                <w:bCs w:val="0"/>
                <w:sz w:val="20"/>
                <w:szCs w:val="20"/>
              </w:rPr>
              <w:t>For earth-moving cell, UE shall start intra/inter frequency measurements in RRC connected mode before losing coverage. The exact time to start measurements can be left to UE implementation</w:t>
            </w:r>
          </w:p>
        </w:tc>
      </w:tr>
    </w:tbl>
    <w:p w14:paraId="247EEEBE" w14:textId="77777777" w:rsidR="00785CEA" w:rsidRPr="003F2974" w:rsidRDefault="00785CEA" w:rsidP="00785CEA">
      <w:pPr>
        <w:pStyle w:val="Observation"/>
        <w:numPr>
          <w:ilvl w:val="0"/>
          <w:numId w:val="0"/>
        </w:numPr>
        <w:rPr>
          <w:rFonts w:ascii="Arial" w:hAnsi="Arial" w:cs="Arial"/>
          <w:b w:val="0"/>
          <w:bCs w:val="0"/>
          <w:sz w:val="22"/>
          <w:szCs w:val="22"/>
        </w:rPr>
      </w:pPr>
    </w:p>
    <w:p w14:paraId="46BC82C1" w14:textId="0BBE7F63" w:rsidR="00785CEA" w:rsidRDefault="00AA7377" w:rsidP="006F24C2">
      <w:pPr>
        <w:pStyle w:val="Observation"/>
        <w:numPr>
          <w:ilvl w:val="0"/>
          <w:numId w:val="0"/>
        </w:numPr>
        <w:rPr>
          <w:rFonts w:ascii="Arial" w:hAnsi="Arial" w:cs="Arial"/>
          <w:b w:val="0"/>
          <w:bCs w:val="0"/>
          <w:sz w:val="22"/>
          <w:szCs w:val="22"/>
        </w:rPr>
      </w:pPr>
      <w:r>
        <w:rPr>
          <w:rFonts w:ascii="Arial" w:hAnsi="Arial" w:cs="Arial"/>
          <w:b w:val="0"/>
          <w:bCs w:val="0"/>
          <w:sz w:val="22"/>
          <w:szCs w:val="22"/>
        </w:rPr>
        <w:t>T-service</w:t>
      </w:r>
      <w:r w:rsidR="00671184">
        <w:rPr>
          <w:rFonts w:ascii="Arial" w:hAnsi="Arial" w:cs="Arial"/>
          <w:b w:val="0"/>
          <w:bCs w:val="0"/>
          <w:sz w:val="22"/>
          <w:szCs w:val="22"/>
        </w:rPr>
        <w:t xml:space="preserve"> based </w:t>
      </w:r>
      <w:r w:rsidR="00785CEA">
        <w:rPr>
          <w:rFonts w:ascii="Arial" w:hAnsi="Arial" w:cs="Arial"/>
          <w:b w:val="0"/>
          <w:bCs w:val="0"/>
          <w:sz w:val="22"/>
          <w:szCs w:val="22"/>
        </w:rPr>
        <w:t xml:space="preserve">trigger has been agreed for (quasi)earth fixed cell. however, we notice the event of serving cell stop covering current area can happen not only for quasi earth-fixed cell, but also for earth moving cell. because according </w:t>
      </w:r>
      <w:r w:rsidR="00785CEA" w:rsidRPr="00491D8A">
        <w:rPr>
          <w:rFonts w:ascii="Arial" w:hAnsi="Arial" w:cs="Arial"/>
          <w:b w:val="0"/>
          <w:bCs w:val="0"/>
          <w:sz w:val="22"/>
          <w:szCs w:val="22"/>
        </w:rPr>
        <w:t xml:space="preserve">to TR38.821, feeder link switch is to switch the feeder link (SRI) between different NTN GWs toward the same satellite. This may be due to e.g. maintenance, traffic offloading, or (for LEO) due to the satellite moving out of visibility with respect to the current NTN GW. These reasons for feeder link switch are valid not only for </w:t>
      </w:r>
      <w:r w:rsidR="00785CEA">
        <w:rPr>
          <w:rFonts w:ascii="Arial" w:hAnsi="Arial" w:cs="Arial"/>
          <w:b w:val="0"/>
          <w:bCs w:val="0"/>
          <w:sz w:val="22"/>
          <w:szCs w:val="22"/>
        </w:rPr>
        <w:t xml:space="preserve">quasi- </w:t>
      </w:r>
      <w:r w:rsidR="00785CEA" w:rsidRPr="00491D8A">
        <w:rPr>
          <w:rFonts w:ascii="Arial" w:hAnsi="Arial" w:cs="Arial"/>
          <w:b w:val="0"/>
          <w:bCs w:val="0"/>
          <w:sz w:val="22"/>
          <w:szCs w:val="22"/>
        </w:rPr>
        <w:t>earth fixed cell but also for earth moving cell.</w:t>
      </w:r>
      <w:r w:rsidR="00785CEA">
        <w:rPr>
          <w:rFonts w:ascii="Arial" w:hAnsi="Arial" w:cs="Arial"/>
          <w:b w:val="0"/>
          <w:bCs w:val="0"/>
          <w:sz w:val="22"/>
          <w:szCs w:val="22"/>
        </w:rPr>
        <w:t xml:space="preserve"> </w:t>
      </w:r>
    </w:p>
    <w:p w14:paraId="48F106EC" w14:textId="77777777" w:rsidR="00785CEA" w:rsidRPr="003F2974" w:rsidRDefault="00785CEA" w:rsidP="00785CEA">
      <w:pPr>
        <w:pStyle w:val="Observation"/>
        <w:numPr>
          <w:ilvl w:val="0"/>
          <w:numId w:val="0"/>
        </w:numPr>
        <w:rPr>
          <w:rFonts w:ascii="Arial" w:hAnsi="Arial" w:cs="Arial"/>
          <w:b w:val="0"/>
          <w:bCs w:val="0"/>
          <w:sz w:val="22"/>
          <w:szCs w:val="22"/>
        </w:rPr>
      </w:pPr>
    </w:p>
    <w:p w14:paraId="23ADFE3A" w14:textId="77777777" w:rsidR="00785CEA" w:rsidRDefault="00785CEA" w:rsidP="00785CEA">
      <w:pPr>
        <w:snapToGrid w:val="0"/>
        <w:rPr>
          <w:rFonts w:ascii="Arial" w:eastAsiaTheme="minorEastAsia" w:hAnsi="Arial" w:cs="Arial"/>
          <w:b/>
          <w:bCs/>
          <w:sz w:val="20"/>
          <w:szCs w:val="20"/>
        </w:rPr>
      </w:pPr>
    </w:p>
    <w:p w14:paraId="64FEAE37" w14:textId="4D7561A4" w:rsidR="00785CEA" w:rsidRPr="008745DE" w:rsidRDefault="00785CEA" w:rsidP="00785CEA">
      <w:pPr>
        <w:pStyle w:val="Proposal"/>
        <w:rPr>
          <w:rFonts w:ascii="Arial" w:hAnsi="Arial" w:cs="Arial"/>
          <w:sz w:val="22"/>
          <w:szCs w:val="22"/>
          <w:lang w:val="en-GB"/>
        </w:rPr>
      </w:pPr>
      <w:r w:rsidRPr="008745DE">
        <w:rPr>
          <w:rFonts w:ascii="Arial" w:hAnsi="Arial" w:cs="Arial"/>
          <w:sz w:val="22"/>
          <w:szCs w:val="22"/>
          <w:lang w:val="en-GB"/>
        </w:rPr>
        <w:t xml:space="preserve">For NB-IOT, triggering </w:t>
      </w:r>
      <w:r w:rsidR="007C1838" w:rsidRPr="008745DE">
        <w:rPr>
          <w:rFonts w:ascii="Arial" w:hAnsi="Arial" w:cs="Arial"/>
          <w:sz w:val="22"/>
          <w:szCs w:val="22"/>
          <w:lang w:val="en-GB"/>
        </w:rPr>
        <w:t>neighbour</w:t>
      </w:r>
      <w:r w:rsidRPr="008745DE">
        <w:rPr>
          <w:rFonts w:ascii="Arial" w:hAnsi="Arial" w:cs="Arial"/>
          <w:sz w:val="22"/>
          <w:szCs w:val="22"/>
          <w:lang w:val="en-GB"/>
        </w:rPr>
        <w:t xml:space="preserve"> </w:t>
      </w:r>
      <w:r>
        <w:rPr>
          <w:rFonts w:ascii="Arial" w:hAnsi="Arial" w:cs="Arial"/>
          <w:sz w:val="22"/>
          <w:szCs w:val="22"/>
          <w:lang w:val="en-GB"/>
        </w:rPr>
        <w:t xml:space="preserve">cell </w:t>
      </w:r>
      <w:r w:rsidRPr="008745DE">
        <w:rPr>
          <w:rFonts w:ascii="Arial" w:hAnsi="Arial" w:cs="Arial"/>
          <w:sz w:val="22"/>
          <w:szCs w:val="22"/>
          <w:lang w:val="en-GB"/>
        </w:rPr>
        <w:t>measurement based on T-service is applicable to both quasi-earth fixed cell and earth-moving cell scenarios</w:t>
      </w:r>
    </w:p>
    <w:p w14:paraId="196E6832" w14:textId="77777777" w:rsidR="00785CEA" w:rsidRDefault="00785CEA" w:rsidP="00785CEA">
      <w:pPr>
        <w:snapToGrid w:val="0"/>
        <w:rPr>
          <w:rFonts w:ascii="Arial" w:eastAsiaTheme="minorEastAsia" w:hAnsi="Arial" w:cs="Arial"/>
          <w:b/>
          <w:bCs/>
          <w:sz w:val="20"/>
          <w:szCs w:val="20"/>
        </w:rPr>
      </w:pPr>
    </w:p>
    <w:p w14:paraId="07251814" w14:textId="77777777" w:rsidR="00785CEA" w:rsidRDefault="00785CEA" w:rsidP="00785CEA">
      <w:pPr>
        <w:pStyle w:val="Observation"/>
        <w:numPr>
          <w:ilvl w:val="0"/>
          <w:numId w:val="0"/>
        </w:numPr>
        <w:rPr>
          <w:rFonts w:ascii="Arial" w:hAnsi="Arial" w:cs="Arial"/>
          <w:b w:val="0"/>
          <w:bCs w:val="0"/>
          <w:sz w:val="22"/>
          <w:szCs w:val="22"/>
        </w:rPr>
      </w:pPr>
    </w:p>
    <w:p w14:paraId="35197708" w14:textId="56A642EC" w:rsidR="00785CEA" w:rsidRDefault="001E3C9C" w:rsidP="00785CEA">
      <w:pPr>
        <w:pStyle w:val="Observation"/>
        <w:numPr>
          <w:ilvl w:val="0"/>
          <w:numId w:val="0"/>
        </w:numPr>
        <w:rPr>
          <w:rFonts w:ascii="Arial" w:hAnsi="Arial" w:cs="Arial"/>
          <w:b w:val="0"/>
          <w:bCs w:val="0"/>
          <w:sz w:val="22"/>
          <w:szCs w:val="22"/>
        </w:rPr>
      </w:pPr>
      <w:r>
        <w:rPr>
          <w:rFonts w:ascii="Arial" w:hAnsi="Arial" w:cs="Arial"/>
          <w:b w:val="0"/>
          <w:bCs w:val="0"/>
          <w:sz w:val="22"/>
          <w:szCs w:val="22"/>
        </w:rPr>
        <w:t>moreover, T</w:t>
      </w:r>
      <w:r w:rsidRPr="003F2974">
        <w:rPr>
          <w:rFonts w:ascii="Arial" w:hAnsi="Arial" w:cs="Arial"/>
          <w:b w:val="0"/>
          <w:bCs w:val="0"/>
          <w:sz w:val="22"/>
          <w:szCs w:val="22"/>
        </w:rPr>
        <w:t>-Service-r17</w:t>
      </w:r>
      <w:r>
        <w:rPr>
          <w:rFonts w:ascii="Arial" w:hAnsi="Arial" w:cs="Arial"/>
          <w:b w:val="0"/>
          <w:bCs w:val="0"/>
          <w:sz w:val="22"/>
          <w:szCs w:val="22"/>
        </w:rPr>
        <w:t xml:space="preserve"> is already included in system information and can be informed to UE. there is no need of extra signalling. UE behaviour can be further specified.</w:t>
      </w:r>
    </w:p>
    <w:p w14:paraId="43624654" w14:textId="77777777" w:rsidR="007C1838" w:rsidRDefault="007C1838" w:rsidP="00785CEA">
      <w:pPr>
        <w:pStyle w:val="Observation"/>
        <w:numPr>
          <w:ilvl w:val="0"/>
          <w:numId w:val="0"/>
        </w:numPr>
        <w:rPr>
          <w:rFonts w:ascii="Arial" w:hAnsi="Arial" w:cs="Arial"/>
          <w:b w:val="0"/>
          <w:bCs w:val="0"/>
          <w:sz w:val="22"/>
          <w:szCs w:val="22"/>
        </w:rPr>
      </w:pPr>
    </w:p>
    <w:p w14:paraId="229FC425" w14:textId="65960C27" w:rsidR="001E3C9C" w:rsidRPr="007C1838" w:rsidRDefault="001E3C9C" w:rsidP="001E3C9C">
      <w:pPr>
        <w:pStyle w:val="Proposal"/>
        <w:rPr>
          <w:rFonts w:ascii="Arial" w:hAnsi="Arial" w:cs="Arial"/>
          <w:sz w:val="22"/>
          <w:szCs w:val="22"/>
          <w:lang w:val="en-GB"/>
        </w:rPr>
      </w:pPr>
      <w:r w:rsidRPr="007C1838">
        <w:rPr>
          <w:rFonts w:ascii="Arial" w:hAnsi="Arial" w:cs="Arial"/>
          <w:sz w:val="22"/>
          <w:szCs w:val="22"/>
          <w:lang w:val="en-GB"/>
        </w:rPr>
        <w:t xml:space="preserve">RAN2 confirm no need to specify extra signalling rather than re-use T-Service-r17 </w:t>
      </w:r>
    </w:p>
    <w:p w14:paraId="58086ED3" w14:textId="5690754F" w:rsidR="001E3C9C" w:rsidRDefault="001E3C9C" w:rsidP="00785CEA">
      <w:pPr>
        <w:pStyle w:val="Observation"/>
        <w:numPr>
          <w:ilvl w:val="0"/>
          <w:numId w:val="0"/>
        </w:numPr>
        <w:rPr>
          <w:rFonts w:ascii="Arial" w:hAnsi="Arial" w:cs="Arial"/>
          <w:b w:val="0"/>
          <w:bCs w:val="0"/>
          <w:sz w:val="22"/>
          <w:szCs w:val="22"/>
        </w:rPr>
      </w:pPr>
    </w:p>
    <w:p w14:paraId="7EF13DAC" w14:textId="77777777" w:rsidR="001E3C9C" w:rsidRPr="00EC63D9" w:rsidRDefault="001E3C9C" w:rsidP="00785CEA">
      <w:pPr>
        <w:pStyle w:val="Observation"/>
        <w:numPr>
          <w:ilvl w:val="0"/>
          <w:numId w:val="0"/>
        </w:numPr>
        <w:rPr>
          <w:rFonts w:ascii="Arial" w:eastAsia="DengXian" w:hAnsi="Arial" w:cs="Arial"/>
          <w:b w:val="0"/>
          <w:bCs w:val="0"/>
          <w:sz w:val="22"/>
          <w:szCs w:val="22"/>
        </w:rPr>
      </w:pPr>
    </w:p>
    <w:p w14:paraId="2CF8377D" w14:textId="77777777" w:rsidR="00785CEA" w:rsidRDefault="00785CEA" w:rsidP="00785CEA">
      <w:pPr>
        <w:pStyle w:val="Observation"/>
        <w:numPr>
          <w:ilvl w:val="0"/>
          <w:numId w:val="0"/>
        </w:numPr>
        <w:rPr>
          <w:rFonts w:ascii="Arial" w:eastAsiaTheme="minorEastAsia" w:hAnsi="Arial" w:cs="Arial"/>
          <w:b w:val="0"/>
          <w:bCs w:val="0"/>
          <w:sz w:val="20"/>
          <w:szCs w:val="20"/>
        </w:rPr>
      </w:pPr>
      <w:r w:rsidRPr="008745DE">
        <w:rPr>
          <w:rFonts w:ascii="Arial" w:hAnsi="Arial" w:cs="Arial"/>
          <w:b w:val="0"/>
          <w:bCs w:val="0"/>
          <w:sz w:val="22"/>
          <w:szCs w:val="22"/>
        </w:rPr>
        <w:t xml:space="preserve">For NB-IOT, </w:t>
      </w:r>
      <w:r>
        <w:rPr>
          <w:rFonts w:ascii="Arial" w:hAnsi="Arial" w:cs="Arial"/>
          <w:b w:val="0"/>
          <w:bCs w:val="0"/>
          <w:sz w:val="22"/>
          <w:szCs w:val="22"/>
        </w:rPr>
        <w:t>UE should keep the connection to serving cell as long as possible, hence, as long as serving cell is available, there is no need to trigger RLF, we see no reason to use the neighbour cell time information (start time) to trigger measurement before RLF</w:t>
      </w:r>
      <w:r w:rsidRPr="008745DE">
        <w:rPr>
          <w:rFonts w:ascii="Arial" w:hAnsi="Arial" w:cs="Arial"/>
          <w:b w:val="0"/>
          <w:bCs w:val="0"/>
          <w:sz w:val="22"/>
          <w:szCs w:val="22"/>
        </w:rPr>
        <w:t xml:space="preserve"> </w:t>
      </w:r>
    </w:p>
    <w:p w14:paraId="4975781F" w14:textId="77777777" w:rsidR="00785CEA" w:rsidRDefault="00785CEA" w:rsidP="00785CEA">
      <w:pPr>
        <w:snapToGrid w:val="0"/>
        <w:rPr>
          <w:rFonts w:ascii="Arial" w:eastAsiaTheme="minorEastAsia" w:hAnsi="Arial" w:cs="Arial"/>
          <w:b/>
          <w:bCs/>
          <w:sz w:val="20"/>
          <w:szCs w:val="20"/>
        </w:rPr>
      </w:pPr>
    </w:p>
    <w:p w14:paraId="3A8E2291" w14:textId="58D96626" w:rsidR="00785CEA" w:rsidRDefault="00785CEA" w:rsidP="00785CEA">
      <w:pPr>
        <w:pStyle w:val="Proposal"/>
        <w:rPr>
          <w:rFonts w:ascii="Arial" w:hAnsi="Arial" w:cs="Arial"/>
          <w:sz w:val="22"/>
          <w:szCs w:val="22"/>
          <w:lang w:val="en-GB"/>
        </w:rPr>
      </w:pPr>
      <w:r w:rsidRPr="008745DE">
        <w:rPr>
          <w:rFonts w:ascii="Arial" w:hAnsi="Arial" w:cs="Arial"/>
          <w:sz w:val="22"/>
          <w:szCs w:val="22"/>
          <w:lang w:val="en-GB"/>
        </w:rPr>
        <w:t xml:space="preserve">For NB-IOT, no need to use the start time of </w:t>
      </w:r>
      <w:r w:rsidR="00017E10" w:rsidRPr="008745DE">
        <w:rPr>
          <w:rFonts w:ascii="Arial" w:hAnsi="Arial" w:cs="Arial"/>
          <w:sz w:val="22"/>
          <w:szCs w:val="22"/>
          <w:lang w:val="en-GB"/>
        </w:rPr>
        <w:t>neighbour</w:t>
      </w:r>
      <w:r w:rsidRPr="008745DE">
        <w:rPr>
          <w:rFonts w:ascii="Arial" w:hAnsi="Arial" w:cs="Arial"/>
          <w:sz w:val="22"/>
          <w:szCs w:val="22"/>
          <w:lang w:val="en-GB"/>
        </w:rPr>
        <w:t xml:space="preserve"> cell for </w:t>
      </w:r>
      <w:proofErr w:type="spellStart"/>
      <w:r w:rsidRPr="008745DE">
        <w:rPr>
          <w:rFonts w:ascii="Arial" w:hAnsi="Arial" w:cs="Arial"/>
          <w:sz w:val="22"/>
          <w:szCs w:val="22"/>
          <w:lang w:val="en-GB"/>
        </w:rPr>
        <w:t>neighbor</w:t>
      </w:r>
      <w:proofErr w:type="spellEnd"/>
      <w:r w:rsidRPr="008745DE">
        <w:rPr>
          <w:rFonts w:ascii="Arial" w:hAnsi="Arial" w:cs="Arial"/>
          <w:sz w:val="22"/>
          <w:szCs w:val="22"/>
          <w:lang w:val="en-GB"/>
        </w:rPr>
        <w:t xml:space="preserve"> cell measurement enhancement </w:t>
      </w:r>
    </w:p>
    <w:p w14:paraId="79D0DE54" w14:textId="77777777" w:rsidR="00785CEA" w:rsidRDefault="00785CEA" w:rsidP="00785CEA">
      <w:pPr>
        <w:pStyle w:val="Proposal"/>
        <w:numPr>
          <w:ilvl w:val="0"/>
          <w:numId w:val="0"/>
        </w:numPr>
        <w:ind w:left="1446" w:hanging="1304"/>
        <w:rPr>
          <w:rFonts w:ascii="Arial" w:hAnsi="Arial" w:cs="Arial"/>
          <w:sz w:val="22"/>
          <w:szCs w:val="22"/>
          <w:lang w:val="en-GB"/>
        </w:rPr>
      </w:pPr>
    </w:p>
    <w:p w14:paraId="5CEE2B8F" w14:textId="77777777" w:rsidR="00785CEA" w:rsidRPr="008745DE" w:rsidRDefault="00785CEA" w:rsidP="00785CEA">
      <w:pPr>
        <w:pStyle w:val="Proposal"/>
        <w:numPr>
          <w:ilvl w:val="0"/>
          <w:numId w:val="0"/>
        </w:numPr>
        <w:ind w:left="1446" w:hanging="1304"/>
        <w:rPr>
          <w:rFonts w:ascii="Arial" w:hAnsi="Arial" w:cs="Arial"/>
          <w:sz w:val="22"/>
          <w:szCs w:val="22"/>
          <w:lang w:val="en-GB"/>
        </w:rPr>
      </w:pPr>
    </w:p>
    <w:p w14:paraId="3809EE48" w14:textId="77777777" w:rsidR="00785CEA" w:rsidRDefault="00785CEA" w:rsidP="00785CEA">
      <w:pPr>
        <w:snapToGrid w:val="0"/>
        <w:rPr>
          <w:rFonts w:ascii="Arial" w:eastAsiaTheme="minorEastAsia" w:hAnsi="Arial" w:cs="Arial"/>
          <w:b/>
          <w:bCs/>
          <w:sz w:val="20"/>
          <w:szCs w:val="20"/>
        </w:rPr>
      </w:pPr>
    </w:p>
    <w:p w14:paraId="7007181F" w14:textId="77777777" w:rsidR="00785CEA" w:rsidRPr="003F2974" w:rsidRDefault="00785CEA" w:rsidP="00785CEA">
      <w:pPr>
        <w:pStyle w:val="ListParagraph"/>
        <w:numPr>
          <w:ilvl w:val="2"/>
          <w:numId w:val="1"/>
        </w:numPr>
        <w:snapToGrid w:val="0"/>
        <w:rPr>
          <w:rFonts w:ascii="Arial" w:eastAsiaTheme="minorEastAsia" w:hAnsi="Arial" w:cs="Arial"/>
          <w:sz w:val="22"/>
        </w:rPr>
      </w:pPr>
      <w:r>
        <w:rPr>
          <w:rFonts w:ascii="Arial" w:eastAsiaTheme="minorEastAsia" w:hAnsi="Arial" w:cs="Arial"/>
          <w:sz w:val="22"/>
          <w:lang w:val="en-GB"/>
        </w:rPr>
        <w:t>Location</w:t>
      </w:r>
      <w:r w:rsidRPr="003F2974">
        <w:rPr>
          <w:rFonts w:ascii="Arial" w:eastAsiaTheme="minorEastAsia" w:hAnsi="Arial" w:cs="Arial"/>
          <w:sz w:val="22"/>
        </w:rPr>
        <w:t xml:space="preserve">-based trigger </w:t>
      </w:r>
    </w:p>
    <w:p w14:paraId="5B35408A" w14:textId="77777777" w:rsidR="00785CEA" w:rsidRPr="00B82BA3" w:rsidRDefault="00785CEA" w:rsidP="00785CEA">
      <w:pPr>
        <w:pStyle w:val="Observation"/>
        <w:numPr>
          <w:ilvl w:val="0"/>
          <w:numId w:val="0"/>
        </w:numPr>
        <w:rPr>
          <w:rFonts w:ascii="Arial" w:hAnsi="Arial" w:cs="Arial"/>
          <w:b w:val="0"/>
          <w:bCs w:val="0"/>
          <w:sz w:val="22"/>
          <w:szCs w:val="22"/>
        </w:rPr>
      </w:pPr>
    </w:p>
    <w:p w14:paraId="648605D5" w14:textId="13915671" w:rsidR="005751F8" w:rsidRDefault="005A781D" w:rsidP="005A781D">
      <w:pPr>
        <w:pStyle w:val="Observation"/>
        <w:numPr>
          <w:ilvl w:val="0"/>
          <w:numId w:val="0"/>
        </w:numPr>
        <w:rPr>
          <w:rFonts w:ascii="Arial" w:hAnsi="Arial" w:cs="Arial"/>
          <w:b w:val="0"/>
          <w:bCs w:val="0"/>
          <w:sz w:val="22"/>
          <w:szCs w:val="22"/>
        </w:rPr>
      </w:pPr>
      <w:r>
        <w:rPr>
          <w:rFonts w:ascii="Arial" w:hAnsi="Arial" w:cs="Arial"/>
          <w:b w:val="0"/>
          <w:bCs w:val="0"/>
          <w:sz w:val="22"/>
          <w:szCs w:val="22"/>
        </w:rPr>
        <w:t>For earth moving cell case, we agreed that t</w:t>
      </w:r>
      <w:r w:rsidRPr="005A781D">
        <w:rPr>
          <w:rFonts w:ascii="Arial" w:hAnsi="Arial" w:cs="Arial"/>
          <w:b w:val="0"/>
          <w:bCs w:val="0"/>
          <w:sz w:val="22"/>
          <w:szCs w:val="22"/>
        </w:rPr>
        <w:t>he UE derives when loss of coverage of current cell happens (how to derive this information is FFS)</w:t>
      </w:r>
      <w:r>
        <w:rPr>
          <w:rFonts w:ascii="Arial" w:hAnsi="Arial" w:cs="Arial"/>
          <w:b w:val="0"/>
          <w:bCs w:val="0"/>
          <w:sz w:val="22"/>
          <w:szCs w:val="22"/>
        </w:rPr>
        <w:t>. One solution is to derive</w:t>
      </w:r>
      <w:r w:rsidR="005751F8">
        <w:rPr>
          <w:rFonts w:ascii="Arial" w:hAnsi="Arial" w:cs="Arial"/>
          <w:b w:val="0"/>
          <w:bCs w:val="0"/>
          <w:sz w:val="22"/>
          <w:szCs w:val="22"/>
        </w:rPr>
        <w:t xml:space="preserve"> time</w:t>
      </w:r>
      <w:r>
        <w:rPr>
          <w:rFonts w:ascii="Arial" w:hAnsi="Arial" w:cs="Arial"/>
          <w:b w:val="0"/>
          <w:bCs w:val="0"/>
          <w:sz w:val="22"/>
          <w:szCs w:val="22"/>
        </w:rPr>
        <w:t xml:space="preserve"> when the coverage will be lost</w:t>
      </w:r>
      <w:r w:rsidR="005751F8">
        <w:rPr>
          <w:rFonts w:ascii="Arial" w:hAnsi="Arial" w:cs="Arial"/>
          <w:b w:val="0"/>
          <w:bCs w:val="0"/>
          <w:sz w:val="22"/>
          <w:szCs w:val="22"/>
        </w:rPr>
        <w:t xml:space="preserve">. </w:t>
      </w:r>
      <w:r w:rsidR="00017E10">
        <w:rPr>
          <w:rFonts w:ascii="Arial" w:hAnsi="Arial" w:cs="Arial"/>
          <w:b w:val="0"/>
          <w:bCs w:val="0"/>
          <w:sz w:val="22"/>
          <w:szCs w:val="22"/>
        </w:rPr>
        <w:t xml:space="preserve">For </w:t>
      </w:r>
      <w:r w:rsidR="005751F8">
        <w:rPr>
          <w:rFonts w:ascii="Arial" w:hAnsi="Arial" w:cs="Arial"/>
          <w:b w:val="0"/>
          <w:bCs w:val="0"/>
          <w:sz w:val="22"/>
          <w:szCs w:val="22"/>
        </w:rPr>
        <w:t xml:space="preserve">earth moving cell, different UEs will move out of the serving cell coverage at different time. it might be possible for UE to calculate when it will be out of coverage, however, it </w:t>
      </w:r>
      <w:r w:rsidR="00017E10">
        <w:rPr>
          <w:rFonts w:ascii="Arial" w:hAnsi="Arial" w:cs="Arial"/>
          <w:b w:val="0"/>
          <w:bCs w:val="0"/>
          <w:sz w:val="22"/>
          <w:szCs w:val="22"/>
        </w:rPr>
        <w:t>more</w:t>
      </w:r>
      <w:r w:rsidR="005751F8">
        <w:rPr>
          <w:rFonts w:ascii="Arial" w:hAnsi="Arial" w:cs="Arial"/>
          <w:b w:val="0"/>
          <w:bCs w:val="0"/>
          <w:sz w:val="22"/>
          <w:szCs w:val="22"/>
        </w:rPr>
        <w:t xml:space="preserve"> </w:t>
      </w:r>
      <w:proofErr w:type="spellStart"/>
      <w:r w:rsidR="005751F8">
        <w:rPr>
          <w:rFonts w:ascii="Arial" w:hAnsi="Arial" w:cs="Arial"/>
          <w:b w:val="0"/>
          <w:bCs w:val="0"/>
          <w:sz w:val="22"/>
          <w:szCs w:val="22"/>
        </w:rPr>
        <w:t>more</w:t>
      </w:r>
      <w:proofErr w:type="spellEnd"/>
      <w:r w:rsidR="005751F8">
        <w:rPr>
          <w:rFonts w:ascii="Arial" w:hAnsi="Arial" w:cs="Arial"/>
          <w:b w:val="0"/>
          <w:bCs w:val="0"/>
          <w:sz w:val="22"/>
          <w:szCs w:val="22"/>
        </w:rPr>
        <w:t xml:space="preserve"> straight forward to use location-based trigger in this case</w:t>
      </w:r>
      <w:r w:rsidR="00017E10">
        <w:rPr>
          <w:rFonts w:ascii="Arial" w:hAnsi="Arial" w:cs="Arial"/>
          <w:b w:val="0"/>
          <w:bCs w:val="0"/>
          <w:sz w:val="22"/>
          <w:szCs w:val="22"/>
        </w:rPr>
        <w:t>, coverage will be lost if UE is far away from the moving cell centre.</w:t>
      </w:r>
    </w:p>
    <w:p w14:paraId="24F9E1E6" w14:textId="77777777" w:rsidR="00785CEA" w:rsidRPr="00B82BA3" w:rsidRDefault="00785CEA" w:rsidP="00785CEA">
      <w:pPr>
        <w:pStyle w:val="Observation"/>
        <w:numPr>
          <w:ilvl w:val="0"/>
          <w:numId w:val="0"/>
        </w:numPr>
        <w:rPr>
          <w:rFonts w:ascii="Arial" w:hAnsi="Arial" w:cs="Arial"/>
          <w:b w:val="0"/>
          <w:bCs w:val="0"/>
          <w:sz w:val="22"/>
          <w:szCs w:val="22"/>
        </w:rPr>
      </w:pPr>
    </w:p>
    <w:p w14:paraId="215C0062" w14:textId="24B7C241" w:rsidR="00785CEA" w:rsidRDefault="00017E10" w:rsidP="00785CEA">
      <w:pPr>
        <w:pStyle w:val="Observation"/>
        <w:numPr>
          <w:ilvl w:val="0"/>
          <w:numId w:val="0"/>
        </w:numPr>
        <w:rPr>
          <w:rFonts w:ascii="Arial" w:hAnsi="Arial" w:cs="Arial"/>
          <w:b w:val="0"/>
          <w:bCs w:val="0"/>
          <w:sz w:val="22"/>
          <w:szCs w:val="22"/>
        </w:rPr>
      </w:pPr>
      <w:r>
        <w:rPr>
          <w:rFonts w:ascii="Arial" w:hAnsi="Arial" w:cs="Arial"/>
          <w:b w:val="0"/>
          <w:bCs w:val="0"/>
          <w:sz w:val="22"/>
          <w:szCs w:val="22"/>
        </w:rPr>
        <w:t xml:space="preserve">Besides, </w:t>
      </w:r>
      <w:r w:rsidR="00785CEA">
        <w:rPr>
          <w:rFonts w:ascii="Arial" w:hAnsi="Arial" w:cs="Arial"/>
          <w:b w:val="0"/>
          <w:bCs w:val="0"/>
          <w:sz w:val="22"/>
          <w:szCs w:val="22"/>
        </w:rPr>
        <w:t xml:space="preserve">location-based trigger </w:t>
      </w:r>
      <w:r>
        <w:rPr>
          <w:rFonts w:ascii="Arial" w:hAnsi="Arial" w:cs="Arial"/>
          <w:b w:val="0"/>
          <w:bCs w:val="0"/>
          <w:sz w:val="22"/>
          <w:szCs w:val="22"/>
        </w:rPr>
        <w:t>is not only useful</w:t>
      </w:r>
      <w:r w:rsidR="00785CEA">
        <w:rPr>
          <w:rFonts w:ascii="Arial" w:hAnsi="Arial" w:cs="Arial"/>
          <w:b w:val="0"/>
          <w:bCs w:val="0"/>
          <w:sz w:val="22"/>
          <w:szCs w:val="22"/>
        </w:rPr>
        <w:t xml:space="preserve"> for earth moving cell, but it is also useful for earth-fixed cell to cover the case where UE moves out of the coverage. </w:t>
      </w:r>
    </w:p>
    <w:p w14:paraId="6187828C" w14:textId="77777777" w:rsidR="00785CEA" w:rsidRPr="00B82BA3" w:rsidRDefault="00785CEA" w:rsidP="00785CEA">
      <w:pPr>
        <w:pStyle w:val="Observation"/>
        <w:numPr>
          <w:ilvl w:val="0"/>
          <w:numId w:val="0"/>
        </w:numPr>
        <w:rPr>
          <w:rFonts w:ascii="Arial" w:hAnsi="Arial" w:cs="Arial"/>
          <w:b w:val="0"/>
          <w:bCs w:val="0"/>
          <w:sz w:val="22"/>
          <w:szCs w:val="22"/>
        </w:rPr>
      </w:pPr>
    </w:p>
    <w:p w14:paraId="26A8119F" w14:textId="77777777" w:rsidR="00785CEA" w:rsidRPr="00B82BA3" w:rsidRDefault="00785CEA" w:rsidP="00785CEA">
      <w:pPr>
        <w:pStyle w:val="Proposal"/>
        <w:rPr>
          <w:rFonts w:ascii="Arial" w:hAnsi="Arial" w:cs="Arial"/>
          <w:sz w:val="22"/>
          <w:szCs w:val="22"/>
          <w:lang w:val="en-GB"/>
        </w:rPr>
      </w:pPr>
      <w:r w:rsidRPr="00B82BA3">
        <w:rPr>
          <w:rFonts w:ascii="Arial" w:hAnsi="Arial" w:cs="Arial"/>
          <w:sz w:val="22"/>
          <w:szCs w:val="22"/>
          <w:lang w:val="en-GB"/>
        </w:rPr>
        <w:t>for NB-IOT, agree to introduce location-based trigger of connected mode measurement for both earth fixed and earth moving cell</w:t>
      </w:r>
    </w:p>
    <w:p w14:paraId="18B8D5A8" w14:textId="77777777" w:rsidR="00785CEA" w:rsidRDefault="00785CEA" w:rsidP="00785CEA">
      <w:pPr>
        <w:snapToGrid w:val="0"/>
        <w:rPr>
          <w:rFonts w:ascii="Arial" w:eastAsiaTheme="minorEastAsia" w:hAnsi="Arial" w:cs="Arial"/>
          <w:b/>
          <w:bCs/>
          <w:sz w:val="20"/>
          <w:szCs w:val="20"/>
        </w:rPr>
      </w:pPr>
    </w:p>
    <w:p w14:paraId="05E96028" w14:textId="77777777" w:rsidR="00785CEA" w:rsidRDefault="00785CEA" w:rsidP="00785CEA">
      <w:pPr>
        <w:snapToGrid w:val="0"/>
        <w:rPr>
          <w:rFonts w:ascii="Arial" w:eastAsiaTheme="minorEastAsia" w:hAnsi="Arial" w:cs="Arial"/>
          <w:b/>
          <w:bCs/>
          <w:sz w:val="20"/>
          <w:szCs w:val="20"/>
        </w:rPr>
      </w:pPr>
    </w:p>
    <w:p w14:paraId="651A9501" w14:textId="77777777" w:rsidR="00785CEA" w:rsidRPr="003F2974" w:rsidRDefault="00785CEA" w:rsidP="00785CEA">
      <w:pPr>
        <w:pStyle w:val="ListParagraph"/>
        <w:numPr>
          <w:ilvl w:val="2"/>
          <w:numId w:val="1"/>
        </w:numPr>
        <w:snapToGrid w:val="0"/>
        <w:rPr>
          <w:rFonts w:ascii="Arial" w:eastAsiaTheme="minorEastAsia" w:hAnsi="Arial" w:cs="Arial"/>
          <w:sz w:val="22"/>
        </w:rPr>
      </w:pPr>
      <w:r>
        <w:rPr>
          <w:rFonts w:ascii="Arial" w:eastAsiaTheme="minorEastAsia" w:hAnsi="Arial" w:cs="Arial"/>
          <w:sz w:val="22"/>
          <w:lang w:val="en-GB"/>
        </w:rPr>
        <w:t>Combination of trigger types</w:t>
      </w:r>
    </w:p>
    <w:p w14:paraId="47D3233A" w14:textId="77777777" w:rsidR="00785CEA" w:rsidRPr="008745DE" w:rsidRDefault="00785CEA" w:rsidP="00785CEA">
      <w:pPr>
        <w:pStyle w:val="Observation"/>
        <w:numPr>
          <w:ilvl w:val="0"/>
          <w:numId w:val="0"/>
        </w:numPr>
        <w:rPr>
          <w:rFonts w:ascii="Arial" w:hAnsi="Arial" w:cs="Arial"/>
          <w:b w:val="0"/>
          <w:bCs w:val="0"/>
          <w:sz w:val="22"/>
          <w:szCs w:val="22"/>
        </w:rPr>
      </w:pPr>
    </w:p>
    <w:p w14:paraId="09FB3613" w14:textId="77777777" w:rsidR="00785CEA" w:rsidRDefault="00785CEA" w:rsidP="00785CEA">
      <w:pPr>
        <w:pStyle w:val="Observation"/>
        <w:numPr>
          <w:ilvl w:val="0"/>
          <w:numId w:val="0"/>
        </w:numPr>
        <w:rPr>
          <w:rFonts w:ascii="Arial" w:hAnsi="Arial" w:cs="Arial"/>
          <w:b w:val="0"/>
          <w:bCs w:val="0"/>
          <w:sz w:val="22"/>
          <w:szCs w:val="22"/>
        </w:rPr>
      </w:pPr>
      <w:r w:rsidRPr="008745DE">
        <w:rPr>
          <w:rFonts w:ascii="Arial" w:hAnsi="Arial" w:cs="Arial"/>
          <w:b w:val="0"/>
          <w:bCs w:val="0"/>
          <w:sz w:val="22"/>
          <w:szCs w:val="22"/>
        </w:rPr>
        <w:lastRenderedPageBreak/>
        <w:t>In our understanding,</w:t>
      </w:r>
      <w:r>
        <w:rPr>
          <w:rFonts w:ascii="Arial" w:hAnsi="Arial" w:cs="Arial"/>
          <w:b w:val="0"/>
          <w:bCs w:val="0"/>
          <w:sz w:val="22"/>
          <w:szCs w:val="22"/>
        </w:rPr>
        <w:t xml:space="preserve"> RSRP-based trigger might be not used, and </w:t>
      </w:r>
      <w:r w:rsidRPr="008745DE">
        <w:rPr>
          <w:rFonts w:ascii="Arial" w:hAnsi="Arial" w:cs="Arial"/>
          <w:b w:val="0"/>
          <w:bCs w:val="0"/>
          <w:sz w:val="22"/>
          <w:szCs w:val="22"/>
        </w:rPr>
        <w:t>time</w:t>
      </w:r>
      <w:r>
        <w:rPr>
          <w:rFonts w:ascii="Arial" w:hAnsi="Arial" w:cs="Arial"/>
          <w:b w:val="0"/>
          <w:bCs w:val="0"/>
          <w:sz w:val="22"/>
          <w:szCs w:val="22"/>
        </w:rPr>
        <w:t xml:space="preserve">-based and location-based triggers are for different use cases, then can be used independently. </w:t>
      </w:r>
    </w:p>
    <w:p w14:paraId="05562DC1" w14:textId="77777777" w:rsidR="00785CEA" w:rsidRDefault="00785CEA" w:rsidP="00785CEA">
      <w:pPr>
        <w:pStyle w:val="Observation"/>
        <w:numPr>
          <w:ilvl w:val="0"/>
          <w:numId w:val="0"/>
        </w:numPr>
        <w:rPr>
          <w:rFonts w:ascii="Arial" w:hAnsi="Arial" w:cs="Arial"/>
          <w:b w:val="0"/>
          <w:bCs w:val="0"/>
          <w:sz w:val="22"/>
          <w:szCs w:val="22"/>
        </w:rPr>
      </w:pPr>
    </w:p>
    <w:p w14:paraId="5625F717" w14:textId="77777777" w:rsidR="00785CEA" w:rsidRPr="00B82BA3" w:rsidRDefault="00785CEA" w:rsidP="00785CEA">
      <w:pPr>
        <w:pStyle w:val="Proposal"/>
        <w:rPr>
          <w:rFonts w:ascii="Arial" w:hAnsi="Arial" w:cs="Arial"/>
          <w:sz w:val="22"/>
          <w:szCs w:val="22"/>
          <w:lang w:val="en-GB"/>
        </w:rPr>
      </w:pPr>
      <w:r>
        <w:rPr>
          <w:rFonts w:ascii="Arial" w:hAnsi="Arial" w:cs="Arial"/>
          <w:sz w:val="22"/>
          <w:szCs w:val="22"/>
          <w:lang w:val="en-GB"/>
        </w:rPr>
        <w:t xml:space="preserve">All </w:t>
      </w:r>
      <w:r w:rsidRPr="00B82BA3">
        <w:rPr>
          <w:rFonts w:ascii="Arial" w:hAnsi="Arial" w:cs="Arial"/>
          <w:sz w:val="22"/>
          <w:szCs w:val="22"/>
          <w:lang w:val="en-GB"/>
        </w:rPr>
        <w:t>trigger</w:t>
      </w:r>
      <w:r>
        <w:rPr>
          <w:rFonts w:ascii="Arial" w:hAnsi="Arial" w:cs="Arial"/>
          <w:sz w:val="22"/>
          <w:szCs w:val="22"/>
          <w:lang w:val="en-GB"/>
        </w:rPr>
        <w:t xml:space="preserve"> types</w:t>
      </w:r>
      <w:r w:rsidRPr="00B82BA3">
        <w:rPr>
          <w:rFonts w:ascii="Arial" w:hAnsi="Arial" w:cs="Arial"/>
          <w:sz w:val="22"/>
          <w:szCs w:val="22"/>
          <w:lang w:val="en-GB"/>
        </w:rPr>
        <w:t xml:space="preserve"> (time-based, location-based and legacy RSRP-based) for neighbour cell measurement before RLF are used independently </w:t>
      </w:r>
    </w:p>
    <w:p w14:paraId="1B4EBDC4" w14:textId="77777777" w:rsidR="00785CEA" w:rsidRPr="00785CEA" w:rsidRDefault="00785CEA" w:rsidP="00785CEA">
      <w:pPr>
        <w:rPr>
          <w:lang w:val="en-GB"/>
        </w:rPr>
      </w:pPr>
    </w:p>
    <w:p w14:paraId="0264546E" w14:textId="5268487B" w:rsidR="00C808DC" w:rsidRDefault="007B2A8E" w:rsidP="00C808DC">
      <w:pPr>
        <w:pStyle w:val="Heading2"/>
      </w:pPr>
      <w:r>
        <w:t xml:space="preserve">Neighbour cell measurement enhancement for </w:t>
      </w:r>
      <w:proofErr w:type="spellStart"/>
      <w:r>
        <w:t>eMTC</w:t>
      </w:r>
      <w:proofErr w:type="spellEnd"/>
    </w:p>
    <w:p w14:paraId="06C19036" w14:textId="50A7F75C" w:rsidR="00C808DC" w:rsidRDefault="009D5C95" w:rsidP="000631A1">
      <w:pPr>
        <w:tabs>
          <w:tab w:val="left" w:pos="1723"/>
        </w:tabs>
        <w:rPr>
          <w:rFonts w:ascii="Arial" w:eastAsiaTheme="minorEastAsia" w:hAnsi="Arial" w:cs="Arial"/>
          <w:sz w:val="20"/>
          <w:szCs w:val="20"/>
          <w:lang w:val="en-GB"/>
        </w:rPr>
      </w:pPr>
      <w:r>
        <w:rPr>
          <w:rFonts w:ascii="Arial" w:eastAsiaTheme="minorEastAsia" w:hAnsi="Arial" w:cs="Arial"/>
          <w:sz w:val="20"/>
          <w:szCs w:val="20"/>
          <w:lang w:val="en-GB"/>
        </w:rPr>
        <w:t>In past RAN2 meetings and also last RANP, it has been discussed extensively whether</w:t>
      </w:r>
      <w:r w:rsidR="000631A1">
        <w:rPr>
          <w:rFonts w:ascii="Arial" w:eastAsiaTheme="minorEastAsia" w:hAnsi="Arial" w:cs="Arial"/>
          <w:sz w:val="20"/>
          <w:szCs w:val="20"/>
          <w:lang w:val="en-GB"/>
        </w:rPr>
        <w:t xml:space="preserve"> </w:t>
      </w:r>
      <w:r w:rsidR="00D46036">
        <w:rPr>
          <w:rFonts w:ascii="Arial" w:eastAsiaTheme="minorEastAsia" w:hAnsi="Arial" w:cs="Arial"/>
          <w:sz w:val="20"/>
          <w:szCs w:val="20"/>
          <w:lang w:val="en-GB"/>
        </w:rPr>
        <w:t xml:space="preserve">the objective of neighbour cell measurement enhancement is applicable </w:t>
      </w:r>
      <w:r w:rsidR="00A25E6C">
        <w:rPr>
          <w:rFonts w:ascii="Arial" w:eastAsiaTheme="minorEastAsia" w:hAnsi="Arial" w:cs="Arial"/>
          <w:sz w:val="20"/>
          <w:szCs w:val="20"/>
          <w:lang w:val="en-GB"/>
        </w:rPr>
        <w:t xml:space="preserve">to </w:t>
      </w:r>
      <w:proofErr w:type="spellStart"/>
      <w:r w:rsidR="00A25E6C">
        <w:rPr>
          <w:rFonts w:ascii="Arial" w:eastAsiaTheme="minorEastAsia" w:hAnsi="Arial" w:cs="Arial"/>
          <w:sz w:val="20"/>
          <w:szCs w:val="20"/>
          <w:lang w:val="en-GB"/>
        </w:rPr>
        <w:t>eMTC</w:t>
      </w:r>
      <w:proofErr w:type="spellEnd"/>
      <w:r w:rsidR="00A25E6C">
        <w:rPr>
          <w:rFonts w:ascii="Arial" w:eastAsiaTheme="minorEastAsia" w:hAnsi="Arial" w:cs="Arial"/>
          <w:sz w:val="20"/>
          <w:szCs w:val="20"/>
          <w:lang w:val="en-GB"/>
        </w:rPr>
        <w:t xml:space="preserve"> or</w:t>
      </w:r>
      <w:r w:rsidR="000D2904">
        <w:rPr>
          <w:rFonts w:ascii="Arial" w:eastAsiaTheme="minorEastAsia" w:hAnsi="Arial" w:cs="Arial"/>
          <w:sz w:val="20"/>
          <w:szCs w:val="20"/>
          <w:lang w:val="en-GB"/>
        </w:rPr>
        <w:t xml:space="preserve"> </w:t>
      </w:r>
      <w:r w:rsidR="00A25E6C">
        <w:rPr>
          <w:rFonts w:ascii="Arial" w:eastAsiaTheme="minorEastAsia" w:hAnsi="Arial" w:cs="Arial"/>
          <w:sz w:val="20"/>
          <w:szCs w:val="20"/>
          <w:lang w:val="en-GB"/>
        </w:rPr>
        <w:t>not.</w:t>
      </w:r>
      <w:r w:rsidR="000631A1">
        <w:rPr>
          <w:rFonts w:ascii="Arial" w:eastAsiaTheme="minorEastAsia" w:hAnsi="Arial" w:cs="Arial"/>
          <w:sz w:val="20"/>
          <w:szCs w:val="20"/>
          <w:lang w:val="en-GB"/>
        </w:rPr>
        <w:t xml:space="preserve"> </w:t>
      </w:r>
    </w:p>
    <w:p w14:paraId="04DFB87A" w14:textId="1A20BE9D" w:rsidR="000631A1" w:rsidRDefault="000631A1" w:rsidP="000631A1">
      <w:pPr>
        <w:tabs>
          <w:tab w:val="left" w:pos="1723"/>
        </w:tabs>
        <w:rPr>
          <w:rFonts w:ascii="Arial" w:eastAsiaTheme="minorEastAsia" w:hAnsi="Arial" w:cs="Arial"/>
          <w:sz w:val="20"/>
          <w:szCs w:val="20"/>
          <w:lang w:val="en-GB"/>
        </w:rPr>
      </w:pPr>
    </w:p>
    <w:p w14:paraId="0FE978AA" w14:textId="5FC8BE80" w:rsidR="008C3946" w:rsidRDefault="003C78E5" w:rsidP="000631A1">
      <w:pPr>
        <w:tabs>
          <w:tab w:val="left" w:pos="1723"/>
        </w:tabs>
        <w:rPr>
          <w:rFonts w:ascii="Arial" w:eastAsiaTheme="minorEastAsia" w:hAnsi="Arial" w:cs="Arial"/>
          <w:sz w:val="20"/>
          <w:szCs w:val="20"/>
          <w:lang w:val="en-GB"/>
        </w:rPr>
      </w:pPr>
      <w:r>
        <w:rPr>
          <w:rFonts w:ascii="Arial" w:eastAsiaTheme="minorEastAsia" w:hAnsi="Arial" w:cs="Arial"/>
          <w:sz w:val="20"/>
          <w:szCs w:val="20"/>
          <w:lang w:val="en-GB"/>
        </w:rPr>
        <w:t>When neighbour cell measurement linked to</w:t>
      </w:r>
      <w:r w:rsidR="000631A1">
        <w:rPr>
          <w:rFonts w:ascii="Arial" w:eastAsiaTheme="minorEastAsia" w:hAnsi="Arial" w:cs="Arial"/>
          <w:sz w:val="20"/>
          <w:szCs w:val="20"/>
          <w:lang w:val="en-GB"/>
        </w:rPr>
        <w:t xml:space="preserve"> RLF, </w:t>
      </w:r>
      <w:r>
        <w:rPr>
          <w:rFonts w:ascii="Arial" w:eastAsiaTheme="minorEastAsia" w:hAnsi="Arial" w:cs="Arial"/>
          <w:sz w:val="20"/>
          <w:szCs w:val="20"/>
          <w:lang w:val="en-GB"/>
        </w:rPr>
        <w:t xml:space="preserve">only </w:t>
      </w:r>
      <w:r w:rsidR="000631A1">
        <w:rPr>
          <w:rFonts w:ascii="Arial" w:eastAsiaTheme="minorEastAsia" w:hAnsi="Arial" w:cs="Arial"/>
          <w:sz w:val="20"/>
          <w:szCs w:val="20"/>
          <w:lang w:val="en-GB"/>
        </w:rPr>
        <w:t>NB-IOT</w:t>
      </w:r>
      <w:r>
        <w:rPr>
          <w:rFonts w:ascii="Arial" w:eastAsiaTheme="minorEastAsia" w:hAnsi="Arial" w:cs="Arial"/>
          <w:sz w:val="20"/>
          <w:szCs w:val="20"/>
          <w:lang w:val="en-GB"/>
        </w:rPr>
        <w:t xml:space="preserve"> has</w:t>
      </w:r>
      <w:r w:rsidR="000631A1">
        <w:rPr>
          <w:rFonts w:ascii="Arial" w:eastAsiaTheme="minorEastAsia" w:hAnsi="Arial" w:cs="Arial"/>
          <w:sz w:val="20"/>
          <w:szCs w:val="20"/>
          <w:lang w:val="en-GB"/>
        </w:rPr>
        <w:t xml:space="preserve"> predicable RLF, because there is no support of HO</w:t>
      </w:r>
      <w:r w:rsidR="001318E4">
        <w:rPr>
          <w:rFonts w:ascii="Arial" w:eastAsiaTheme="minorEastAsia" w:hAnsi="Arial" w:cs="Arial"/>
          <w:sz w:val="20"/>
          <w:szCs w:val="20"/>
          <w:lang w:val="en-GB"/>
        </w:rPr>
        <w:t>, RLF will happen</w:t>
      </w:r>
      <w:r w:rsidR="006A7720" w:rsidRPr="006A7720">
        <w:rPr>
          <w:rFonts w:ascii="Arial" w:eastAsiaTheme="minorEastAsia" w:hAnsi="Arial" w:cs="Arial"/>
          <w:sz w:val="20"/>
          <w:szCs w:val="20"/>
          <w:lang w:val="en-GB"/>
        </w:rPr>
        <w:t xml:space="preserve"> </w:t>
      </w:r>
      <w:r w:rsidR="006A7720">
        <w:rPr>
          <w:rFonts w:ascii="Arial" w:eastAsiaTheme="minorEastAsia" w:hAnsi="Arial" w:cs="Arial"/>
          <w:sz w:val="20"/>
          <w:szCs w:val="20"/>
          <w:lang w:val="en-GB"/>
        </w:rPr>
        <w:t>e.g., at the time when serving cell stop to serve the coverage area or when UE is moving too far away from cell centre</w:t>
      </w:r>
      <w:r w:rsidR="000631A1">
        <w:rPr>
          <w:rFonts w:ascii="Arial" w:eastAsiaTheme="minorEastAsia" w:hAnsi="Arial" w:cs="Arial"/>
          <w:sz w:val="20"/>
          <w:szCs w:val="20"/>
          <w:lang w:val="en-GB"/>
        </w:rPr>
        <w:t xml:space="preserve">. </w:t>
      </w:r>
      <w:r w:rsidR="008C3946">
        <w:rPr>
          <w:rFonts w:ascii="Arial" w:eastAsiaTheme="minorEastAsia" w:hAnsi="Arial" w:cs="Arial"/>
          <w:sz w:val="20"/>
          <w:szCs w:val="20"/>
          <w:lang w:val="en-GB"/>
        </w:rPr>
        <w:t>H</w:t>
      </w:r>
      <w:r w:rsidR="000631A1">
        <w:rPr>
          <w:rFonts w:ascii="Arial" w:eastAsiaTheme="minorEastAsia" w:hAnsi="Arial" w:cs="Arial"/>
          <w:sz w:val="20"/>
          <w:szCs w:val="20"/>
          <w:lang w:val="en-GB"/>
        </w:rPr>
        <w:t xml:space="preserve">ence </w:t>
      </w:r>
      <w:r w:rsidR="008C3946">
        <w:rPr>
          <w:rFonts w:ascii="Arial" w:eastAsiaTheme="minorEastAsia" w:hAnsi="Arial" w:cs="Arial"/>
          <w:sz w:val="20"/>
          <w:szCs w:val="20"/>
          <w:lang w:val="en-GB"/>
        </w:rPr>
        <w:t>network</w:t>
      </w:r>
      <w:r w:rsidR="000631A1">
        <w:rPr>
          <w:rFonts w:ascii="Arial" w:eastAsiaTheme="minorEastAsia" w:hAnsi="Arial" w:cs="Arial"/>
          <w:sz w:val="20"/>
          <w:szCs w:val="20"/>
          <w:lang w:val="en-GB"/>
        </w:rPr>
        <w:t xml:space="preserve"> can configure time or location</w:t>
      </w:r>
      <w:r w:rsidR="008C3946">
        <w:rPr>
          <w:rFonts w:ascii="Arial" w:eastAsiaTheme="minorEastAsia" w:hAnsi="Arial" w:cs="Arial"/>
          <w:sz w:val="20"/>
          <w:szCs w:val="20"/>
          <w:lang w:val="en-GB"/>
        </w:rPr>
        <w:t>-</w:t>
      </w:r>
      <w:r w:rsidR="000631A1">
        <w:rPr>
          <w:rFonts w:ascii="Arial" w:eastAsiaTheme="minorEastAsia" w:hAnsi="Arial" w:cs="Arial"/>
          <w:sz w:val="20"/>
          <w:szCs w:val="20"/>
          <w:lang w:val="en-GB"/>
        </w:rPr>
        <w:t>based trigger for neighbour cell measurement before RLF. Differently from NB-IOT case</w:t>
      </w:r>
      <w:r w:rsidR="008C3946">
        <w:rPr>
          <w:rFonts w:ascii="Arial" w:eastAsiaTheme="minorEastAsia" w:hAnsi="Arial" w:cs="Arial"/>
          <w:sz w:val="20"/>
          <w:szCs w:val="20"/>
          <w:lang w:val="en-GB"/>
        </w:rPr>
        <w:t>,</w:t>
      </w:r>
      <w:r w:rsidR="008C3946" w:rsidRPr="008C3946">
        <w:rPr>
          <w:rFonts w:ascii="Arial" w:eastAsiaTheme="minorEastAsia" w:hAnsi="Arial" w:cs="Arial"/>
          <w:sz w:val="20"/>
          <w:szCs w:val="20"/>
          <w:lang w:val="en-GB"/>
        </w:rPr>
        <w:t xml:space="preserve"> </w:t>
      </w:r>
      <w:r w:rsidR="008C3946">
        <w:rPr>
          <w:rFonts w:ascii="Arial" w:eastAsiaTheme="minorEastAsia" w:hAnsi="Arial" w:cs="Arial"/>
          <w:sz w:val="20"/>
          <w:szCs w:val="20"/>
          <w:lang w:val="en-GB"/>
        </w:rPr>
        <w:t>HO /CHO is supported</w:t>
      </w:r>
      <w:r w:rsidR="003151F4">
        <w:rPr>
          <w:rFonts w:ascii="Arial" w:eastAsiaTheme="minorEastAsia" w:hAnsi="Arial" w:cs="Arial"/>
          <w:sz w:val="20"/>
          <w:szCs w:val="20"/>
          <w:lang w:val="en-GB"/>
        </w:rPr>
        <w:t xml:space="preserve"> for </w:t>
      </w:r>
      <w:proofErr w:type="spellStart"/>
      <w:r w:rsidR="003151F4">
        <w:rPr>
          <w:rFonts w:ascii="Arial" w:eastAsiaTheme="minorEastAsia" w:hAnsi="Arial" w:cs="Arial"/>
          <w:sz w:val="20"/>
          <w:szCs w:val="20"/>
          <w:lang w:val="en-GB"/>
        </w:rPr>
        <w:t>eMTC</w:t>
      </w:r>
      <w:proofErr w:type="spellEnd"/>
      <w:r w:rsidR="008C3946">
        <w:rPr>
          <w:rFonts w:ascii="Arial" w:eastAsiaTheme="minorEastAsia" w:hAnsi="Arial" w:cs="Arial"/>
          <w:sz w:val="20"/>
          <w:szCs w:val="20"/>
          <w:lang w:val="en-GB"/>
        </w:rPr>
        <w:t xml:space="preserve">, then RLF for </w:t>
      </w:r>
      <w:proofErr w:type="spellStart"/>
      <w:r w:rsidR="008C3946">
        <w:rPr>
          <w:rFonts w:ascii="Arial" w:eastAsiaTheme="minorEastAsia" w:hAnsi="Arial" w:cs="Arial"/>
          <w:sz w:val="20"/>
          <w:szCs w:val="20"/>
          <w:lang w:val="en-GB"/>
        </w:rPr>
        <w:t>eMTC</w:t>
      </w:r>
      <w:proofErr w:type="spellEnd"/>
      <w:r w:rsidR="008C3946">
        <w:rPr>
          <w:rFonts w:ascii="Arial" w:eastAsiaTheme="minorEastAsia" w:hAnsi="Arial" w:cs="Arial"/>
          <w:sz w:val="20"/>
          <w:szCs w:val="20"/>
          <w:lang w:val="en-GB"/>
        </w:rPr>
        <w:t xml:space="preserve"> </w:t>
      </w:r>
      <w:r w:rsidR="003151F4">
        <w:rPr>
          <w:rFonts w:ascii="Arial" w:eastAsiaTheme="minorEastAsia" w:hAnsi="Arial" w:cs="Arial"/>
          <w:sz w:val="20"/>
          <w:szCs w:val="20"/>
          <w:lang w:val="en-GB"/>
        </w:rPr>
        <w:t xml:space="preserve">only </w:t>
      </w:r>
      <w:r w:rsidR="008C3946">
        <w:rPr>
          <w:rFonts w:ascii="Arial" w:eastAsiaTheme="minorEastAsia" w:hAnsi="Arial" w:cs="Arial"/>
          <w:sz w:val="20"/>
          <w:szCs w:val="20"/>
          <w:lang w:val="en-GB"/>
        </w:rPr>
        <w:t xml:space="preserve">covers unpredictable radio link issues, </w:t>
      </w:r>
      <w:r w:rsidR="003151F4">
        <w:rPr>
          <w:rFonts w:ascii="Arial" w:eastAsiaTheme="minorEastAsia" w:hAnsi="Arial" w:cs="Arial"/>
          <w:sz w:val="20"/>
          <w:szCs w:val="20"/>
          <w:lang w:val="en-GB"/>
        </w:rPr>
        <w:t xml:space="preserve">hence </w:t>
      </w:r>
      <w:r w:rsidR="008C3946">
        <w:rPr>
          <w:rFonts w:ascii="Arial" w:eastAsiaTheme="minorEastAsia" w:hAnsi="Arial" w:cs="Arial"/>
          <w:sz w:val="20"/>
          <w:szCs w:val="20"/>
          <w:lang w:val="en-GB"/>
        </w:rPr>
        <w:t>there is no way network could configure neighbour cell measurement trigger before RLF, instead we use the cell stop time and distance condition for CHO configuration. So in our understanding</w:t>
      </w:r>
      <w:r w:rsidR="008C3946" w:rsidRPr="008C3946">
        <w:t xml:space="preserve"> </w:t>
      </w:r>
      <w:r w:rsidR="008C3946" w:rsidRPr="008C3946">
        <w:rPr>
          <w:rFonts w:ascii="Arial" w:eastAsiaTheme="minorEastAsia" w:hAnsi="Arial" w:cs="Arial"/>
          <w:sz w:val="20"/>
          <w:szCs w:val="20"/>
          <w:lang w:val="en-GB"/>
        </w:rPr>
        <w:t xml:space="preserve">that triggering neighbour cell measurement before RLF is intended for NB-IoT </w:t>
      </w:r>
      <w:r w:rsidR="008C3946">
        <w:rPr>
          <w:rFonts w:ascii="Arial" w:eastAsiaTheme="minorEastAsia" w:hAnsi="Arial" w:cs="Arial"/>
          <w:sz w:val="20"/>
          <w:szCs w:val="20"/>
          <w:lang w:val="en-GB"/>
        </w:rPr>
        <w:t xml:space="preserve">but not for </w:t>
      </w:r>
      <w:proofErr w:type="spellStart"/>
      <w:r w:rsidR="008C3946">
        <w:rPr>
          <w:rFonts w:ascii="Arial" w:eastAsiaTheme="minorEastAsia" w:hAnsi="Arial" w:cs="Arial"/>
          <w:sz w:val="20"/>
          <w:szCs w:val="20"/>
          <w:lang w:val="en-GB"/>
        </w:rPr>
        <w:t>eMTC</w:t>
      </w:r>
      <w:proofErr w:type="spellEnd"/>
      <w:r w:rsidR="008C3946">
        <w:rPr>
          <w:rFonts w:ascii="Arial" w:eastAsiaTheme="minorEastAsia" w:hAnsi="Arial" w:cs="Arial"/>
          <w:sz w:val="20"/>
          <w:szCs w:val="20"/>
          <w:lang w:val="en-GB"/>
        </w:rPr>
        <w:t xml:space="preserve">. </w:t>
      </w:r>
    </w:p>
    <w:p w14:paraId="071ED9BF" w14:textId="18432D6A" w:rsidR="008C3946" w:rsidRDefault="008C3946" w:rsidP="000631A1">
      <w:pPr>
        <w:tabs>
          <w:tab w:val="left" w:pos="1723"/>
        </w:tabs>
        <w:rPr>
          <w:rFonts w:ascii="Arial" w:eastAsiaTheme="minorEastAsia" w:hAnsi="Arial" w:cs="Arial"/>
          <w:sz w:val="20"/>
          <w:szCs w:val="20"/>
          <w:lang w:val="en-GB"/>
        </w:rPr>
      </w:pPr>
    </w:p>
    <w:p w14:paraId="3E8F0ADB" w14:textId="77777777" w:rsidR="00BE62A4" w:rsidRPr="00BE62A4" w:rsidRDefault="00BE62A4" w:rsidP="00017E10">
      <w:pPr>
        <w:pStyle w:val="Proposal"/>
        <w:rPr>
          <w:rFonts w:eastAsiaTheme="minorEastAsia"/>
          <w:sz w:val="20"/>
          <w:szCs w:val="20"/>
        </w:rPr>
      </w:pPr>
      <w:r w:rsidRPr="00BE62A4">
        <w:t xml:space="preserve">No need to support neighbour cell measurements and corresponding measurement triggering before RLF for </w:t>
      </w:r>
      <w:proofErr w:type="spellStart"/>
      <w:r w:rsidRPr="00BE62A4">
        <w:t>eMTC</w:t>
      </w:r>
      <w:proofErr w:type="spellEnd"/>
      <w:r w:rsidRPr="00BE62A4">
        <w:t xml:space="preserve"> over NTN</w:t>
      </w:r>
    </w:p>
    <w:p w14:paraId="5F899757" w14:textId="7179DAC4" w:rsidR="008C3946" w:rsidRDefault="008C3946" w:rsidP="008C3946">
      <w:pPr>
        <w:pStyle w:val="Observation"/>
        <w:numPr>
          <w:ilvl w:val="0"/>
          <w:numId w:val="0"/>
        </w:numPr>
        <w:rPr>
          <w:rFonts w:ascii="Arial" w:hAnsi="Arial" w:cs="Arial"/>
          <w:sz w:val="22"/>
          <w:szCs w:val="22"/>
        </w:rPr>
      </w:pPr>
    </w:p>
    <w:p w14:paraId="1639015A" w14:textId="77777777" w:rsidR="008C3946" w:rsidRPr="00CF6DAB" w:rsidRDefault="008C3946" w:rsidP="008C3946">
      <w:pPr>
        <w:pStyle w:val="Observation"/>
        <w:numPr>
          <w:ilvl w:val="0"/>
          <w:numId w:val="0"/>
        </w:numPr>
        <w:ind w:left="360" w:hanging="360"/>
        <w:rPr>
          <w:rFonts w:ascii="Arial" w:eastAsia="DengXian" w:hAnsi="Arial" w:cs="Arial"/>
          <w:b w:val="0"/>
          <w:bCs w:val="0"/>
          <w:sz w:val="20"/>
          <w:szCs w:val="20"/>
        </w:rPr>
      </w:pPr>
    </w:p>
    <w:p w14:paraId="6133A2D5" w14:textId="7387C59F" w:rsidR="00FE2654" w:rsidRPr="00FE2654" w:rsidRDefault="00BE62A4" w:rsidP="00FE2654">
      <w:pPr>
        <w:pStyle w:val="Observation"/>
        <w:numPr>
          <w:ilvl w:val="0"/>
          <w:numId w:val="0"/>
        </w:numPr>
        <w:rPr>
          <w:rFonts w:ascii="Arial" w:hAnsi="Arial" w:cs="Arial"/>
          <w:b w:val="0"/>
          <w:bCs w:val="0"/>
          <w:sz w:val="22"/>
          <w:szCs w:val="22"/>
        </w:rPr>
      </w:pPr>
      <w:r>
        <w:rPr>
          <w:rFonts w:ascii="Arial" w:hAnsi="Arial" w:cs="Arial"/>
          <w:b w:val="0"/>
          <w:bCs w:val="0"/>
          <w:sz w:val="22"/>
          <w:szCs w:val="22"/>
        </w:rPr>
        <w:t>Other than this, companies may want to</w:t>
      </w:r>
      <w:r w:rsidR="00FE2654">
        <w:rPr>
          <w:rFonts w:ascii="Arial" w:hAnsi="Arial" w:cs="Arial"/>
          <w:b w:val="0"/>
          <w:bCs w:val="0"/>
          <w:sz w:val="22"/>
          <w:szCs w:val="22"/>
        </w:rPr>
        <w:t xml:space="preserve"> enhance </w:t>
      </w:r>
      <w:proofErr w:type="spellStart"/>
      <w:r w:rsidR="00FE2654">
        <w:rPr>
          <w:rFonts w:ascii="Arial" w:hAnsi="Arial" w:cs="Arial"/>
          <w:b w:val="0"/>
          <w:bCs w:val="0"/>
          <w:sz w:val="22"/>
          <w:szCs w:val="22"/>
        </w:rPr>
        <w:t>S_measure</w:t>
      </w:r>
      <w:proofErr w:type="spellEnd"/>
      <w:r w:rsidR="00FE2654">
        <w:rPr>
          <w:rFonts w:ascii="Arial" w:hAnsi="Arial" w:cs="Arial"/>
          <w:b w:val="0"/>
          <w:bCs w:val="0"/>
          <w:sz w:val="22"/>
          <w:szCs w:val="22"/>
        </w:rPr>
        <w:t xml:space="preserve">. </w:t>
      </w:r>
      <w:r w:rsidR="008745DE">
        <w:rPr>
          <w:rFonts w:ascii="Arial" w:hAnsi="Arial" w:cs="Arial"/>
          <w:b w:val="0"/>
          <w:bCs w:val="0"/>
          <w:sz w:val="22"/>
          <w:szCs w:val="22"/>
        </w:rPr>
        <w:t>however, enhancement</w:t>
      </w:r>
      <w:r w:rsidR="00FE2654">
        <w:rPr>
          <w:rFonts w:ascii="Arial" w:hAnsi="Arial" w:cs="Arial"/>
          <w:b w:val="0"/>
          <w:bCs w:val="0"/>
          <w:sz w:val="22"/>
          <w:szCs w:val="22"/>
        </w:rPr>
        <w:t xml:space="preserve"> on S-measure is not even agreed or discussed in NR NTN.</w:t>
      </w:r>
      <w:r w:rsidR="008956B1">
        <w:rPr>
          <w:rFonts w:ascii="Arial" w:hAnsi="Arial" w:cs="Arial"/>
          <w:b w:val="0"/>
          <w:bCs w:val="0"/>
          <w:sz w:val="22"/>
          <w:szCs w:val="22"/>
        </w:rPr>
        <w:t xml:space="preserve"> But we can discuss based on contribution</w:t>
      </w:r>
    </w:p>
    <w:p w14:paraId="6431FAE5" w14:textId="77777777" w:rsidR="008C3946" w:rsidRDefault="008C3946" w:rsidP="000631A1">
      <w:pPr>
        <w:tabs>
          <w:tab w:val="left" w:pos="1723"/>
        </w:tabs>
        <w:rPr>
          <w:rFonts w:ascii="Arial" w:eastAsiaTheme="minorEastAsia" w:hAnsi="Arial" w:cs="Arial"/>
          <w:sz w:val="20"/>
          <w:szCs w:val="20"/>
          <w:lang w:val="en-GB"/>
        </w:rPr>
      </w:pPr>
    </w:p>
    <w:p w14:paraId="5400B403" w14:textId="599488C1" w:rsidR="00FE2654" w:rsidRDefault="00FE2654" w:rsidP="00FE2654">
      <w:pPr>
        <w:pStyle w:val="Observation"/>
        <w:numPr>
          <w:ilvl w:val="0"/>
          <w:numId w:val="0"/>
        </w:numPr>
        <w:rPr>
          <w:rFonts w:ascii="Arial" w:hAnsi="Arial" w:cs="Arial"/>
          <w:sz w:val="22"/>
          <w:szCs w:val="22"/>
        </w:rPr>
      </w:pPr>
    </w:p>
    <w:p w14:paraId="3AEC27C0" w14:textId="715B1B39" w:rsidR="00FE2654" w:rsidRPr="007B4954" w:rsidRDefault="00FE2654" w:rsidP="00FE2654">
      <w:pPr>
        <w:pStyle w:val="Proposal"/>
        <w:rPr>
          <w:rFonts w:ascii="Arial" w:eastAsiaTheme="minorEastAsia" w:hAnsi="Arial" w:cs="Arial"/>
          <w:sz w:val="20"/>
          <w:szCs w:val="20"/>
        </w:rPr>
      </w:pPr>
      <w:r>
        <w:rPr>
          <w:rFonts w:ascii="Arial" w:hAnsi="Arial" w:cs="Arial"/>
          <w:sz w:val="22"/>
          <w:szCs w:val="22"/>
        </w:rPr>
        <w:t>trigger</w:t>
      </w:r>
      <w:r w:rsidR="003151F4">
        <w:rPr>
          <w:rFonts w:ascii="Arial" w:hAnsi="Arial" w:cs="Arial"/>
          <w:sz w:val="22"/>
          <w:szCs w:val="22"/>
          <w:lang w:val="en-GB"/>
        </w:rPr>
        <w:t>ing</w:t>
      </w:r>
      <w:r>
        <w:rPr>
          <w:rFonts w:ascii="Arial" w:hAnsi="Arial" w:cs="Arial"/>
          <w:sz w:val="22"/>
          <w:szCs w:val="22"/>
        </w:rPr>
        <w:t xml:space="preserve"> neighbour cell measurement </w:t>
      </w:r>
      <w:r w:rsidR="00934627">
        <w:rPr>
          <w:rFonts w:ascii="Arial" w:hAnsi="Arial" w:cs="Arial"/>
          <w:sz w:val="22"/>
          <w:szCs w:val="22"/>
          <w:lang w:val="en-GB"/>
        </w:rPr>
        <w:t>can be</w:t>
      </w:r>
      <w:r w:rsidR="00B82BA3">
        <w:rPr>
          <w:rFonts w:ascii="Arial" w:hAnsi="Arial" w:cs="Arial"/>
          <w:sz w:val="22"/>
          <w:szCs w:val="22"/>
          <w:lang w:val="en-GB"/>
        </w:rPr>
        <w:t xml:space="preserve"> discussed in the</w:t>
      </w:r>
      <w:r w:rsidR="00934627">
        <w:rPr>
          <w:rFonts w:ascii="Arial" w:hAnsi="Arial" w:cs="Arial"/>
          <w:sz w:val="22"/>
          <w:szCs w:val="22"/>
          <w:lang w:val="en-GB"/>
        </w:rPr>
        <w:t xml:space="preserve"> context of </w:t>
      </w:r>
      <w:r w:rsidR="00B82BA3">
        <w:rPr>
          <w:rFonts w:ascii="Arial" w:hAnsi="Arial" w:cs="Arial"/>
          <w:sz w:val="22"/>
          <w:szCs w:val="22"/>
          <w:lang w:val="en-GB"/>
        </w:rPr>
        <w:t xml:space="preserve"> </w:t>
      </w:r>
      <w:r>
        <w:rPr>
          <w:rFonts w:ascii="Arial" w:hAnsi="Arial" w:cs="Arial"/>
          <w:sz w:val="22"/>
          <w:szCs w:val="22"/>
        </w:rPr>
        <w:t>measurement configuration</w:t>
      </w:r>
      <w:r w:rsidR="00934627">
        <w:rPr>
          <w:rFonts w:ascii="Arial" w:hAnsi="Arial" w:cs="Arial"/>
          <w:sz w:val="22"/>
          <w:szCs w:val="22"/>
          <w:lang w:val="en-GB"/>
        </w:rPr>
        <w:t xml:space="preserve"> or CHO</w:t>
      </w:r>
      <w:r w:rsidR="00CC34A4">
        <w:rPr>
          <w:rFonts w:ascii="Arial" w:hAnsi="Arial" w:cs="Arial"/>
          <w:sz w:val="22"/>
          <w:szCs w:val="22"/>
          <w:lang w:val="en-GB"/>
        </w:rPr>
        <w:t xml:space="preserve"> procedure</w:t>
      </w:r>
    </w:p>
    <w:p w14:paraId="324F2C28" w14:textId="77777777" w:rsidR="00FE2654" w:rsidRDefault="00FE2654" w:rsidP="00FE2654">
      <w:pPr>
        <w:pStyle w:val="Observation"/>
        <w:numPr>
          <w:ilvl w:val="0"/>
          <w:numId w:val="0"/>
        </w:numPr>
        <w:rPr>
          <w:rFonts w:ascii="Arial" w:hAnsi="Arial" w:cs="Arial"/>
          <w:sz w:val="22"/>
          <w:szCs w:val="22"/>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2863C09F" w14:textId="77777777" w:rsidR="007503D6" w:rsidRDefault="0058221B" w:rsidP="002C3299">
      <w:pPr>
        <w:rPr>
          <w:rFonts w:ascii="Arial" w:hAnsi="Arial" w:cs="Arial"/>
          <w:bCs/>
          <w:sz w:val="20"/>
          <w:szCs w:val="20"/>
        </w:rPr>
      </w:pPr>
      <w:bookmarkStart w:id="4" w:name="OLE_LINK3"/>
      <w:r>
        <w:rPr>
          <w:rFonts w:ascii="Arial" w:hAnsi="Arial" w:cs="Arial"/>
          <w:sz w:val="20"/>
          <w:szCs w:val="20"/>
        </w:rPr>
        <w:t xml:space="preserve">Regarding </w:t>
      </w:r>
      <w:r w:rsidR="007503D6">
        <w:rPr>
          <w:rFonts w:ascii="Arial" w:hAnsi="Arial" w:cs="Arial"/>
          <w:bCs/>
          <w:sz w:val="20"/>
          <w:szCs w:val="20"/>
        </w:rPr>
        <w:t>the objective “</w:t>
      </w:r>
      <w:r w:rsidR="007503D6" w:rsidRPr="007503D6">
        <w:rPr>
          <w:rFonts w:ascii="Arial" w:hAnsi="Arial" w:cs="Arial"/>
          <w:bCs/>
          <w:sz w:val="20"/>
          <w:szCs w:val="20"/>
        </w:rPr>
        <w:t xml:space="preserve">Support of </w:t>
      </w:r>
      <w:proofErr w:type="spellStart"/>
      <w:r w:rsidR="007503D6" w:rsidRPr="007503D6">
        <w:rPr>
          <w:rFonts w:ascii="Arial" w:hAnsi="Arial" w:cs="Arial"/>
          <w:bCs/>
          <w:sz w:val="20"/>
          <w:szCs w:val="20"/>
        </w:rPr>
        <w:t>neighbour</w:t>
      </w:r>
      <w:proofErr w:type="spellEnd"/>
      <w:r w:rsidR="007503D6" w:rsidRPr="007503D6">
        <w:rPr>
          <w:rFonts w:ascii="Arial" w:hAnsi="Arial" w:cs="Arial"/>
          <w:bCs/>
          <w:sz w:val="20"/>
          <w:szCs w:val="20"/>
        </w:rPr>
        <w:t xml:space="preserve"> cell measurements and corresponding measurement triggering before RLF, using Rel 17 (TN) NB-IoT, </w:t>
      </w:r>
      <w:proofErr w:type="spellStart"/>
      <w:r w:rsidR="007503D6" w:rsidRPr="007503D6">
        <w:rPr>
          <w:rFonts w:ascii="Arial" w:hAnsi="Arial" w:cs="Arial"/>
          <w:bCs/>
          <w:sz w:val="20"/>
          <w:szCs w:val="20"/>
        </w:rPr>
        <w:t>eMTC</w:t>
      </w:r>
      <w:proofErr w:type="spellEnd"/>
      <w:r w:rsidR="007503D6" w:rsidRPr="007503D6">
        <w:rPr>
          <w:rFonts w:ascii="Arial" w:hAnsi="Arial" w:cs="Arial"/>
          <w:bCs/>
          <w:sz w:val="20"/>
          <w:szCs w:val="20"/>
        </w:rPr>
        <w:t xml:space="preserve"> as a baseline</w:t>
      </w:r>
      <w:r w:rsidR="007503D6">
        <w:rPr>
          <w:rFonts w:ascii="Arial" w:hAnsi="Arial" w:cs="Arial"/>
          <w:bCs/>
          <w:sz w:val="20"/>
          <w:szCs w:val="20"/>
        </w:rPr>
        <w:t xml:space="preserve">”, we discuss some details and propose: </w:t>
      </w:r>
    </w:p>
    <w:p w14:paraId="00B6E154" w14:textId="77777777" w:rsidR="007503D6" w:rsidRDefault="007503D6" w:rsidP="002C3299">
      <w:pPr>
        <w:rPr>
          <w:rFonts w:ascii="Arial" w:hAnsi="Arial" w:cs="Arial"/>
          <w:bCs/>
          <w:sz w:val="20"/>
          <w:szCs w:val="20"/>
        </w:rPr>
      </w:pPr>
    </w:p>
    <w:p w14:paraId="359FE2F3" w14:textId="693EE182" w:rsidR="007503D6" w:rsidRDefault="007503D6" w:rsidP="002C3299">
      <w:pPr>
        <w:rPr>
          <w:rFonts w:ascii="Arial" w:hAnsi="Arial" w:cs="Arial"/>
          <w:bCs/>
          <w:sz w:val="20"/>
          <w:szCs w:val="20"/>
        </w:rPr>
      </w:pPr>
    </w:p>
    <w:p w14:paraId="1616BD0E" w14:textId="77777777" w:rsidR="004A1A39" w:rsidRDefault="004A1A39" w:rsidP="004A1A39">
      <w:pPr>
        <w:rPr>
          <w:rFonts w:ascii="Arial" w:hAnsi="Arial" w:cs="Arial"/>
          <w:bCs/>
          <w:sz w:val="20"/>
          <w:szCs w:val="20"/>
        </w:rPr>
      </w:pPr>
      <w:r>
        <w:rPr>
          <w:rFonts w:ascii="Arial" w:hAnsi="Arial" w:cs="Arial"/>
          <w:bCs/>
          <w:sz w:val="20"/>
          <w:szCs w:val="20"/>
        </w:rPr>
        <w:t>For NB-IOT over NTN:</w:t>
      </w:r>
    </w:p>
    <w:bookmarkEnd w:id="0"/>
    <w:bookmarkEnd w:id="1"/>
    <w:bookmarkEnd w:id="4"/>
    <w:p w14:paraId="55451D81" w14:textId="77777777" w:rsidR="00B17195" w:rsidRPr="00B17195" w:rsidRDefault="00B17195" w:rsidP="00B17195">
      <w:pPr>
        <w:pStyle w:val="Proposal"/>
        <w:numPr>
          <w:ilvl w:val="0"/>
          <w:numId w:val="62"/>
        </w:numPr>
        <w:rPr>
          <w:rFonts w:ascii="Arial" w:hAnsi="Arial" w:cs="Arial"/>
          <w:sz w:val="22"/>
          <w:szCs w:val="22"/>
          <w:lang w:val="en-GB"/>
        </w:rPr>
      </w:pPr>
      <w:r w:rsidRPr="00B17195">
        <w:rPr>
          <w:rFonts w:ascii="Arial" w:hAnsi="Arial" w:cs="Arial"/>
          <w:sz w:val="22"/>
          <w:szCs w:val="22"/>
          <w:lang w:val="en-GB"/>
        </w:rPr>
        <w:t xml:space="preserve">for NB-IoT, it is up to NW whether to configure Rel-17 NRSRP-based trigger for </w:t>
      </w:r>
      <w:proofErr w:type="spellStart"/>
      <w:r w:rsidRPr="00B17195">
        <w:rPr>
          <w:rFonts w:ascii="Arial" w:hAnsi="Arial" w:cs="Arial"/>
          <w:sz w:val="22"/>
          <w:szCs w:val="22"/>
          <w:lang w:val="en-GB"/>
        </w:rPr>
        <w:t>neighboring</w:t>
      </w:r>
      <w:proofErr w:type="spellEnd"/>
      <w:r w:rsidRPr="00B17195">
        <w:rPr>
          <w:rFonts w:ascii="Arial" w:hAnsi="Arial" w:cs="Arial"/>
          <w:sz w:val="22"/>
          <w:szCs w:val="22"/>
          <w:lang w:val="en-GB"/>
        </w:rPr>
        <w:t xml:space="preserve"> measurement in RRC-connected mode.</w:t>
      </w:r>
    </w:p>
    <w:p w14:paraId="0678C6B0" w14:textId="6FB8B323" w:rsidR="00017E10" w:rsidRPr="00B17195" w:rsidRDefault="00017E10" w:rsidP="00964A89">
      <w:pPr>
        <w:pStyle w:val="Proposal"/>
        <w:numPr>
          <w:ilvl w:val="0"/>
          <w:numId w:val="0"/>
        </w:numPr>
        <w:ind w:left="142"/>
        <w:rPr>
          <w:rFonts w:eastAsiaTheme="minorEastAsia"/>
          <w:lang w:val="en-GB" w:eastAsia="ja-JP"/>
        </w:rPr>
      </w:pPr>
    </w:p>
    <w:p w14:paraId="75F838D9" w14:textId="77777777" w:rsidR="00B17195" w:rsidRPr="008745DE" w:rsidRDefault="00B17195" w:rsidP="00B17195">
      <w:pPr>
        <w:pStyle w:val="Proposal"/>
        <w:rPr>
          <w:rFonts w:ascii="Arial" w:hAnsi="Arial" w:cs="Arial"/>
          <w:sz w:val="22"/>
          <w:szCs w:val="22"/>
          <w:lang w:val="en-GB"/>
        </w:rPr>
      </w:pPr>
      <w:r w:rsidRPr="008745DE">
        <w:rPr>
          <w:rFonts w:ascii="Arial" w:hAnsi="Arial" w:cs="Arial"/>
          <w:sz w:val="22"/>
          <w:szCs w:val="22"/>
          <w:lang w:val="en-GB"/>
        </w:rPr>
        <w:t xml:space="preserve">For NB-IOT, triggering neighbour </w:t>
      </w:r>
      <w:r>
        <w:rPr>
          <w:rFonts w:ascii="Arial" w:hAnsi="Arial" w:cs="Arial"/>
          <w:sz w:val="22"/>
          <w:szCs w:val="22"/>
          <w:lang w:val="en-GB"/>
        </w:rPr>
        <w:t xml:space="preserve">cell </w:t>
      </w:r>
      <w:r w:rsidRPr="008745DE">
        <w:rPr>
          <w:rFonts w:ascii="Arial" w:hAnsi="Arial" w:cs="Arial"/>
          <w:sz w:val="22"/>
          <w:szCs w:val="22"/>
          <w:lang w:val="en-GB"/>
        </w:rPr>
        <w:t>measurement based on T-service is applicable to both quasi-earth fixed cell and earth-moving cell scenarios</w:t>
      </w:r>
    </w:p>
    <w:p w14:paraId="62AEB554" w14:textId="77777777" w:rsidR="00B17195" w:rsidRPr="007C1838" w:rsidRDefault="00B17195" w:rsidP="00B17195">
      <w:pPr>
        <w:pStyle w:val="Proposal"/>
        <w:rPr>
          <w:rFonts w:ascii="Arial" w:hAnsi="Arial" w:cs="Arial"/>
          <w:sz w:val="22"/>
          <w:szCs w:val="22"/>
          <w:lang w:val="en-GB"/>
        </w:rPr>
      </w:pPr>
      <w:r w:rsidRPr="007C1838">
        <w:rPr>
          <w:rFonts w:ascii="Arial" w:hAnsi="Arial" w:cs="Arial"/>
          <w:sz w:val="22"/>
          <w:szCs w:val="22"/>
          <w:lang w:val="en-GB"/>
        </w:rPr>
        <w:t xml:space="preserve">RAN2 confirm no need to specify extra signalling rather than re-use T-Service-r17 </w:t>
      </w:r>
    </w:p>
    <w:p w14:paraId="3B88E472" w14:textId="77777777" w:rsidR="00B17195" w:rsidRDefault="00B17195" w:rsidP="00B17195">
      <w:pPr>
        <w:pStyle w:val="Proposal"/>
        <w:rPr>
          <w:rFonts w:ascii="Arial" w:hAnsi="Arial" w:cs="Arial"/>
          <w:sz w:val="22"/>
          <w:szCs w:val="22"/>
          <w:lang w:val="en-GB"/>
        </w:rPr>
      </w:pPr>
      <w:r w:rsidRPr="008745DE">
        <w:rPr>
          <w:rFonts w:ascii="Arial" w:hAnsi="Arial" w:cs="Arial"/>
          <w:sz w:val="22"/>
          <w:szCs w:val="22"/>
          <w:lang w:val="en-GB"/>
        </w:rPr>
        <w:t xml:space="preserve">For NB-IOT, no need to use the start time of neighbour cell for </w:t>
      </w:r>
      <w:proofErr w:type="spellStart"/>
      <w:r w:rsidRPr="008745DE">
        <w:rPr>
          <w:rFonts w:ascii="Arial" w:hAnsi="Arial" w:cs="Arial"/>
          <w:sz w:val="22"/>
          <w:szCs w:val="22"/>
          <w:lang w:val="en-GB"/>
        </w:rPr>
        <w:t>neighbor</w:t>
      </w:r>
      <w:proofErr w:type="spellEnd"/>
      <w:r w:rsidRPr="008745DE">
        <w:rPr>
          <w:rFonts w:ascii="Arial" w:hAnsi="Arial" w:cs="Arial"/>
          <w:sz w:val="22"/>
          <w:szCs w:val="22"/>
          <w:lang w:val="en-GB"/>
        </w:rPr>
        <w:t xml:space="preserve"> cell measurement enhancement </w:t>
      </w:r>
    </w:p>
    <w:p w14:paraId="52A6B61E" w14:textId="1CD165AB" w:rsidR="00B17195" w:rsidRDefault="00B17195" w:rsidP="00B17195">
      <w:pPr>
        <w:pStyle w:val="Proposal"/>
        <w:rPr>
          <w:rFonts w:ascii="Arial" w:hAnsi="Arial" w:cs="Arial"/>
          <w:sz w:val="22"/>
          <w:szCs w:val="22"/>
          <w:lang w:val="en-GB"/>
        </w:rPr>
      </w:pPr>
      <w:r w:rsidRPr="00B82BA3">
        <w:rPr>
          <w:rFonts w:ascii="Arial" w:hAnsi="Arial" w:cs="Arial"/>
          <w:sz w:val="22"/>
          <w:szCs w:val="22"/>
          <w:lang w:val="en-GB"/>
        </w:rPr>
        <w:t>for NB-IOT, agree to introduce location-based trigger of connected mode measurement for both earth fixed and earth moving cell</w:t>
      </w:r>
    </w:p>
    <w:p w14:paraId="3CC28317" w14:textId="77777777" w:rsidR="00221386" w:rsidRPr="00B82BA3" w:rsidRDefault="00221386" w:rsidP="00221386">
      <w:pPr>
        <w:pStyle w:val="Proposal"/>
        <w:rPr>
          <w:rFonts w:ascii="Arial" w:hAnsi="Arial" w:cs="Arial"/>
          <w:sz w:val="22"/>
          <w:szCs w:val="22"/>
          <w:lang w:val="en-GB"/>
        </w:rPr>
      </w:pPr>
      <w:r>
        <w:rPr>
          <w:rFonts w:ascii="Arial" w:hAnsi="Arial" w:cs="Arial"/>
          <w:sz w:val="22"/>
          <w:szCs w:val="22"/>
          <w:lang w:val="en-GB"/>
        </w:rPr>
        <w:t xml:space="preserve">All </w:t>
      </w:r>
      <w:r w:rsidRPr="00B82BA3">
        <w:rPr>
          <w:rFonts w:ascii="Arial" w:hAnsi="Arial" w:cs="Arial"/>
          <w:sz w:val="22"/>
          <w:szCs w:val="22"/>
          <w:lang w:val="en-GB"/>
        </w:rPr>
        <w:t>trigger</w:t>
      </w:r>
      <w:r>
        <w:rPr>
          <w:rFonts w:ascii="Arial" w:hAnsi="Arial" w:cs="Arial"/>
          <w:sz w:val="22"/>
          <w:szCs w:val="22"/>
          <w:lang w:val="en-GB"/>
        </w:rPr>
        <w:t xml:space="preserve"> types</w:t>
      </w:r>
      <w:r w:rsidRPr="00B82BA3">
        <w:rPr>
          <w:rFonts w:ascii="Arial" w:hAnsi="Arial" w:cs="Arial"/>
          <w:sz w:val="22"/>
          <w:szCs w:val="22"/>
          <w:lang w:val="en-GB"/>
        </w:rPr>
        <w:t xml:space="preserve"> (time-based, location-based and legacy RSRP-based) for neighbour cell measurement before RLF are used independently </w:t>
      </w:r>
    </w:p>
    <w:p w14:paraId="28360DF7" w14:textId="77777777" w:rsidR="00221386" w:rsidRPr="00B82BA3" w:rsidRDefault="00221386" w:rsidP="00221386">
      <w:pPr>
        <w:pStyle w:val="Proposal"/>
        <w:numPr>
          <w:ilvl w:val="0"/>
          <w:numId w:val="0"/>
        </w:numPr>
        <w:ind w:left="1446"/>
        <w:rPr>
          <w:rFonts w:ascii="Arial" w:hAnsi="Arial" w:cs="Arial"/>
          <w:sz w:val="22"/>
          <w:szCs w:val="22"/>
          <w:lang w:val="en-GB"/>
        </w:rPr>
      </w:pPr>
    </w:p>
    <w:p w14:paraId="1BBD4206" w14:textId="77777777" w:rsidR="00B17195" w:rsidRPr="00B17195" w:rsidRDefault="00B17195" w:rsidP="00964A89">
      <w:pPr>
        <w:pStyle w:val="Proposal"/>
        <w:numPr>
          <w:ilvl w:val="0"/>
          <w:numId w:val="0"/>
        </w:numPr>
        <w:ind w:left="142"/>
        <w:rPr>
          <w:rFonts w:eastAsiaTheme="minorEastAsia"/>
          <w:lang w:val="en-GB" w:eastAsia="ja-JP"/>
        </w:rPr>
      </w:pPr>
    </w:p>
    <w:p w14:paraId="1E77C206" w14:textId="77777777" w:rsidR="00017E10" w:rsidRDefault="00017E10" w:rsidP="00017E10">
      <w:pPr>
        <w:rPr>
          <w:rFonts w:ascii="Arial" w:hAnsi="Arial" w:cs="Arial"/>
          <w:bCs/>
          <w:sz w:val="20"/>
          <w:szCs w:val="20"/>
        </w:rPr>
      </w:pPr>
      <w:r>
        <w:rPr>
          <w:rFonts w:ascii="Arial" w:hAnsi="Arial" w:cs="Arial"/>
          <w:bCs/>
          <w:sz w:val="20"/>
          <w:szCs w:val="20"/>
        </w:rPr>
        <w:lastRenderedPageBreak/>
        <w:t xml:space="preserve">For </w:t>
      </w:r>
      <w:proofErr w:type="spellStart"/>
      <w:r>
        <w:rPr>
          <w:rFonts w:ascii="Arial" w:hAnsi="Arial" w:cs="Arial"/>
          <w:bCs/>
          <w:sz w:val="20"/>
          <w:szCs w:val="20"/>
        </w:rPr>
        <w:t>eMTC</w:t>
      </w:r>
      <w:proofErr w:type="spellEnd"/>
      <w:r>
        <w:rPr>
          <w:rFonts w:ascii="Arial" w:hAnsi="Arial" w:cs="Arial"/>
          <w:bCs/>
          <w:sz w:val="20"/>
          <w:szCs w:val="20"/>
        </w:rPr>
        <w:t xml:space="preserve"> over NTN:</w:t>
      </w:r>
    </w:p>
    <w:p w14:paraId="6F2ED1B8" w14:textId="77777777" w:rsidR="00B17195" w:rsidRPr="00B17195" w:rsidRDefault="00B17195" w:rsidP="00221386">
      <w:pPr>
        <w:pStyle w:val="Proposal"/>
        <w:rPr>
          <w:rFonts w:eastAsiaTheme="minorEastAsia"/>
          <w:sz w:val="20"/>
          <w:szCs w:val="20"/>
        </w:rPr>
      </w:pPr>
      <w:r w:rsidRPr="00BE62A4">
        <w:t xml:space="preserve">No need to support neighbour cell measurements and corresponding measurement triggering before RLF for </w:t>
      </w:r>
      <w:proofErr w:type="spellStart"/>
      <w:r w:rsidRPr="00BE62A4">
        <w:t>eMTC</w:t>
      </w:r>
      <w:proofErr w:type="spellEnd"/>
      <w:r w:rsidRPr="00BE62A4">
        <w:t xml:space="preserve"> over NTN</w:t>
      </w:r>
    </w:p>
    <w:p w14:paraId="0D8383CD" w14:textId="77777777" w:rsidR="00B17195" w:rsidRPr="00B17195" w:rsidRDefault="00B17195" w:rsidP="00B17195">
      <w:pPr>
        <w:pStyle w:val="Observation"/>
        <w:numPr>
          <w:ilvl w:val="0"/>
          <w:numId w:val="0"/>
        </w:numPr>
        <w:rPr>
          <w:rFonts w:ascii="Arial" w:hAnsi="Arial" w:cs="Arial"/>
          <w:sz w:val="22"/>
          <w:szCs w:val="22"/>
          <w:lang w:val="x-none"/>
        </w:rPr>
      </w:pPr>
    </w:p>
    <w:p w14:paraId="09640713" w14:textId="77777777" w:rsidR="00B17195" w:rsidRPr="00B17195" w:rsidRDefault="00B17195" w:rsidP="00221386">
      <w:pPr>
        <w:pStyle w:val="Proposal"/>
        <w:rPr>
          <w:rFonts w:eastAsiaTheme="minorEastAsia"/>
          <w:sz w:val="20"/>
          <w:szCs w:val="20"/>
        </w:rPr>
      </w:pPr>
      <w:r w:rsidRPr="00B17195">
        <w:t>trigger</w:t>
      </w:r>
      <w:r w:rsidRPr="00B17195">
        <w:rPr>
          <w:lang w:val="en-GB"/>
        </w:rPr>
        <w:t>ing</w:t>
      </w:r>
      <w:r w:rsidRPr="00B17195">
        <w:t xml:space="preserve"> neighbour cell measurement </w:t>
      </w:r>
      <w:r w:rsidRPr="00B17195">
        <w:rPr>
          <w:lang w:val="en-GB"/>
        </w:rPr>
        <w:t xml:space="preserve">can be discussed in the context of  </w:t>
      </w:r>
      <w:r w:rsidRPr="00B17195">
        <w:t>measurement configuration</w:t>
      </w:r>
      <w:r w:rsidRPr="00B17195">
        <w:rPr>
          <w:lang w:val="en-GB"/>
        </w:rPr>
        <w:t xml:space="preserve"> or CHO procedure</w:t>
      </w:r>
    </w:p>
    <w:p w14:paraId="3141A61A" w14:textId="77777777" w:rsidR="00017E10" w:rsidRPr="00017E10" w:rsidRDefault="00017E10" w:rsidP="00964A89">
      <w:pPr>
        <w:pStyle w:val="Proposal"/>
        <w:numPr>
          <w:ilvl w:val="0"/>
          <w:numId w:val="0"/>
        </w:numPr>
        <w:ind w:left="142"/>
        <w:rPr>
          <w:rFonts w:eastAsiaTheme="minorEastAsia"/>
          <w:lang w:eastAsia="ja-JP"/>
        </w:rPr>
      </w:pPr>
    </w:p>
    <w:sectPr w:rsidR="00017E10" w:rsidRPr="00017E10"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39087" w14:textId="77777777" w:rsidR="0058159D" w:rsidRDefault="0058159D" w:rsidP="00796430">
      <w:r>
        <w:separator/>
      </w:r>
    </w:p>
  </w:endnote>
  <w:endnote w:type="continuationSeparator" w:id="0">
    <w:p w14:paraId="1CA5D51B" w14:textId="77777777" w:rsidR="0058159D" w:rsidRDefault="0058159D" w:rsidP="00796430">
      <w:r>
        <w:continuationSeparator/>
      </w:r>
    </w:p>
  </w:endnote>
  <w:endnote w:type="continuationNotice" w:id="1">
    <w:p w14:paraId="462FC8D8" w14:textId="77777777" w:rsidR="0058159D" w:rsidRDefault="00581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tum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3A78" w14:textId="77777777" w:rsidR="0058159D" w:rsidRDefault="0058159D" w:rsidP="00796430">
      <w:r>
        <w:separator/>
      </w:r>
    </w:p>
  </w:footnote>
  <w:footnote w:type="continuationSeparator" w:id="0">
    <w:p w14:paraId="3CF7A26A" w14:textId="77777777" w:rsidR="0058159D" w:rsidRDefault="0058159D" w:rsidP="00796430">
      <w:r>
        <w:continuationSeparator/>
      </w:r>
    </w:p>
  </w:footnote>
  <w:footnote w:type="continuationNotice" w:id="1">
    <w:p w14:paraId="48E7CC95" w14:textId="77777777" w:rsidR="0058159D" w:rsidRDefault="005815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D61B9C"/>
    <w:multiLevelType w:val="hybridMultilevel"/>
    <w:tmpl w:val="4DD2FC44"/>
    <w:lvl w:ilvl="0" w:tplc="363291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F45569"/>
    <w:multiLevelType w:val="hybridMultilevel"/>
    <w:tmpl w:val="153CE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C14F0"/>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54F5257"/>
    <w:multiLevelType w:val="hybridMultilevel"/>
    <w:tmpl w:val="3C7275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E4D1597"/>
    <w:multiLevelType w:val="hybridMultilevel"/>
    <w:tmpl w:val="980A48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1"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365CE"/>
    <w:multiLevelType w:val="hybridMultilevel"/>
    <w:tmpl w:val="B3C89A7E"/>
    <w:lvl w:ilvl="0" w:tplc="0B3ECD2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4470783"/>
    <w:multiLevelType w:val="hybridMultilevel"/>
    <w:tmpl w:val="7DA22A6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8"/>
  </w:num>
  <w:num w:numId="3" w16cid:durableId="948317881">
    <w:abstractNumId w:val="16"/>
  </w:num>
  <w:num w:numId="4" w16cid:durableId="1510287417">
    <w:abstractNumId w:val="13"/>
  </w:num>
  <w:num w:numId="5" w16cid:durableId="1486316292">
    <w:abstractNumId w:val="24"/>
  </w:num>
  <w:num w:numId="6" w16cid:durableId="417407601">
    <w:abstractNumId w:val="14"/>
  </w:num>
  <w:num w:numId="7" w16cid:durableId="1552300747">
    <w:abstractNumId w:val="3"/>
  </w:num>
  <w:num w:numId="8" w16cid:durableId="1944066553">
    <w:abstractNumId w:val="20"/>
  </w:num>
  <w:num w:numId="9" w16cid:durableId="1954290451">
    <w:abstractNumId w:val="22"/>
    <w:lvlOverride w:ilvl="0">
      <w:startOverride w:val="1"/>
    </w:lvlOverride>
  </w:num>
  <w:num w:numId="10" w16cid:durableId="783423786">
    <w:abstractNumId w:val="2"/>
  </w:num>
  <w:num w:numId="11" w16cid:durableId="429281794">
    <w:abstractNumId w:val="17"/>
  </w:num>
  <w:num w:numId="12" w16cid:durableId="854684509">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30"/>
  </w:num>
  <w:num w:numId="14" w16cid:durableId="687752480">
    <w:abstractNumId w:val="10"/>
  </w:num>
  <w:num w:numId="15" w16cid:durableId="257756216">
    <w:abstractNumId w:val="21"/>
  </w:num>
  <w:num w:numId="16" w16cid:durableId="1958290271">
    <w:abstractNumId w:val="23"/>
  </w:num>
  <w:num w:numId="17" w16cid:durableId="1009258195">
    <w:abstractNumId w:val="12"/>
  </w:num>
  <w:num w:numId="18" w16cid:durableId="1969042782">
    <w:abstractNumId w:val="4"/>
  </w:num>
  <w:num w:numId="19" w16cid:durableId="267541947">
    <w:abstractNumId w:val="5"/>
  </w:num>
  <w:num w:numId="20" w16cid:durableId="94833795">
    <w:abstractNumId w:val="1"/>
  </w:num>
  <w:num w:numId="21" w16cid:durableId="2129616234">
    <w:abstractNumId w:val="7"/>
  </w:num>
  <w:num w:numId="22" w16cid:durableId="1759011608">
    <w:abstractNumId w:val="6"/>
  </w:num>
  <w:num w:numId="23" w16cid:durableId="1556503787">
    <w:abstractNumId w:val="26"/>
  </w:num>
  <w:num w:numId="24" w16cid:durableId="531502155">
    <w:abstractNumId w:val="31"/>
  </w:num>
  <w:num w:numId="25" w16cid:durableId="1406681614">
    <w:abstractNumId w:val="25"/>
  </w:num>
  <w:num w:numId="26" w16cid:durableId="520238388">
    <w:abstractNumId w:val="11"/>
  </w:num>
  <w:num w:numId="27" w16cid:durableId="1495953259">
    <w:abstractNumId w:val="9"/>
  </w:num>
  <w:num w:numId="28" w16cid:durableId="1179659767">
    <w:abstractNumId w:val="27"/>
  </w:num>
  <w:num w:numId="29" w16cid:durableId="1207333329">
    <w:abstractNumId w:val="20"/>
  </w:num>
  <w:num w:numId="30" w16cid:durableId="1475374006">
    <w:abstractNumId w:val="20"/>
  </w:num>
  <w:num w:numId="31" w16cid:durableId="777218789">
    <w:abstractNumId w:val="20"/>
  </w:num>
  <w:num w:numId="32" w16cid:durableId="1097794787">
    <w:abstractNumId w:val="20"/>
  </w:num>
  <w:num w:numId="33" w16cid:durableId="979923648">
    <w:abstractNumId w:val="20"/>
  </w:num>
  <w:num w:numId="34" w16cid:durableId="1818911483">
    <w:abstractNumId w:val="20"/>
  </w:num>
  <w:num w:numId="35" w16cid:durableId="121194345">
    <w:abstractNumId w:val="20"/>
  </w:num>
  <w:num w:numId="36" w16cid:durableId="795560747">
    <w:abstractNumId w:val="20"/>
  </w:num>
  <w:num w:numId="37" w16cid:durableId="2102484373">
    <w:abstractNumId w:val="10"/>
  </w:num>
  <w:num w:numId="38" w16cid:durableId="1839074725">
    <w:abstractNumId w:val="10"/>
  </w:num>
  <w:num w:numId="39" w16cid:durableId="566384264">
    <w:abstractNumId w:val="10"/>
  </w:num>
  <w:num w:numId="40" w16cid:durableId="1347557166">
    <w:abstractNumId w:val="10"/>
  </w:num>
  <w:num w:numId="41" w16cid:durableId="1875148247">
    <w:abstractNumId w:val="20"/>
  </w:num>
  <w:num w:numId="42" w16cid:durableId="1195459823">
    <w:abstractNumId w:val="10"/>
  </w:num>
  <w:num w:numId="43" w16cid:durableId="424151434">
    <w:abstractNumId w:val="20"/>
  </w:num>
  <w:num w:numId="44" w16cid:durableId="1162741875">
    <w:abstractNumId w:val="10"/>
  </w:num>
  <w:num w:numId="45" w16cid:durableId="625937369">
    <w:abstractNumId w:val="10"/>
    <w:lvlOverride w:ilvl="0">
      <w:startOverride w:val="1"/>
    </w:lvlOverride>
  </w:num>
  <w:num w:numId="46" w16cid:durableId="479922975">
    <w:abstractNumId w:val="10"/>
  </w:num>
  <w:num w:numId="47" w16cid:durableId="2116048908">
    <w:abstractNumId w:val="8"/>
  </w:num>
  <w:num w:numId="48" w16cid:durableId="1457487196">
    <w:abstractNumId w:val="10"/>
    <w:lvlOverride w:ilvl="0">
      <w:startOverride w:val="1"/>
    </w:lvlOverride>
  </w:num>
  <w:num w:numId="49" w16cid:durableId="847259408">
    <w:abstractNumId w:val="20"/>
    <w:lvlOverride w:ilvl="0">
      <w:startOverride w:val="1"/>
    </w:lvlOverride>
  </w:num>
  <w:num w:numId="50" w16cid:durableId="1555578190">
    <w:abstractNumId w:val="10"/>
    <w:lvlOverride w:ilvl="0">
      <w:startOverride w:val="1"/>
    </w:lvlOverride>
  </w:num>
  <w:num w:numId="51" w16cid:durableId="840582121">
    <w:abstractNumId w:val="10"/>
  </w:num>
  <w:num w:numId="52" w16cid:durableId="1380082256">
    <w:abstractNumId w:val="10"/>
  </w:num>
  <w:num w:numId="53" w16cid:durableId="1854032738">
    <w:abstractNumId w:val="29"/>
  </w:num>
  <w:num w:numId="54" w16cid:durableId="563878830">
    <w:abstractNumId w:val="10"/>
    <w:lvlOverride w:ilvl="0">
      <w:startOverride w:val="1"/>
    </w:lvlOverride>
  </w:num>
  <w:num w:numId="55" w16cid:durableId="84542649">
    <w:abstractNumId w:val="19"/>
  </w:num>
  <w:num w:numId="56" w16cid:durableId="881745210">
    <w:abstractNumId w:val="15"/>
  </w:num>
  <w:num w:numId="57" w16cid:durableId="1650861804">
    <w:abstractNumId w:val="10"/>
    <w:lvlOverride w:ilvl="0">
      <w:startOverride w:val="1"/>
    </w:lvlOverride>
  </w:num>
  <w:num w:numId="58" w16cid:durableId="807938362">
    <w:abstractNumId w:val="10"/>
  </w:num>
  <w:num w:numId="59" w16cid:durableId="494224584">
    <w:abstractNumId w:val="20"/>
  </w:num>
  <w:num w:numId="60" w16cid:durableId="558982111">
    <w:abstractNumId w:val="10"/>
    <w:lvlOverride w:ilvl="0">
      <w:startOverride w:val="1"/>
    </w:lvlOverride>
  </w:num>
  <w:num w:numId="61" w16cid:durableId="485559643">
    <w:abstractNumId w:val="10"/>
    <w:lvlOverride w:ilvl="0">
      <w:startOverride w:val="1"/>
    </w:lvlOverride>
  </w:num>
  <w:num w:numId="62" w16cid:durableId="1468619035">
    <w:abstractNumId w:val="10"/>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467"/>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ABB"/>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17E10"/>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1A1"/>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035"/>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04"/>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8E4"/>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3C9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386"/>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17"/>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99"/>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3B57"/>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1F4"/>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27E"/>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65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8"/>
    <w:rsid w:val="003B3CFC"/>
    <w:rsid w:val="003B4048"/>
    <w:rsid w:val="003B4666"/>
    <w:rsid w:val="003B470A"/>
    <w:rsid w:val="003B4B0D"/>
    <w:rsid w:val="003B52D9"/>
    <w:rsid w:val="003B53D6"/>
    <w:rsid w:val="003B53DE"/>
    <w:rsid w:val="003B5667"/>
    <w:rsid w:val="003B5769"/>
    <w:rsid w:val="003B585C"/>
    <w:rsid w:val="003B5910"/>
    <w:rsid w:val="003B592A"/>
    <w:rsid w:val="003B5BED"/>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8E5"/>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3F2"/>
    <w:rsid w:val="003F07E8"/>
    <w:rsid w:val="003F0FCB"/>
    <w:rsid w:val="003F11F1"/>
    <w:rsid w:val="003F14E6"/>
    <w:rsid w:val="003F18C1"/>
    <w:rsid w:val="003F19D5"/>
    <w:rsid w:val="003F1FF9"/>
    <w:rsid w:val="003F225C"/>
    <w:rsid w:val="003F22B4"/>
    <w:rsid w:val="003F2473"/>
    <w:rsid w:val="003F26E9"/>
    <w:rsid w:val="003F27AE"/>
    <w:rsid w:val="003F288D"/>
    <w:rsid w:val="003F2974"/>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5E0A"/>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2E37"/>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1D8A"/>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A39"/>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327"/>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4DC"/>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1F8"/>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59D"/>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81D"/>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B7C"/>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7F3"/>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73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184"/>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720"/>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78C"/>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4C2"/>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8F"/>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D6"/>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CEA"/>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A8E"/>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838"/>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E7C"/>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5DE"/>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6B1"/>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DE3"/>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946"/>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912"/>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D65"/>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627"/>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A89"/>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28E"/>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C95"/>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205"/>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851"/>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6C"/>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368"/>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0EE6"/>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77"/>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195"/>
    <w:rsid w:val="00B17462"/>
    <w:rsid w:val="00B17905"/>
    <w:rsid w:val="00B17D34"/>
    <w:rsid w:val="00B17DCE"/>
    <w:rsid w:val="00B17EAC"/>
    <w:rsid w:val="00B204A8"/>
    <w:rsid w:val="00B20536"/>
    <w:rsid w:val="00B20619"/>
    <w:rsid w:val="00B2061E"/>
    <w:rsid w:val="00B20B61"/>
    <w:rsid w:val="00B20D59"/>
    <w:rsid w:val="00B21A7B"/>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648"/>
    <w:rsid w:val="00B80824"/>
    <w:rsid w:val="00B80EA2"/>
    <w:rsid w:val="00B810D2"/>
    <w:rsid w:val="00B8141F"/>
    <w:rsid w:val="00B816B5"/>
    <w:rsid w:val="00B81BB3"/>
    <w:rsid w:val="00B81E74"/>
    <w:rsid w:val="00B8266B"/>
    <w:rsid w:val="00B828C8"/>
    <w:rsid w:val="00B8299C"/>
    <w:rsid w:val="00B82BA3"/>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0EC"/>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B2"/>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40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2A4"/>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8DC"/>
    <w:rsid w:val="00C80BDC"/>
    <w:rsid w:val="00C80CC1"/>
    <w:rsid w:val="00C80DDD"/>
    <w:rsid w:val="00C80EA4"/>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A1E"/>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4A4"/>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97E"/>
    <w:rsid w:val="00D45AD6"/>
    <w:rsid w:val="00D45DF3"/>
    <w:rsid w:val="00D46036"/>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67"/>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3D9"/>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D8C"/>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8D5"/>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217"/>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7F"/>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54"/>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num" w:pos="360"/>
        <w:tab w:val="left" w:pos="1701"/>
      </w:tabs>
      <w:ind w:left="1446" w:hanging="1304"/>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5427331">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79790709">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69021772">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6653460">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09818335">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9850455">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691713217">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1130</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2023-02-16T10:53:00Z</dcterms:created>
  <dcterms:modified xsi:type="dcterms:W3CDTF">2023-02-16T10:53:00Z</dcterms:modified>
</cp:coreProperties>
</file>