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69A2D6D" w:rsidR="00A209D6" w:rsidRPr="00B266B0" w:rsidRDefault="00A209D6" w:rsidP="00EB18F3">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741393">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AA0B55">
        <w:rPr>
          <w:bCs/>
          <w:noProof w:val="0"/>
          <w:sz w:val="24"/>
          <w:szCs w:val="24"/>
        </w:rPr>
        <w:t>3</w:t>
      </w:r>
      <w:r w:rsidR="00C55A12">
        <w:rPr>
          <w:bCs/>
          <w:noProof w:val="0"/>
          <w:sz w:val="24"/>
          <w:szCs w:val="24"/>
        </w:rPr>
        <w:t>0</w:t>
      </w:r>
      <w:r w:rsidR="00AB5C24">
        <w:rPr>
          <w:bCs/>
          <w:noProof w:val="0"/>
          <w:sz w:val="24"/>
          <w:szCs w:val="24"/>
        </w:rPr>
        <w:t>0928</w:t>
      </w:r>
    </w:p>
    <w:p w14:paraId="11776FA6" w14:textId="4D840B6E" w:rsidR="00A209D6" w:rsidRPr="00465587" w:rsidRDefault="00AA0B55" w:rsidP="00EB18F3">
      <w:pPr>
        <w:pStyle w:val="Header"/>
        <w:tabs>
          <w:tab w:val="right" w:pos="9639"/>
        </w:tabs>
        <w:jc w:val="both"/>
        <w:rPr>
          <w:rFonts w:eastAsia="SimSun"/>
          <w:bCs/>
          <w:sz w:val="24"/>
          <w:szCs w:val="24"/>
          <w:lang w:eastAsia="zh-CN"/>
        </w:rPr>
      </w:pPr>
      <w:r>
        <w:rPr>
          <w:rFonts w:eastAsia="SimSun"/>
          <w:bCs/>
          <w:sz w:val="24"/>
          <w:szCs w:val="24"/>
          <w:lang w:eastAsia="zh-CN"/>
        </w:rPr>
        <w:t>February 27</w:t>
      </w:r>
      <w:r w:rsidR="005C7CD5" w:rsidRPr="005C7CD5">
        <w:rPr>
          <w:rFonts w:eastAsia="SimSun"/>
          <w:bCs/>
          <w:sz w:val="24"/>
          <w:szCs w:val="24"/>
          <w:lang w:eastAsia="zh-CN"/>
        </w:rPr>
        <w:t xml:space="preserve"> – </w:t>
      </w:r>
      <w:r>
        <w:rPr>
          <w:rFonts w:eastAsia="SimSun"/>
          <w:bCs/>
          <w:sz w:val="24"/>
          <w:szCs w:val="24"/>
          <w:lang w:eastAsia="zh-CN"/>
        </w:rPr>
        <w:t>March 03</w:t>
      </w:r>
      <w:r w:rsidR="00741393">
        <w:rPr>
          <w:rFonts w:eastAsia="SimSun"/>
          <w:bCs/>
          <w:sz w:val="24"/>
          <w:szCs w:val="24"/>
          <w:lang w:eastAsia="zh-CN"/>
        </w:rPr>
        <w:t xml:space="preserve"> </w:t>
      </w:r>
      <w:r w:rsidR="005C7CD5" w:rsidRPr="005C7CD5">
        <w:rPr>
          <w:rFonts w:eastAsia="SimSun"/>
          <w:bCs/>
          <w:sz w:val="24"/>
          <w:szCs w:val="24"/>
          <w:lang w:eastAsia="zh-CN"/>
        </w:rPr>
        <w:t xml:space="preserve"> 202</w:t>
      </w:r>
      <w:r>
        <w:rPr>
          <w:rFonts w:eastAsia="SimSun"/>
          <w:bCs/>
          <w:sz w:val="24"/>
          <w:szCs w:val="24"/>
          <w:lang w:eastAsia="zh-CN"/>
        </w:rPr>
        <w:t>3</w:t>
      </w:r>
      <w:r w:rsidR="00741393">
        <w:rPr>
          <w:rFonts w:eastAsia="SimSun"/>
          <w:bCs/>
          <w:sz w:val="24"/>
          <w:szCs w:val="24"/>
          <w:lang w:eastAsia="zh-CN"/>
        </w:rPr>
        <w:t xml:space="preserve">, </w:t>
      </w:r>
      <w:r>
        <w:rPr>
          <w:rFonts w:eastAsia="SimSun"/>
          <w:bCs/>
          <w:sz w:val="24"/>
          <w:szCs w:val="24"/>
          <w:lang w:eastAsia="zh-CN"/>
        </w:rPr>
        <w:t>Athens</w:t>
      </w:r>
      <w:r w:rsidR="00741393">
        <w:rPr>
          <w:rFonts w:eastAsia="SimSun"/>
          <w:bCs/>
          <w:sz w:val="24"/>
          <w:szCs w:val="24"/>
          <w:lang w:eastAsia="zh-CN"/>
        </w:rPr>
        <w:t>, France</w:t>
      </w:r>
      <w:r w:rsidR="00A209D6">
        <w:rPr>
          <w:rFonts w:eastAsia="SimSun"/>
          <w:noProof w:val="0"/>
          <w:sz w:val="24"/>
          <w:szCs w:val="24"/>
          <w:lang w:eastAsia="zh-CN"/>
        </w:rPr>
        <w:tab/>
      </w:r>
    </w:p>
    <w:p w14:paraId="2E02E5F5" w14:textId="77777777" w:rsidR="00A209D6" w:rsidRPr="00B266B0" w:rsidRDefault="00A209D6" w:rsidP="00EB18F3">
      <w:pPr>
        <w:pStyle w:val="Header"/>
        <w:jc w:val="both"/>
        <w:rPr>
          <w:bCs/>
          <w:noProof w:val="0"/>
          <w:sz w:val="24"/>
        </w:rPr>
      </w:pPr>
    </w:p>
    <w:p w14:paraId="403CB9C0" w14:textId="77777777" w:rsidR="00A209D6" w:rsidRPr="00595CD9" w:rsidRDefault="00A209D6" w:rsidP="00EB18F3">
      <w:pPr>
        <w:pStyle w:val="Header"/>
        <w:jc w:val="both"/>
        <w:rPr>
          <w:sz w:val="24"/>
          <w:lang w:val="en-US"/>
        </w:rPr>
      </w:pPr>
    </w:p>
    <w:p w14:paraId="310B92C9" w14:textId="451B616F" w:rsidR="00446C3A" w:rsidRPr="00B266B0" w:rsidRDefault="00446C3A" w:rsidP="00EB18F3">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447826">
        <w:rPr>
          <w:rFonts w:cs="Arial"/>
          <w:b/>
          <w:bCs/>
          <w:sz w:val="24"/>
          <w:lang w:eastAsia="ja-JP"/>
        </w:rPr>
        <w:t>7</w:t>
      </w:r>
      <w:r w:rsidR="00CC52E4" w:rsidRPr="00CC52E4">
        <w:rPr>
          <w:rFonts w:cs="Arial"/>
          <w:b/>
          <w:bCs/>
          <w:sz w:val="24"/>
          <w:lang w:eastAsia="ja-JP"/>
        </w:rPr>
        <w:t>.</w:t>
      </w:r>
      <w:r w:rsidR="00447826">
        <w:rPr>
          <w:rFonts w:cs="Arial"/>
          <w:b/>
          <w:bCs/>
          <w:sz w:val="24"/>
          <w:lang w:eastAsia="ja-JP"/>
        </w:rPr>
        <w:t>2</w:t>
      </w:r>
      <w:r w:rsidR="00CC52E4" w:rsidRPr="00CC52E4">
        <w:rPr>
          <w:rFonts w:cs="Arial"/>
          <w:b/>
          <w:bCs/>
          <w:sz w:val="24"/>
          <w:lang w:eastAsia="ja-JP"/>
        </w:rPr>
        <w:t>.</w:t>
      </w:r>
      <w:r w:rsidR="00447826">
        <w:rPr>
          <w:rFonts w:cs="Arial"/>
          <w:b/>
          <w:bCs/>
          <w:sz w:val="24"/>
          <w:lang w:eastAsia="ja-JP"/>
        </w:rPr>
        <w:t>3</w:t>
      </w:r>
    </w:p>
    <w:p w14:paraId="73188B46" w14:textId="77777777" w:rsidR="00446C3A" w:rsidRPr="00B266B0" w:rsidRDefault="00446C3A" w:rsidP="00EB18F3">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7C78E54" w:rsidR="00446C3A" w:rsidRDefault="00446C3A" w:rsidP="00EB18F3">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108430878"/>
      <w:r w:rsidR="00447826" w:rsidRPr="00447826">
        <w:rPr>
          <w:rFonts w:ascii="Arial" w:hAnsi="Arial" w:cs="Arial"/>
          <w:b/>
          <w:bCs/>
          <w:sz w:val="24"/>
        </w:rPr>
        <w:t>RRC parameter alignment with RAN1 specification for pre-compensation gap configuration</w:t>
      </w:r>
      <w:r w:rsidR="004D54ED">
        <w:rPr>
          <w:rFonts w:ascii="Arial" w:hAnsi="Arial" w:cs="Arial"/>
          <w:b/>
          <w:bCs/>
          <w:sz w:val="24"/>
        </w:rPr>
        <w:t xml:space="preserve"> </w:t>
      </w:r>
    </w:p>
    <w:bookmarkEnd w:id="0"/>
    <w:p w14:paraId="25F387E8" w14:textId="44CE61E5" w:rsidR="00446C3A" w:rsidRPr="00B266B0" w:rsidRDefault="00446C3A" w:rsidP="00EB18F3">
      <w:pPr>
        <w:ind w:left="1985" w:hanging="1985"/>
        <w:jc w:val="both"/>
        <w:rPr>
          <w:rFonts w:ascii="Arial" w:hAnsi="Arial" w:cs="Arial"/>
          <w:b/>
          <w:bCs/>
          <w:sz w:val="24"/>
        </w:rPr>
      </w:pPr>
      <w:r>
        <w:rPr>
          <w:rFonts w:ascii="Arial" w:hAnsi="Arial" w:cs="Arial"/>
          <w:b/>
          <w:bCs/>
          <w:sz w:val="24"/>
        </w:rPr>
        <w:t>WID:</w:t>
      </w:r>
      <w:r>
        <w:rPr>
          <w:rFonts w:ascii="Arial" w:hAnsi="Arial" w:cs="Arial"/>
          <w:b/>
          <w:bCs/>
          <w:sz w:val="24"/>
        </w:rPr>
        <w:tab/>
      </w:r>
      <w:r w:rsidR="004D54ED">
        <w:rPr>
          <w:rFonts w:ascii="Arial" w:hAnsi="Arial" w:cs="Arial"/>
          <w:b/>
          <w:bCs/>
          <w:sz w:val="24"/>
        </w:rPr>
        <w:t>IOT-NTN Enhancements</w:t>
      </w:r>
    </w:p>
    <w:p w14:paraId="6FEB19D6" w14:textId="77777777" w:rsidR="00446C3A" w:rsidRPr="00B266B0" w:rsidRDefault="00446C3A" w:rsidP="00EB18F3">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16AF37" w:rsidR="00A209D6" w:rsidRDefault="00A209D6" w:rsidP="00EB18F3">
      <w:pPr>
        <w:pStyle w:val="Heading1"/>
        <w:numPr>
          <w:ilvl w:val="0"/>
          <w:numId w:val="18"/>
        </w:numPr>
        <w:jc w:val="both"/>
      </w:pPr>
      <w:r>
        <w:t>Introduction</w:t>
      </w:r>
    </w:p>
    <w:p w14:paraId="2B53377D" w14:textId="5FFC3C11" w:rsidR="004D54ED" w:rsidRDefault="00AA0B55" w:rsidP="00EB18F3">
      <w:pPr>
        <w:jc w:val="both"/>
      </w:pPr>
      <w:r>
        <w:t>For segmented uplink transmission in IoT-NTN, two new parameters are introduced as RRC configuration parameters. The UE behavior on segmented transmission is controlled by these parameter. In this paper we discuss about the additional clarification needed on the RRC parameter for gap configuration to align the RAN1 specification and RAN2 configuration parameter.</w:t>
      </w:r>
    </w:p>
    <w:p w14:paraId="5FDBBA7C" w14:textId="3F9D2C62" w:rsidR="00F80724" w:rsidRDefault="00E223F4" w:rsidP="00201F61">
      <w:pPr>
        <w:pStyle w:val="Heading1"/>
        <w:numPr>
          <w:ilvl w:val="0"/>
          <w:numId w:val="18"/>
        </w:numPr>
        <w:jc w:val="both"/>
      </w:pPr>
      <w:r>
        <w:t>Discussion</w:t>
      </w:r>
    </w:p>
    <w:p w14:paraId="2C54E9F3" w14:textId="231B078C" w:rsidR="00741393" w:rsidRDefault="00AA0B55" w:rsidP="00337758">
      <w:r>
        <w:t>The following text in 36.211 specifies the UE behaviour for uplink segemented transmission for NB-IoT and eMTC over NTN.</w:t>
      </w:r>
    </w:p>
    <w:p w14:paraId="7F0C068E" w14:textId="77777777" w:rsidR="00AA0B55" w:rsidRPr="00AA0B55" w:rsidRDefault="00AA0B55" w:rsidP="00AA0B55">
      <w:pPr>
        <w:rPr>
          <w:i/>
          <w:iCs/>
          <w:lang w:val="en-US" w:eastAsia="en-IN"/>
        </w:rPr>
      </w:pPr>
      <w:r w:rsidRPr="00AA0B55">
        <w:rPr>
          <w:i/>
          <w:iCs/>
          <w:lang w:val="en-US"/>
        </w:rPr>
        <w:t>10.1.3.6 for NB-IoT</w:t>
      </w:r>
    </w:p>
    <w:p w14:paraId="0B6469CE" w14:textId="7EA3B16E" w:rsidR="00AA0B55" w:rsidRPr="00AA0B55" w:rsidRDefault="00AA0B55" w:rsidP="00AA0B55">
      <w:pPr>
        <w:rPr>
          <w:i/>
          <w:iCs/>
          <w:lang w:val="en-US" w:eastAsia="ja-JP"/>
        </w:rPr>
      </w:pPr>
      <w:r w:rsidRPr="00AA0B55">
        <w:rPr>
          <w:i/>
          <w:iCs/>
          <w:lang w:val="en-US"/>
        </w:rPr>
        <w:t>“</w:t>
      </w:r>
      <w:r w:rsidRPr="00AA0B55">
        <w:rPr>
          <w:i/>
          <w:iCs/>
          <w:lang w:val="en-US" w:eastAsia="ja-JP"/>
        </w:rPr>
        <w:t xml:space="preserve">For a UE communicating over NTN, after transmissions (and/or postponements due to NPRACH) of </w:t>
      </w:r>
      <m:oMath>
        <m:sSubSup>
          <m:sSubSupPr>
            <m:ctrlPr>
              <w:rPr>
                <w:rFonts w:ascii="Cambria Math" w:eastAsiaTheme="minorHAnsi" w:hAnsi="Cambria Math" w:cs="Calibri"/>
                <w:i/>
                <w:iCs/>
                <w:sz w:val="22"/>
                <w:szCs w:val="22"/>
                <w:lang w:val="en-US"/>
              </w:rPr>
            </m:ctrlPr>
          </m:sSubSupPr>
          <m:e>
            <m:r>
              <w:rPr>
                <w:rFonts w:ascii="Cambria Math" w:hAnsi="Cambria Math"/>
                <w:lang w:val="en-US"/>
              </w:rPr>
              <m:t>N</m:t>
            </m:r>
          </m:e>
          <m:sub>
            <m:r>
              <m:rPr>
                <m:nor/>
              </m:rPr>
              <w:rPr>
                <w:rFonts w:ascii="Cambria Math" w:hAnsi="Cambria Math"/>
                <w:i/>
                <w:iCs/>
                <w:lang w:val="en-US"/>
              </w:rPr>
              <m:t>segment</m:t>
            </m:r>
          </m:sub>
          <m:sup>
            <m:r>
              <m:rPr>
                <m:nor/>
              </m:rPr>
              <w:rPr>
                <w:rFonts w:ascii="Cambria Math" w:hAnsi="Cambria Math"/>
                <w:i/>
                <w:iCs/>
                <w:lang w:val="en-US"/>
              </w:rPr>
              <m:t>precompensation</m:t>
            </m:r>
          </m:sup>
        </m:sSubSup>
      </m:oMath>
      <w:r w:rsidRPr="00AA0B55">
        <w:rPr>
          <w:i/>
          <w:iCs/>
          <w:lang w:val="en-US" w:eastAsia="ja-JP"/>
        </w:rPr>
        <w:t xml:space="preserve"> time units, for frame structure type 1, a transmission gap of </w:t>
      </w:r>
      <m:oMath>
        <m:sSubSup>
          <m:sSubSupPr>
            <m:ctrlPr>
              <w:rPr>
                <w:rFonts w:ascii="Cambria Math" w:eastAsiaTheme="minorHAnsi" w:hAnsi="Cambria Math" w:cs="Calibri"/>
                <w:i/>
                <w:iCs/>
                <w:sz w:val="22"/>
                <w:szCs w:val="22"/>
                <w:lang w:val="en-US"/>
              </w:rPr>
            </m:ctrlPr>
          </m:sSubSupPr>
          <m:e>
            <m:r>
              <w:rPr>
                <w:rFonts w:ascii="Cambria Math" w:hAnsi="Cambria Math"/>
                <w:lang w:val="en-US"/>
              </w:rPr>
              <m:t>N</m:t>
            </m:r>
          </m:e>
          <m:sub>
            <m:r>
              <m:rPr>
                <m:nor/>
              </m:rPr>
              <w:rPr>
                <w:rFonts w:ascii="Cambria Math" w:hAnsi="Cambria Math"/>
                <w:i/>
                <w:iCs/>
                <w:lang w:val="en-US"/>
              </w:rPr>
              <m:t>gap</m:t>
            </m:r>
          </m:sub>
          <m:sup>
            <m:r>
              <m:rPr>
                <m:nor/>
              </m:rPr>
              <w:rPr>
                <w:rFonts w:ascii="Cambria Math" w:hAnsi="Cambria Math"/>
                <w:i/>
                <w:iCs/>
                <w:lang w:val="en-US"/>
              </w:rPr>
              <m:t>precompensation</m:t>
            </m:r>
          </m:sup>
        </m:sSubSup>
      </m:oMath>
      <w:r w:rsidRPr="00AA0B55">
        <w:rPr>
          <w:i/>
          <w:iCs/>
          <w:lang w:val="en-US" w:eastAsia="ja-JP"/>
        </w:rPr>
        <w:t xml:space="preserve"> time units shall be counted for the NPUSCH resource mapping but not used for transmission of the NPUSCH according to the UE capability ue-NBIOT-NeedSegmentedPrecompensationGaps as specified in 3GPP TS 36.331 [9]. The quantity </w:t>
      </w:r>
      <m:oMath>
        <m:sSubSup>
          <m:sSubSupPr>
            <m:ctrlPr>
              <w:rPr>
                <w:rFonts w:ascii="Cambria Math" w:eastAsiaTheme="minorHAnsi" w:hAnsi="Cambria Math" w:cs="Calibri"/>
                <w:i/>
                <w:iCs/>
                <w:sz w:val="22"/>
                <w:szCs w:val="22"/>
                <w:lang w:val="en-US"/>
              </w:rPr>
            </m:ctrlPr>
          </m:sSubSupPr>
          <m:e>
            <m:r>
              <w:rPr>
                <w:rFonts w:ascii="Cambria Math" w:hAnsi="Cambria Math"/>
                <w:lang w:val="en-US"/>
              </w:rPr>
              <m:t>N</m:t>
            </m:r>
          </m:e>
          <m:sub>
            <m:r>
              <m:rPr>
                <m:nor/>
              </m:rPr>
              <w:rPr>
                <w:rFonts w:ascii="Cambria Math" w:hAnsi="Cambria Math"/>
                <w:i/>
                <w:iCs/>
                <w:lang w:val="en-US"/>
              </w:rPr>
              <m:t>segment</m:t>
            </m:r>
          </m:sub>
          <m:sup>
            <m:r>
              <m:rPr>
                <m:nor/>
              </m:rPr>
              <w:rPr>
                <w:rFonts w:ascii="Cambria Math" w:hAnsi="Cambria Math"/>
                <w:i/>
                <w:iCs/>
                <w:lang w:val="en-US"/>
              </w:rPr>
              <m:t>precompensation</m:t>
            </m:r>
          </m:sup>
        </m:sSubSup>
      </m:oMath>
      <w:r w:rsidRPr="00AA0B55">
        <w:rPr>
          <w:i/>
          <w:iCs/>
          <w:lang w:val="en-US" w:eastAsia="ja-JP"/>
        </w:rPr>
        <w:t xml:space="preserve"> is provided by higher layers, and the quantity of </w:t>
      </w:r>
      <m:oMath>
        <m:sSubSup>
          <m:sSubSupPr>
            <m:ctrlPr>
              <w:rPr>
                <w:rFonts w:ascii="Cambria Math" w:eastAsiaTheme="minorHAnsi" w:hAnsi="Cambria Math" w:cs="Calibri"/>
                <w:i/>
                <w:iCs/>
                <w:sz w:val="22"/>
                <w:szCs w:val="22"/>
                <w:highlight w:val="yellow"/>
                <w:lang w:val="en-US"/>
              </w:rPr>
            </m:ctrlPr>
          </m:sSubSupPr>
          <m:e>
            <m:r>
              <w:rPr>
                <w:rFonts w:ascii="Cambria Math" w:hAnsi="Cambria Math"/>
                <w:highlight w:val="yellow"/>
                <w:lang w:val="en-US"/>
              </w:rPr>
              <m:t>N</m:t>
            </m:r>
          </m:e>
          <m:sub>
            <m:r>
              <m:rPr>
                <m:nor/>
              </m:rPr>
              <w:rPr>
                <w:rFonts w:ascii="Cambria Math" w:hAnsi="Cambria Math"/>
                <w:i/>
                <w:iCs/>
                <w:highlight w:val="yellow"/>
                <w:lang w:val="en-US"/>
              </w:rPr>
              <m:t>gap</m:t>
            </m:r>
          </m:sub>
          <m:sup>
            <m:r>
              <m:rPr>
                <m:nor/>
              </m:rPr>
              <w:rPr>
                <w:rFonts w:ascii="Cambria Math" w:hAnsi="Cambria Math"/>
                <w:i/>
                <w:iCs/>
                <w:highlight w:val="yellow"/>
                <w:lang w:val="en-US"/>
              </w:rPr>
              <m:t>precompensation</m:t>
            </m:r>
          </m:sup>
        </m:sSubSup>
      </m:oMath>
      <w:r w:rsidRPr="00AA0B55">
        <w:rPr>
          <w:i/>
          <w:iCs/>
          <w:lang w:val="en-US" w:eastAsia="ja-JP"/>
        </w:rPr>
        <w:t xml:space="preserve"> is configured by higher layers based on the UE capability if signalled.</w:t>
      </w:r>
      <w:r w:rsidRPr="00AA0B55">
        <w:rPr>
          <w:i/>
          <w:iCs/>
          <w:lang w:val="en-US"/>
        </w:rPr>
        <w:t>”</w:t>
      </w:r>
    </w:p>
    <w:p w14:paraId="263BACD3" w14:textId="77777777" w:rsidR="00AA0B55" w:rsidRPr="00AA0B55" w:rsidRDefault="00AA0B55" w:rsidP="00AA0B55">
      <w:pPr>
        <w:rPr>
          <w:rFonts w:ascii="Calibri" w:hAnsi="Calibri" w:cs="Calibri"/>
          <w:i/>
          <w:iCs/>
          <w:sz w:val="22"/>
          <w:szCs w:val="22"/>
          <w:lang w:val="en-US" w:eastAsia="en-IN"/>
        </w:rPr>
      </w:pPr>
    </w:p>
    <w:p w14:paraId="5A61DBD7" w14:textId="77777777" w:rsidR="00AA0B55" w:rsidRPr="00AA0B55" w:rsidRDefault="00AA0B55" w:rsidP="00AA0B55">
      <w:pPr>
        <w:rPr>
          <w:i/>
          <w:iCs/>
          <w:lang w:val="en-US"/>
        </w:rPr>
      </w:pPr>
    </w:p>
    <w:p w14:paraId="773BA1FE" w14:textId="77777777" w:rsidR="00AA0B55" w:rsidRPr="00AA0B55" w:rsidRDefault="00AA0B55" w:rsidP="00AA0B55">
      <w:pPr>
        <w:rPr>
          <w:i/>
          <w:iCs/>
          <w:lang w:val="en-US"/>
        </w:rPr>
      </w:pPr>
      <w:r w:rsidRPr="00AA0B55">
        <w:rPr>
          <w:i/>
          <w:iCs/>
          <w:lang w:val="en-US"/>
        </w:rPr>
        <w:t>5.3.4 for eMTC PUSCH</w:t>
      </w:r>
    </w:p>
    <w:p w14:paraId="45C273C6" w14:textId="2EA8C364" w:rsidR="00AA0B55" w:rsidRPr="00AA0B55" w:rsidRDefault="00AA0B55" w:rsidP="00AA0B55">
      <w:pPr>
        <w:rPr>
          <w:i/>
          <w:iCs/>
          <w:lang w:val="en-US"/>
        </w:rPr>
      </w:pPr>
      <w:r w:rsidRPr="00AA0B55">
        <w:rPr>
          <w:i/>
          <w:iCs/>
          <w:lang w:val="en-US"/>
        </w:rPr>
        <w:t xml:space="preserve">“For BL/CE UEs communicating over NTN, for PUSCH transmission, for frame structure type 1, after a transmission duration of </w:t>
      </w:r>
      <m:oMath>
        <m:sSubSup>
          <m:sSubSupPr>
            <m:ctrlPr>
              <w:rPr>
                <w:rFonts w:ascii="Cambria Math" w:eastAsiaTheme="minorHAnsi" w:hAnsi="Cambria Math" w:cs="Calibri"/>
                <w:i/>
                <w:iCs/>
                <w:sz w:val="22"/>
                <w:szCs w:val="22"/>
                <w:lang w:val="en-US"/>
              </w:rPr>
            </m:ctrlPr>
          </m:sSubSupPr>
          <m:e>
            <m:r>
              <w:rPr>
                <w:rFonts w:ascii="Cambria Math" w:hAnsi="Cambria Math"/>
                <w:lang w:val="en-US"/>
              </w:rPr>
              <m:t>N</m:t>
            </m:r>
          </m:e>
          <m:sub>
            <m:r>
              <m:rPr>
                <m:nor/>
              </m:rPr>
              <w:rPr>
                <w:rFonts w:ascii="Cambria Math" w:hAnsi="Cambria Math"/>
                <w:i/>
                <w:iCs/>
                <w:lang w:val="en-US"/>
              </w:rPr>
              <m:t>segment</m:t>
            </m:r>
          </m:sub>
          <m:sup>
            <m:r>
              <m:rPr>
                <m:nor/>
              </m:rPr>
              <w:rPr>
                <w:rFonts w:ascii="Cambria Math" w:hAnsi="Cambria Math"/>
                <w:i/>
                <w:iCs/>
                <w:lang w:val="en-US"/>
              </w:rPr>
              <m:t>precompensation</m:t>
            </m:r>
          </m:sup>
        </m:sSubSup>
      </m:oMath>
      <w:r w:rsidRPr="00AA0B55">
        <w:rPr>
          <w:i/>
          <w:iCs/>
          <w:lang w:val="en-US"/>
        </w:rPr>
        <w:t xml:space="preserve"> time units (which may include subframes that are not BL/CE UL subframes), a transmission gap of </w:t>
      </w:r>
      <m:oMath>
        <m:sSubSup>
          <m:sSubSupPr>
            <m:ctrlPr>
              <w:rPr>
                <w:rFonts w:ascii="Cambria Math" w:eastAsiaTheme="minorHAnsi" w:hAnsi="Cambria Math" w:cs="Calibri"/>
                <w:i/>
                <w:iCs/>
                <w:sz w:val="22"/>
                <w:szCs w:val="22"/>
                <w:lang w:val="en-US"/>
              </w:rPr>
            </m:ctrlPr>
          </m:sSubSupPr>
          <m:e>
            <m:r>
              <w:rPr>
                <w:rFonts w:ascii="Cambria Math" w:hAnsi="Cambria Math"/>
                <w:lang w:val="en-US"/>
              </w:rPr>
              <m:t>N</m:t>
            </m:r>
          </m:e>
          <m:sub>
            <m:r>
              <m:rPr>
                <m:nor/>
              </m:rPr>
              <w:rPr>
                <w:rFonts w:ascii="Cambria Math" w:hAnsi="Cambria Math"/>
                <w:i/>
                <w:iCs/>
                <w:lang w:val="en-US"/>
              </w:rPr>
              <m:t>gap</m:t>
            </m:r>
          </m:sub>
          <m:sup>
            <m:r>
              <m:rPr>
                <m:nor/>
              </m:rPr>
              <w:rPr>
                <w:rFonts w:ascii="Cambria Math" w:hAnsi="Cambria Math"/>
                <w:i/>
                <w:iCs/>
                <w:lang w:val="en-US"/>
              </w:rPr>
              <m:t>precompensation</m:t>
            </m:r>
          </m:sup>
        </m:sSubSup>
      </m:oMath>
      <w:r w:rsidRPr="00AA0B55">
        <w:rPr>
          <w:i/>
          <w:iCs/>
          <w:lang w:val="en-US"/>
        </w:rPr>
        <w:t xml:space="preserve"> time units shall be counted for the PUSCH resource mapping but not used for transmission of the PUSCH, according to the single UE capability ue-CE-NeedSegmentedPrecompensationGaps, as specified in 3GPP TS 36.331 [9]. The quantity </w:t>
      </w:r>
      <m:oMath>
        <m:sSubSup>
          <m:sSubSupPr>
            <m:ctrlPr>
              <w:rPr>
                <w:rFonts w:ascii="Cambria Math" w:eastAsiaTheme="minorHAnsi" w:hAnsi="Cambria Math" w:cs="Calibri"/>
                <w:i/>
                <w:iCs/>
                <w:sz w:val="22"/>
                <w:szCs w:val="22"/>
                <w:lang w:val="en-US"/>
              </w:rPr>
            </m:ctrlPr>
          </m:sSubSupPr>
          <m:e>
            <m:r>
              <w:rPr>
                <w:rFonts w:ascii="Cambria Math" w:hAnsi="Cambria Math"/>
                <w:lang w:val="en-US"/>
              </w:rPr>
              <m:t>N</m:t>
            </m:r>
          </m:e>
          <m:sub>
            <m:r>
              <m:rPr>
                <m:nor/>
              </m:rPr>
              <w:rPr>
                <w:rFonts w:ascii="Cambria Math" w:hAnsi="Cambria Math"/>
                <w:i/>
                <w:iCs/>
                <w:lang w:val="en-US"/>
              </w:rPr>
              <m:t>segment</m:t>
            </m:r>
          </m:sub>
          <m:sup>
            <m:r>
              <m:rPr>
                <m:nor/>
              </m:rPr>
              <w:rPr>
                <w:rFonts w:ascii="Cambria Math" w:hAnsi="Cambria Math"/>
                <w:i/>
                <w:iCs/>
                <w:lang w:val="en-US"/>
              </w:rPr>
              <m:t>precompensation</m:t>
            </m:r>
          </m:sup>
        </m:sSubSup>
      </m:oMath>
      <w:r w:rsidRPr="00AA0B55">
        <w:rPr>
          <w:i/>
          <w:iCs/>
          <w:lang w:val="en-US"/>
        </w:rPr>
        <w:t xml:space="preserve"> is provided by higher layers, and the quantity </w:t>
      </w:r>
      <m:oMath>
        <m:sSubSup>
          <m:sSubSupPr>
            <m:ctrlPr>
              <w:rPr>
                <w:rFonts w:ascii="Cambria Math" w:eastAsiaTheme="minorHAnsi" w:hAnsi="Cambria Math" w:cs="Calibri"/>
                <w:i/>
                <w:iCs/>
                <w:sz w:val="22"/>
                <w:szCs w:val="22"/>
                <w:highlight w:val="yellow"/>
                <w:lang w:val="en-US"/>
              </w:rPr>
            </m:ctrlPr>
          </m:sSubSupPr>
          <m:e>
            <m:r>
              <w:rPr>
                <w:rFonts w:ascii="Cambria Math" w:hAnsi="Cambria Math"/>
                <w:highlight w:val="yellow"/>
                <w:lang w:val="en-US"/>
              </w:rPr>
              <m:t>N</m:t>
            </m:r>
          </m:e>
          <m:sub>
            <m:r>
              <m:rPr>
                <m:nor/>
              </m:rPr>
              <w:rPr>
                <w:rFonts w:ascii="Cambria Math" w:hAnsi="Cambria Math"/>
                <w:i/>
                <w:iCs/>
                <w:highlight w:val="yellow"/>
                <w:lang w:val="en-US"/>
              </w:rPr>
              <m:t>gap</m:t>
            </m:r>
          </m:sub>
          <m:sup>
            <m:r>
              <m:rPr>
                <m:nor/>
              </m:rPr>
              <w:rPr>
                <w:rFonts w:ascii="Cambria Math" w:hAnsi="Cambria Math"/>
                <w:i/>
                <w:iCs/>
                <w:highlight w:val="yellow"/>
                <w:lang w:val="en-US"/>
              </w:rPr>
              <m:t>precompensation</m:t>
            </m:r>
          </m:sup>
        </m:sSubSup>
      </m:oMath>
      <w:r w:rsidRPr="00AA0B55">
        <w:rPr>
          <w:i/>
          <w:iCs/>
          <w:lang w:val="en-US"/>
        </w:rPr>
        <w:t xml:space="preserve"> is configured by higher layers based on the UE capability, if signalled.”</w:t>
      </w:r>
    </w:p>
    <w:p w14:paraId="4FE05F5A" w14:textId="77777777" w:rsidR="00AA0B55" w:rsidRPr="00AA0B55" w:rsidRDefault="00AA0B55" w:rsidP="00AA0B55">
      <w:pPr>
        <w:rPr>
          <w:i/>
          <w:iCs/>
          <w:lang w:val="en-US"/>
        </w:rPr>
      </w:pPr>
    </w:p>
    <w:p w14:paraId="6DB6D32A" w14:textId="77777777" w:rsidR="00AA0B55" w:rsidRPr="00AA0B55" w:rsidRDefault="00AA0B55" w:rsidP="00AA0B55">
      <w:pPr>
        <w:rPr>
          <w:i/>
          <w:iCs/>
          <w:lang w:val="en-US"/>
        </w:rPr>
      </w:pPr>
      <w:r w:rsidRPr="00AA0B55">
        <w:rPr>
          <w:i/>
          <w:iCs/>
          <w:lang w:val="en-US"/>
        </w:rPr>
        <w:t>5.4.3 for eMTC PUCCH</w:t>
      </w:r>
    </w:p>
    <w:p w14:paraId="19CFD970" w14:textId="7F028A28" w:rsidR="00AA0B55" w:rsidRPr="00AA0B55" w:rsidRDefault="00AA0B55" w:rsidP="00AA0B55">
      <w:pPr>
        <w:rPr>
          <w:i/>
          <w:iCs/>
          <w:lang w:val="en-US"/>
        </w:rPr>
      </w:pPr>
      <w:r w:rsidRPr="00AA0B55">
        <w:rPr>
          <w:i/>
          <w:iCs/>
          <w:lang w:val="en-US"/>
        </w:rPr>
        <w:t xml:space="preserve">“For BL/CE UEs communicating over NTN, for PUCCH transmission, for frame structure type 1, after a transmission duration of </w:t>
      </w:r>
      <m:oMath>
        <m:sSubSup>
          <m:sSubSupPr>
            <m:ctrlPr>
              <w:rPr>
                <w:rFonts w:ascii="Cambria Math" w:eastAsiaTheme="minorHAnsi" w:hAnsi="Cambria Math" w:cs="Calibri"/>
                <w:i/>
                <w:iCs/>
                <w:sz w:val="22"/>
                <w:szCs w:val="22"/>
                <w:lang w:val="en-US"/>
              </w:rPr>
            </m:ctrlPr>
          </m:sSubSupPr>
          <m:e>
            <m:r>
              <w:rPr>
                <w:rFonts w:ascii="Cambria Math" w:hAnsi="Cambria Math"/>
                <w:lang w:val="en-US"/>
              </w:rPr>
              <m:t>N</m:t>
            </m:r>
          </m:e>
          <m:sub>
            <m:r>
              <m:rPr>
                <m:nor/>
              </m:rPr>
              <w:rPr>
                <w:rFonts w:ascii="Cambria Math" w:hAnsi="Cambria Math"/>
                <w:i/>
                <w:iCs/>
                <w:lang w:val="en-US"/>
              </w:rPr>
              <m:t>segment</m:t>
            </m:r>
          </m:sub>
          <m:sup>
            <m:r>
              <m:rPr>
                <m:nor/>
              </m:rPr>
              <w:rPr>
                <w:rFonts w:ascii="Cambria Math" w:hAnsi="Cambria Math"/>
                <w:i/>
                <w:iCs/>
                <w:lang w:val="en-US"/>
              </w:rPr>
              <m:t>precompensation</m:t>
            </m:r>
          </m:sup>
        </m:sSubSup>
      </m:oMath>
      <w:r w:rsidRPr="00AA0B55">
        <w:rPr>
          <w:i/>
          <w:iCs/>
          <w:lang w:val="en-US"/>
        </w:rPr>
        <w:t xml:space="preserve"> time units (which may include subframes that are not BL/CE UL subframes), a transmission gap of </w:t>
      </w:r>
      <m:oMath>
        <m:sSubSup>
          <m:sSubSupPr>
            <m:ctrlPr>
              <w:rPr>
                <w:rFonts w:ascii="Cambria Math" w:eastAsiaTheme="minorHAnsi" w:hAnsi="Cambria Math" w:cs="Calibri"/>
                <w:i/>
                <w:iCs/>
                <w:sz w:val="22"/>
                <w:szCs w:val="22"/>
                <w:lang w:val="en-US"/>
              </w:rPr>
            </m:ctrlPr>
          </m:sSubSupPr>
          <m:e>
            <m:r>
              <w:rPr>
                <w:rFonts w:ascii="Cambria Math" w:hAnsi="Cambria Math"/>
                <w:lang w:val="en-US"/>
              </w:rPr>
              <m:t>N</m:t>
            </m:r>
          </m:e>
          <m:sub>
            <m:r>
              <m:rPr>
                <m:nor/>
              </m:rPr>
              <w:rPr>
                <w:rFonts w:ascii="Cambria Math" w:hAnsi="Cambria Math"/>
                <w:i/>
                <w:iCs/>
                <w:lang w:val="en-US"/>
              </w:rPr>
              <m:t>gap</m:t>
            </m:r>
          </m:sub>
          <m:sup>
            <m:r>
              <m:rPr>
                <m:nor/>
              </m:rPr>
              <w:rPr>
                <w:rFonts w:ascii="Cambria Math" w:hAnsi="Cambria Math"/>
                <w:i/>
                <w:iCs/>
                <w:lang w:val="en-US"/>
              </w:rPr>
              <m:t>precompensation</m:t>
            </m:r>
          </m:sup>
        </m:sSubSup>
      </m:oMath>
      <w:r w:rsidRPr="00AA0B55">
        <w:rPr>
          <w:i/>
          <w:iCs/>
          <w:lang w:val="en-US"/>
        </w:rPr>
        <w:t xml:space="preserve"> time units shall be counted for the PUCCH resource mapping but not used for transmission of the PUCCH, according to the single UE capability ue-CE-NeedSegmentedPrecompensationGaps, as specified in 3GPP </w:t>
      </w:r>
      <w:r w:rsidRPr="00AA0B55">
        <w:rPr>
          <w:i/>
          <w:iCs/>
          <w:lang w:val="en-US"/>
        </w:rPr>
        <w:lastRenderedPageBreak/>
        <w:t xml:space="preserve">TS 36.331 [9]. The quantity </w:t>
      </w:r>
      <m:oMath>
        <m:sSubSup>
          <m:sSubSupPr>
            <m:ctrlPr>
              <w:rPr>
                <w:rFonts w:ascii="Cambria Math" w:eastAsiaTheme="minorHAnsi" w:hAnsi="Cambria Math" w:cs="Calibri"/>
                <w:i/>
                <w:iCs/>
                <w:sz w:val="22"/>
                <w:szCs w:val="22"/>
                <w:lang w:val="en-US"/>
              </w:rPr>
            </m:ctrlPr>
          </m:sSubSupPr>
          <m:e>
            <m:r>
              <w:rPr>
                <w:rFonts w:ascii="Cambria Math" w:hAnsi="Cambria Math"/>
                <w:lang w:val="en-US"/>
              </w:rPr>
              <m:t>N</m:t>
            </m:r>
          </m:e>
          <m:sub>
            <m:r>
              <m:rPr>
                <m:nor/>
              </m:rPr>
              <w:rPr>
                <w:rFonts w:ascii="Cambria Math" w:hAnsi="Cambria Math"/>
                <w:i/>
                <w:iCs/>
                <w:lang w:val="en-US"/>
              </w:rPr>
              <m:t>segment</m:t>
            </m:r>
          </m:sub>
          <m:sup>
            <m:r>
              <m:rPr>
                <m:nor/>
              </m:rPr>
              <w:rPr>
                <w:rFonts w:ascii="Cambria Math" w:hAnsi="Cambria Math"/>
                <w:i/>
                <w:iCs/>
                <w:lang w:val="en-US"/>
              </w:rPr>
              <m:t>precompensation</m:t>
            </m:r>
          </m:sup>
        </m:sSubSup>
      </m:oMath>
      <w:r w:rsidRPr="00AA0B55">
        <w:rPr>
          <w:i/>
          <w:iCs/>
          <w:lang w:val="en-US"/>
        </w:rPr>
        <w:t xml:space="preserve"> is provided by higher layers, and the quantity </w:t>
      </w:r>
      <m:oMath>
        <m:sSubSup>
          <m:sSubSupPr>
            <m:ctrlPr>
              <w:rPr>
                <w:rFonts w:ascii="Cambria Math" w:eastAsiaTheme="minorHAnsi" w:hAnsi="Cambria Math" w:cs="Calibri"/>
                <w:i/>
                <w:iCs/>
                <w:sz w:val="22"/>
                <w:szCs w:val="22"/>
                <w:highlight w:val="yellow"/>
                <w:lang w:val="en-US"/>
              </w:rPr>
            </m:ctrlPr>
          </m:sSubSupPr>
          <m:e>
            <m:r>
              <w:rPr>
                <w:rFonts w:ascii="Cambria Math" w:hAnsi="Cambria Math"/>
                <w:highlight w:val="yellow"/>
                <w:lang w:val="en-US"/>
              </w:rPr>
              <m:t>N</m:t>
            </m:r>
          </m:e>
          <m:sub>
            <m:r>
              <m:rPr>
                <m:nor/>
              </m:rPr>
              <w:rPr>
                <w:rFonts w:ascii="Cambria Math" w:hAnsi="Cambria Math"/>
                <w:i/>
                <w:iCs/>
                <w:highlight w:val="yellow"/>
                <w:lang w:val="en-US"/>
              </w:rPr>
              <m:t>gap</m:t>
            </m:r>
          </m:sub>
          <m:sup>
            <m:r>
              <m:rPr>
                <m:nor/>
              </m:rPr>
              <w:rPr>
                <w:rFonts w:ascii="Cambria Math" w:hAnsi="Cambria Math"/>
                <w:i/>
                <w:iCs/>
                <w:highlight w:val="yellow"/>
                <w:lang w:val="en-US"/>
              </w:rPr>
              <m:t>precompensation</m:t>
            </m:r>
          </m:sup>
        </m:sSubSup>
      </m:oMath>
      <w:r w:rsidRPr="00AA0B55">
        <w:rPr>
          <w:i/>
          <w:iCs/>
          <w:lang w:val="en-US"/>
        </w:rPr>
        <w:t xml:space="preserve"> is configured by higher layers based on the UE capability, if signalled.”</w:t>
      </w:r>
    </w:p>
    <w:p w14:paraId="085E40BF" w14:textId="3953B609" w:rsidR="00AA0B55" w:rsidRDefault="00AA0B55" w:rsidP="00337758"/>
    <w:p w14:paraId="5B7B55D4" w14:textId="4B5162FC" w:rsidR="00AA0B55" w:rsidRDefault="00AA0B55" w:rsidP="00337758">
      <w:r>
        <w:t>As per the above description the parameter for precompensation gap is explicitly configured that also includes the legacy UE behaviour</w:t>
      </w:r>
      <w:r w:rsidR="00447826">
        <w:t xml:space="preserve"> for dropping of samples.</w:t>
      </w:r>
    </w:p>
    <w:p w14:paraId="09E98DC2" w14:textId="507882EF" w:rsidR="00AA0B55" w:rsidRDefault="00AA0B55" w:rsidP="00337758">
      <w:r>
        <w:t xml:space="preserve">But the RRC configuration parameter defined in 36.331 does not include the option of dropping samples that </w:t>
      </w:r>
      <w:r w:rsidR="00447826">
        <w:t>maps to legacy behaviour as option.</w:t>
      </w:r>
    </w:p>
    <w:p w14:paraId="1941AE81" w14:textId="77777777" w:rsidR="00AA0B55" w:rsidRDefault="00AA0B55" w:rsidP="00AA0B55">
      <w:pPr>
        <w:pStyle w:val="Heading4"/>
        <w:rPr>
          <w:lang w:eastAsia="ja-JP"/>
        </w:rPr>
      </w:pPr>
      <w:r>
        <w:rPr>
          <w:i/>
          <w:iCs/>
        </w:rPr>
        <w:t>PhysicalConfigDedicated</w:t>
      </w:r>
    </w:p>
    <w:p w14:paraId="07D04E27" w14:textId="77777777" w:rsidR="00AA0B55" w:rsidRDefault="00AA0B55" w:rsidP="00AA0B55">
      <w:pPr>
        <w:rPr>
          <w:rFonts w:eastAsiaTheme="minorHAnsi"/>
          <w:lang w:val="en-US"/>
        </w:rPr>
      </w:pPr>
    </w:p>
    <w:p w14:paraId="5D52E5FD" w14:textId="6C883D9C" w:rsidR="00AA0B55" w:rsidRDefault="00AA0B55" w:rsidP="00AA0B55">
      <w:pPr>
        <w:pStyle w:val="PL"/>
        <w:shd w:val="clear" w:color="auto" w:fill="E6E6E6"/>
        <w:rPr>
          <w:lang w:val="en-US"/>
        </w:rPr>
      </w:pPr>
      <w:r>
        <w:rPr>
          <w:color w:val="000000"/>
          <w:lang w:val="en-US"/>
        </w:rPr>
        <w:t>        uplinkSegmentedPrecompensationGap-r17  ENUMERATED {sym1,sl1,sf1 }        OPTIONAL  -- Need OR</w:t>
      </w:r>
    </w:p>
    <w:p w14:paraId="504E011D" w14:textId="77777777" w:rsidR="00AA0B55" w:rsidRDefault="00AA0B55" w:rsidP="00AA0B55"/>
    <w:p w14:paraId="5B8D8615" w14:textId="77777777" w:rsidR="00AA0B55" w:rsidRDefault="00AA0B55" w:rsidP="00AA0B55">
      <w:pPr>
        <w:pStyle w:val="TAL"/>
        <w:rPr>
          <w:b/>
          <w:bCs/>
          <w:i/>
          <w:iCs/>
          <w:lang w:eastAsia="en-GB"/>
        </w:rPr>
      </w:pPr>
      <w:r>
        <w:rPr>
          <w:b/>
          <w:bCs/>
          <w:i/>
          <w:iCs/>
          <w:lang w:val="en-US" w:eastAsia="en-GB"/>
        </w:rPr>
        <w:t>uplinkSegmentedPrecompensationGap</w:t>
      </w:r>
    </w:p>
    <w:p w14:paraId="490DDE77" w14:textId="286BEDE1" w:rsidR="00AA0B55" w:rsidRDefault="00AA0B55" w:rsidP="00AA0B55">
      <w:pPr>
        <w:rPr>
          <w:lang w:val="en-US" w:eastAsia="en-GB"/>
        </w:rPr>
      </w:pPr>
      <w:r>
        <w:rPr>
          <w:lang w:val="en-US"/>
        </w:rPr>
        <w:t xml:space="preserve">Indicates the gap value between segments for PUSCH and PUCCH for TA pre-compensation. </w:t>
      </w:r>
      <w:r>
        <w:rPr>
          <w:lang w:val="en-US" w:eastAsia="en-GB"/>
        </w:rPr>
        <w:t>Value sym1 corresponds to 1 symbol, value sl1 corresponds to 1 slot, value sf1 corresponds to 1 subframe.</w:t>
      </w:r>
    </w:p>
    <w:p w14:paraId="4F919406" w14:textId="6A3BAE98" w:rsidR="00AA0B55" w:rsidRDefault="00AA0B55" w:rsidP="00AA0B55">
      <w:pPr>
        <w:rPr>
          <w:color w:val="000000"/>
          <w:lang w:val="en-US"/>
        </w:rPr>
      </w:pPr>
      <w:r w:rsidRPr="00AA0B55">
        <w:rPr>
          <w:b/>
          <w:bCs/>
          <w:lang w:val="en-US" w:eastAsia="en-GB"/>
        </w:rPr>
        <w:t xml:space="preserve">Observation 1: The RRC configuration parameter </w:t>
      </w:r>
      <w:r w:rsidRPr="00AA0B55">
        <w:rPr>
          <w:b/>
          <w:bCs/>
          <w:i/>
          <w:iCs/>
          <w:color w:val="000000"/>
          <w:lang w:val="en-US"/>
        </w:rPr>
        <w:t>uplinkSegmentedPrecompensationGap</w:t>
      </w:r>
      <w:r w:rsidRPr="00AA0B55">
        <w:rPr>
          <w:b/>
          <w:bCs/>
          <w:color w:val="000000"/>
          <w:lang w:val="en-US"/>
        </w:rPr>
        <w:t xml:space="preserve"> does not </w:t>
      </w:r>
      <w:r w:rsidR="00447826">
        <w:rPr>
          <w:b/>
          <w:bCs/>
          <w:color w:val="000000"/>
          <w:lang w:val="en-US"/>
        </w:rPr>
        <w:t>include option of dropping samples that Network may want to configure. As per RAN1 specification, UE behaviour on the gap is explicitly controlled by this parameter.</w:t>
      </w:r>
    </w:p>
    <w:p w14:paraId="47355C0C" w14:textId="691505E5" w:rsidR="00AA0B55" w:rsidRDefault="00AA0B55" w:rsidP="00AA0B55">
      <w:pPr>
        <w:rPr>
          <w:color w:val="000000"/>
          <w:lang w:val="en-US"/>
        </w:rPr>
      </w:pPr>
      <w:r>
        <w:rPr>
          <w:color w:val="000000"/>
          <w:lang w:val="en-US"/>
        </w:rPr>
        <w:t>Above problem can be resolved in following ways.</w:t>
      </w:r>
    </w:p>
    <w:p w14:paraId="6690149B" w14:textId="3688E73A" w:rsidR="00AA0B55" w:rsidRPr="00AA0B55" w:rsidRDefault="00AA0B55" w:rsidP="00AA0B55">
      <w:pPr>
        <w:pStyle w:val="ListParagraph"/>
        <w:numPr>
          <w:ilvl w:val="0"/>
          <w:numId w:val="48"/>
        </w:numPr>
        <w:rPr>
          <w:lang w:val="en-US" w:eastAsia="en-GB"/>
        </w:rPr>
      </w:pPr>
      <w:r>
        <w:rPr>
          <w:lang w:val="en-US" w:eastAsia="en-GB"/>
        </w:rPr>
        <w:t xml:space="preserve">Introduce new code point in </w:t>
      </w:r>
      <w:r>
        <w:rPr>
          <w:color w:val="000000"/>
          <w:lang w:val="en-US"/>
        </w:rPr>
        <w:t>uplinkSegmentedPrecompensationGap which is already of length 2 bit can accommodate the new value. But this change is not backward compatible with earlier versions of Rel-17.</w:t>
      </w:r>
    </w:p>
    <w:p w14:paraId="3D1B67E6" w14:textId="43991B92" w:rsidR="00AA0B55" w:rsidRDefault="00AA0B55" w:rsidP="00AA0B55">
      <w:pPr>
        <w:pStyle w:val="ListParagraph"/>
        <w:numPr>
          <w:ilvl w:val="0"/>
          <w:numId w:val="48"/>
        </w:numPr>
        <w:rPr>
          <w:lang w:val="en-US" w:eastAsia="en-GB"/>
        </w:rPr>
      </w:pPr>
      <w:r>
        <w:rPr>
          <w:lang w:val="en-US" w:eastAsia="en-GB"/>
        </w:rPr>
        <w:t>In the description additional not can be included that if this parameter is not present UE follows the sample dropping as per legacy UE behaviour.</w:t>
      </w:r>
    </w:p>
    <w:p w14:paraId="63C37FB0" w14:textId="0F9D2C72" w:rsidR="00AA0B55" w:rsidRDefault="00AA0B55" w:rsidP="00AA0B55">
      <w:pPr>
        <w:rPr>
          <w:lang w:val="en-US" w:eastAsia="en-GB"/>
        </w:rPr>
      </w:pPr>
      <w:r>
        <w:rPr>
          <w:lang w:val="en-US" w:eastAsia="en-GB"/>
        </w:rPr>
        <w:t>We propose RAN2 to select either of the above options to align the RRC parameter description inline with RAN1 specification.</w:t>
      </w:r>
    </w:p>
    <w:p w14:paraId="1BBEB9A7" w14:textId="6FDD1E4B" w:rsidR="00AA0B55" w:rsidRDefault="00AA0B55" w:rsidP="00AA0B55">
      <w:pPr>
        <w:rPr>
          <w:b/>
          <w:bCs/>
          <w:lang w:val="en-US" w:eastAsia="en-GB"/>
        </w:rPr>
      </w:pPr>
      <w:r w:rsidRPr="00AA0B55">
        <w:rPr>
          <w:b/>
          <w:bCs/>
          <w:lang w:val="en-US" w:eastAsia="en-GB"/>
        </w:rPr>
        <w:t xml:space="preserve">Proposal 1: RAN2 to down-select between introduction of new code point </w:t>
      </w:r>
      <w:r w:rsidRPr="00AA0B55">
        <w:rPr>
          <w:b/>
          <w:bCs/>
          <w:i/>
          <w:iCs/>
          <w:color w:val="000000"/>
          <w:lang w:val="en-US"/>
        </w:rPr>
        <w:t>uplinkSegmentedPrecompensationGap</w:t>
      </w:r>
      <w:r w:rsidRPr="00AA0B55">
        <w:rPr>
          <w:b/>
          <w:bCs/>
          <w:lang w:val="en-US" w:eastAsia="en-GB"/>
        </w:rPr>
        <w:t xml:space="preserve"> in the parameter or additional note to clarify the UE behaviour in the field description</w:t>
      </w:r>
      <w:r w:rsidR="00AB5C24">
        <w:rPr>
          <w:b/>
          <w:bCs/>
          <w:lang w:val="en-US" w:eastAsia="en-GB"/>
        </w:rPr>
        <w:t>.</w:t>
      </w:r>
    </w:p>
    <w:p w14:paraId="10E027A6" w14:textId="35C08B63" w:rsidR="00AB5C24" w:rsidRDefault="00AB5C24" w:rsidP="00AA0B55">
      <w:pPr>
        <w:rPr>
          <w:b/>
          <w:bCs/>
          <w:lang w:val="en-US" w:eastAsia="en-GB"/>
        </w:rPr>
      </w:pPr>
      <w:r>
        <w:rPr>
          <w:b/>
          <w:bCs/>
          <w:lang w:val="en-US" w:eastAsia="en-GB"/>
        </w:rPr>
        <w:t>Text Proposal for Option 1:</w:t>
      </w:r>
    </w:p>
    <w:p w14:paraId="51F3740F" w14:textId="7C82D48C" w:rsidR="00AB5C24" w:rsidRDefault="00AB5C24" w:rsidP="00AB5C24">
      <w:pPr>
        <w:pStyle w:val="PL"/>
        <w:shd w:val="clear" w:color="auto" w:fill="E6E6E6"/>
        <w:rPr>
          <w:lang w:val="en-US"/>
        </w:rPr>
      </w:pPr>
      <w:r>
        <w:rPr>
          <w:color w:val="000000"/>
          <w:lang w:val="en-US"/>
        </w:rPr>
        <w:t>        uplinkSegmentedPrecompensationGap-r17  ENUMERATED {sym1,sl1,sf1</w:t>
      </w:r>
      <w:r>
        <w:rPr>
          <w:color w:val="000000"/>
          <w:lang w:val="en-US"/>
        </w:rPr>
        <w:t>,</w:t>
      </w:r>
      <w:r w:rsidRPr="00AB5C24">
        <w:rPr>
          <w:color w:val="FF0000"/>
          <w:lang w:val="en-US"/>
        </w:rPr>
        <w:t>samples</w:t>
      </w:r>
      <w:r>
        <w:rPr>
          <w:color w:val="000000"/>
          <w:lang w:val="en-US"/>
        </w:rPr>
        <w:t xml:space="preserve"> }        OPTIONAL  -- Need OR</w:t>
      </w:r>
    </w:p>
    <w:p w14:paraId="03B838A6" w14:textId="77777777" w:rsidR="00AB5C24" w:rsidRDefault="00AB5C24" w:rsidP="00AB5C24"/>
    <w:p w14:paraId="4D61D993" w14:textId="77777777" w:rsidR="00AB5C24" w:rsidRDefault="00AB5C24" w:rsidP="00AB5C24">
      <w:pPr>
        <w:pStyle w:val="TAL"/>
        <w:rPr>
          <w:b/>
          <w:bCs/>
          <w:i/>
          <w:iCs/>
          <w:lang w:eastAsia="en-GB"/>
        </w:rPr>
      </w:pPr>
      <w:r>
        <w:rPr>
          <w:b/>
          <w:bCs/>
          <w:i/>
          <w:iCs/>
          <w:lang w:val="en-US" w:eastAsia="en-GB"/>
        </w:rPr>
        <w:t>uplinkSegmentedPrecompensationGap</w:t>
      </w:r>
    </w:p>
    <w:p w14:paraId="3DE4A8C1" w14:textId="3808F04C" w:rsidR="00AB5C24" w:rsidRDefault="00AB5C24" w:rsidP="00AB5C24">
      <w:pPr>
        <w:rPr>
          <w:color w:val="FF0000"/>
          <w:lang w:val="en-US" w:eastAsia="en-GB"/>
        </w:rPr>
      </w:pPr>
      <w:r>
        <w:rPr>
          <w:lang w:val="en-US"/>
        </w:rPr>
        <w:t xml:space="preserve">Indicates the gap value between segments for PUSCH and PUCCH for TA pre-compensation. </w:t>
      </w:r>
      <w:r>
        <w:rPr>
          <w:lang w:val="en-US" w:eastAsia="en-GB"/>
        </w:rPr>
        <w:t>Value sym1 corresponds to 1 symbol, value sl1 corresponds to 1 slot, value sf1 corresponds to 1 subframe.</w:t>
      </w:r>
      <w:r>
        <w:rPr>
          <w:lang w:val="en-US" w:eastAsia="en-GB"/>
        </w:rPr>
        <w:t xml:space="preserve"> </w:t>
      </w:r>
      <w:r w:rsidRPr="00AB5C24">
        <w:rPr>
          <w:color w:val="FF0000"/>
          <w:lang w:val="en-US" w:eastAsia="en-GB"/>
        </w:rPr>
        <w:t>Value samples corresponds to legacy behaviour of dropping samples during gap.</w:t>
      </w:r>
    </w:p>
    <w:p w14:paraId="3C40AA3C" w14:textId="09CA343E" w:rsidR="00AB5C24" w:rsidRDefault="00AB5C24" w:rsidP="00AB5C24">
      <w:pPr>
        <w:rPr>
          <w:b/>
          <w:bCs/>
          <w:lang w:val="en-US" w:eastAsia="en-GB"/>
        </w:rPr>
      </w:pPr>
      <w:r>
        <w:rPr>
          <w:b/>
          <w:bCs/>
          <w:lang w:val="en-US" w:eastAsia="en-GB"/>
        </w:rPr>
        <w:t xml:space="preserve">Text Proposal for Option </w:t>
      </w:r>
      <w:r>
        <w:rPr>
          <w:b/>
          <w:bCs/>
          <w:lang w:val="en-US" w:eastAsia="en-GB"/>
        </w:rPr>
        <w:t>2</w:t>
      </w:r>
      <w:r>
        <w:rPr>
          <w:b/>
          <w:bCs/>
          <w:lang w:val="en-US" w:eastAsia="en-GB"/>
        </w:rPr>
        <w:t>:</w:t>
      </w:r>
    </w:p>
    <w:p w14:paraId="08613365" w14:textId="585DCB92" w:rsidR="00AB5C24" w:rsidRDefault="00AB5C24" w:rsidP="00AB5C24">
      <w:pPr>
        <w:pStyle w:val="PL"/>
        <w:shd w:val="clear" w:color="auto" w:fill="E6E6E6"/>
        <w:rPr>
          <w:lang w:val="en-US"/>
        </w:rPr>
      </w:pPr>
      <w:r>
        <w:rPr>
          <w:color w:val="000000"/>
          <w:lang w:val="en-US"/>
        </w:rPr>
        <w:t>        uplinkSegmentedPrecompensationGap-r17  ENUMERATED {sym1,sl1,sf1 }        OPTIONAL  -- Need OR</w:t>
      </w:r>
    </w:p>
    <w:p w14:paraId="13FD54DA" w14:textId="77777777" w:rsidR="00AB5C24" w:rsidRDefault="00AB5C24" w:rsidP="00AB5C24"/>
    <w:p w14:paraId="78ACFAA5" w14:textId="77777777" w:rsidR="00AB5C24" w:rsidRDefault="00AB5C24" w:rsidP="00AB5C24">
      <w:pPr>
        <w:pStyle w:val="TAL"/>
        <w:rPr>
          <w:b/>
          <w:bCs/>
          <w:i/>
          <w:iCs/>
          <w:lang w:eastAsia="en-GB"/>
        </w:rPr>
      </w:pPr>
      <w:r>
        <w:rPr>
          <w:b/>
          <w:bCs/>
          <w:i/>
          <w:iCs/>
          <w:lang w:val="en-US" w:eastAsia="en-GB"/>
        </w:rPr>
        <w:t>uplinkSegmentedPrecompensationGap</w:t>
      </w:r>
    </w:p>
    <w:p w14:paraId="1F1888C6" w14:textId="3DF94793" w:rsidR="00AB5C24" w:rsidRDefault="00AB5C24" w:rsidP="00AB5C24">
      <w:pPr>
        <w:rPr>
          <w:color w:val="FF0000"/>
          <w:lang w:val="en-US" w:eastAsia="en-GB"/>
        </w:rPr>
      </w:pPr>
      <w:r>
        <w:rPr>
          <w:lang w:val="en-US"/>
        </w:rPr>
        <w:t xml:space="preserve">Indicates the gap value between segments for PUSCH and PUCCH for TA pre-compensation. </w:t>
      </w:r>
      <w:r>
        <w:rPr>
          <w:lang w:val="en-US" w:eastAsia="en-GB"/>
        </w:rPr>
        <w:t xml:space="preserve">Value sym1 corresponds to 1 symbol, value sl1 corresponds to 1 slot, value sf1 corresponds to 1 subframe. </w:t>
      </w:r>
      <w:r>
        <w:rPr>
          <w:color w:val="FF0000"/>
          <w:lang w:val="en-US" w:eastAsia="en-GB"/>
        </w:rPr>
        <w:t>If this parameter is not configured UE will continue with legacy behaviour of dropping the samples during the gap.</w:t>
      </w:r>
    </w:p>
    <w:p w14:paraId="49F7553F" w14:textId="77777777" w:rsidR="00AB5C24" w:rsidRPr="00AB5C24" w:rsidRDefault="00AB5C24" w:rsidP="00AB5C24">
      <w:pPr>
        <w:rPr>
          <w:color w:val="FF0000"/>
          <w:lang w:val="en-US" w:eastAsia="en-GB"/>
        </w:rPr>
      </w:pPr>
    </w:p>
    <w:p w14:paraId="36B02A29" w14:textId="77777777" w:rsidR="00AB5C24" w:rsidRPr="00AA0B55" w:rsidRDefault="00AB5C24" w:rsidP="00AA0B55">
      <w:pPr>
        <w:rPr>
          <w:b/>
          <w:bCs/>
          <w:lang w:val="en-US" w:eastAsia="en-GB"/>
        </w:rPr>
      </w:pPr>
    </w:p>
    <w:p w14:paraId="5F782266" w14:textId="37B45EA1" w:rsidR="004F7BDE" w:rsidRDefault="00AB5C24" w:rsidP="00E223F4">
      <w:pPr>
        <w:pStyle w:val="Heading1"/>
        <w:jc w:val="both"/>
      </w:pPr>
      <w:r>
        <w:lastRenderedPageBreak/>
        <w:t>Summary</w:t>
      </w:r>
    </w:p>
    <w:p w14:paraId="1D9F2127" w14:textId="21C7EF8A" w:rsidR="00AB5C24" w:rsidRDefault="00AB5C24" w:rsidP="00AB5C24">
      <w:r>
        <w:t>In this discussion paper we analyse the RRC configuration parameter options for the gap configuration of segemented transmission and the alignment to RAN1 specification. Based on the above we make following observations and proposals.</w:t>
      </w:r>
    </w:p>
    <w:p w14:paraId="2B344256" w14:textId="77777777" w:rsidR="00AB5C24" w:rsidRDefault="00AB5C24" w:rsidP="00AB5C24">
      <w:pPr>
        <w:rPr>
          <w:color w:val="000000"/>
          <w:lang w:val="en-US"/>
        </w:rPr>
      </w:pPr>
      <w:r w:rsidRPr="00AA0B55">
        <w:rPr>
          <w:b/>
          <w:bCs/>
          <w:lang w:val="en-US" w:eastAsia="en-GB"/>
        </w:rPr>
        <w:t xml:space="preserve">Observation 1: The RRC configuration parameter </w:t>
      </w:r>
      <w:r w:rsidRPr="00AA0B55">
        <w:rPr>
          <w:b/>
          <w:bCs/>
          <w:i/>
          <w:iCs/>
          <w:color w:val="000000"/>
          <w:lang w:val="en-US"/>
        </w:rPr>
        <w:t>uplinkSegmentedPrecompensationGap</w:t>
      </w:r>
      <w:r w:rsidRPr="00AA0B55">
        <w:rPr>
          <w:b/>
          <w:bCs/>
          <w:color w:val="000000"/>
          <w:lang w:val="en-US"/>
        </w:rPr>
        <w:t xml:space="preserve"> does not </w:t>
      </w:r>
      <w:r>
        <w:rPr>
          <w:b/>
          <w:bCs/>
          <w:color w:val="000000"/>
          <w:lang w:val="en-US"/>
        </w:rPr>
        <w:t>include option of dropping samples that Network may want to configure. As per RAN1 specification, UE behaviour on the gap is explicitly controlled by this parameter.</w:t>
      </w:r>
    </w:p>
    <w:p w14:paraId="694A9C02" w14:textId="77777777" w:rsidR="00AB5C24" w:rsidRPr="00AA0B55" w:rsidRDefault="00AB5C24" w:rsidP="00AB5C24">
      <w:pPr>
        <w:rPr>
          <w:b/>
          <w:bCs/>
          <w:lang w:val="en-US" w:eastAsia="en-GB"/>
        </w:rPr>
      </w:pPr>
      <w:r w:rsidRPr="00AA0B55">
        <w:rPr>
          <w:b/>
          <w:bCs/>
          <w:lang w:val="en-US" w:eastAsia="en-GB"/>
        </w:rPr>
        <w:t xml:space="preserve">Proposal 1: RAN2 to down-select between introduction of new code point </w:t>
      </w:r>
      <w:r w:rsidRPr="00AA0B55">
        <w:rPr>
          <w:b/>
          <w:bCs/>
          <w:i/>
          <w:iCs/>
          <w:color w:val="000000"/>
          <w:lang w:val="en-US"/>
        </w:rPr>
        <w:t>uplinkSegmentedPrecompensationGap</w:t>
      </w:r>
      <w:r w:rsidRPr="00AA0B55">
        <w:rPr>
          <w:b/>
          <w:bCs/>
          <w:lang w:val="en-US" w:eastAsia="en-GB"/>
        </w:rPr>
        <w:t xml:space="preserve"> in the parameter or additional note to clarify the UE behaviour in the field description</w:t>
      </w:r>
    </w:p>
    <w:p w14:paraId="0E3D520F" w14:textId="77777777" w:rsidR="00AB5C24" w:rsidRPr="00AB5C24" w:rsidRDefault="00AB5C24" w:rsidP="00AB5C24"/>
    <w:p w14:paraId="6A2A3F17" w14:textId="6915D5E7" w:rsidR="00570329" w:rsidRDefault="00570329" w:rsidP="00DE7570">
      <w:pPr>
        <w:jc w:val="both"/>
      </w:pPr>
    </w:p>
    <w:p w14:paraId="60C7C582" w14:textId="184CCBBE" w:rsidR="00905064" w:rsidRPr="006E13D1" w:rsidRDefault="00905064" w:rsidP="00EB18F3">
      <w:pPr>
        <w:pStyle w:val="Heading1"/>
        <w:jc w:val="both"/>
      </w:pPr>
      <w:r>
        <w:t>References</w:t>
      </w:r>
    </w:p>
    <w:p w14:paraId="10F1ED9E" w14:textId="48D9A245" w:rsidR="00E223F4" w:rsidRDefault="00447826" w:rsidP="00F80724">
      <w:pPr>
        <w:overflowPunct w:val="0"/>
        <w:autoSpaceDE w:val="0"/>
        <w:autoSpaceDN w:val="0"/>
        <w:adjustRightInd w:val="0"/>
        <w:ind w:left="357"/>
        <w:jc w:val="both"/>
        <w:textAlignment w:val="baseline"/>
      </w:pPr>
      <w:r>
        <w:t>1.TS 36.211</w:t>
      </w:r>
      <w:r w:rsidR="00AB5C24">
        <w:t xml:space="preserve"> -17.3.0 Physical Layer Description – LTE</w:t>
      </w:r>
    </w:p>
    <w:p w14:paraId="0B1B4DB8" w14:textId="7730B56C" w:rsidR="00AB5C24" w:rsidRDefault="00AB5C24" w:rsidP="00F80724">
      <w:pPr>
        <w:overflowPunct w:val="0"/>
        <w:autoSpaceDE w:val="0"/>
        <w:autoSpaceDN w:val="0"/>
        <w:adjustRightInd w:val="0"/>
        <w:ind w:left="357"/>
        <w:jc w:val="both"/>
        <w:textAlignment w:val="baseline"/>
      </w:pPr>
      <w:r>
        <w:t>2.TS 36.331 -17.3.0 RRC Protocol Specification - LTE</w:t>
      </w:r>
    </w:p>
    <w:sectPr w:rsidR="00AB5C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196E0" w14:textId="77777777" w:rsidR="00B16A44" w:rsidRDefault="00B16A44">
      <w:r>
        <w:separator/>
      </w:r>
    </w:p>
  </w:endnote>
  <w:endnote w:type="continuationSeparator" w:id="0">
    <w:p w14:paraId="49517BC0" w14:textId="77777777" w:rsidR="00B16A44" w:rsidRDefault="00B16A44">
      <w:r>
        <w:continuationSeparator/>
      </w:r>
    </w:p>
  </w:endnote>
  <w:endnote w:type="continuationNotice" w:id="1">
    <w:p w14:paraId="230C9AE5" w14:textId="77777777" w:rsidR="00B16A44" w:rsidRDefault="00B16A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95A24" w14:textId="77777777" w:rsidR="00B16A44" w:rsidRDefault="00B16A44">
      <w:r>
        <w:separator/>
      </w:r>
    </w:p>
  </w:footnote>
  <w:footnote w:type="continuationSeparator" w:id="0">
    <w:p w14:paraId="4BF10CC3" w14:textId="77777777" w:rsidR="00B16A44" w:rsidRDefault="00B16A44">
      <w:r>
        <w:continuationSeparator/>
      </w:r>
    </w:p>
  </w:footnote>
  <w:footnote w:type="continuationNotice" w:id="1">
    <w:p w14:paraId="417383CE" w14:textId="77777777" w:rsidR="00B16A44" w:rsidRDefault="00B16A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E1961"/>
    <w:multiLevelType w:val="multilevel"/>
    <w:tmpl w:val="BF465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28082B"/>
    <w:multiLevelType w:val="hybridMultilevel"/>
    <w:tmpl w:val="11181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321428"/>
    <w:multiLevelType w:val="multilevel"/>
    <w:tmpl w:val="D6448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A13C7C"/>
    <w:multiLevelType w:val="multilevel"/>
    <w:tmpl w:val="5F6E93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B75E05"/>
    <w:multiLevelType w:val="multilevel"/>
    <w:tmpl w:val="8094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3A0D17"/>
    <w:multiLevelType w:val="hybridMultilevel"/>
    <w:tmpl w:val="BFA24134"/>
    <w:lvl w:ilvl="0" w:tplc="B0FAE9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256CC"/>
    <w:multiLevelType w:val="multilevel"/>
    <w:tmpl w:val="0C149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733928"/>
    <w:multiLevelType w:val="hybridMultilevel"/>
    <w:tmpl w:val="CE1824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97F6543"/>
    <w:multiLevelType w:val="multilevel"/>
    <w:tmpl w:val="09B002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C756471"/>
    <w:multiLevelType w:val="multilevel"/>
    <w:tmpl w:val="199CE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4857EC"/>
    <w:multiLevelType w:val="hybridMultilevel"/>
    <w:tmpl w:val="9D74D8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9871B6"/>
    <w:multiLevelType w:val="multilevel"/>
    <w:tmpl w:val="48BE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332F66"/>
    <w:multiLevelType w:val="hybridMultilevel"/>
    <w:tmpl w:val="D75EDCE6"/>
    <w:lvl w:ilvl="0" w:tplc="A80C60EC">
      <w:start w:val="1"/>
      <w:numFmt w:val="decimal"/>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9577E7"/>
    <w:multiLevelType w:val="hybridMultilevel"/>
    <w:tmpl w:val="5668589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15:restartNumberingAfterBreak="0">
    <w:nsid w:val="2B3C633D"/>
    <w:multiLevelType w:val="multilevel"/>
    <w:tmpl w:val="B172F4E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255370F"/>
    <w:multiLevelType w:val="multilevel"/>
    <w:tmpl w:val="F490F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1469B"/>
    <w:multiLevelType w:val="multilevel"/>
    <w:tmpl w:val="BDCEF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7D53A0"/>
    <w:multiLevelType w:val="multilevel"/>
    <w:tmpl w:val="C786F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9774241"/>
    <w:multiLevelType w:val="hybridMultilevel"/>
    <w:tmpl w:val="0EDECC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B125D29"/>
    <w:multiLevelType w:val="multilevel"/>
    <w:tmpl w:val="7BB4058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3C4C669F"/>
    <w:multiLevelType w:val="multilevel"/>
    <w:tmpl w:val="A01E4F9E"/>
    <w:lvl w:ilvl="0">
      <w:start w:val="1"/>
      <w:numFmt w:val="decimal"/>
      <w:lvlText w:val="%1"/>
      <w:lvlJc w:val="left"/>
      <w:pPr>
        <w:ind w:left="1130" w:hanging="1130"/>
      </w:pPr>
      <w:rPr>
        <w:rFonts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3ED81F09"/>
    <w:multiLevelType w:val="multilevel"/>
    <w:tmpl w:val="9DD6B81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2474DB0"/>
    <w:multiLevelType w:val="hybridMultilevel"/>
    <w:tmpl w:val="EFB6A1D0"/>
    <w:lvl w:ilvl="0" w:tplc="B6B49EC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51BA13C0"/>
    <w:multiLevelType w:val="multilevel"/>
    <w:tmpl w:val="DFAA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FA1D9F"/>
    <w:multiLevelType w:val="multilevel"/>
    <w:tmpl w:val="0444260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EF521BA"/>
    <w:multiLevelType w:val="multilevel"/>
    <w:tmpl w:val="3A566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4C078E"/>
    <w:multiLevelType w:val="multilevel"/>
    <w:tmpl w:val="22381FB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5E96407"/>
    <w:multiLevelType w:val="multilevel"/>
    <w:tmpl w:val="356C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3A7A20"/>
    <w:multiLevelType w:val="hybridMultilevel"/>
    <w:tmpl w:val="C03C3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DA3242"/>
    <w:multiLevelType w:val="multilevel"/>
    <w:tmpl w:val="9C82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D3300BF"/>
    <w:multiLevelType w:val="multilevel"/>
    <w:tmpl w:val="82DEE5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6E4E6A17"/>
    <w:multiLevelType w:val="hybridMultilevel"/>
    <w:tmpl w:val="7B6084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146DC0"/>
    <w:multiLevelType w:val="hybridMultilevel"/>
    <w:tmpl w:val="D6D8A82E"/>
    <w:lvl w:ilvl="0" w:tplc="8444CB20">
      <w:start w:val="1"/>
      <w:numFmt w:val="bullet"/>
      <w:pStyle w:val="Agreement"/>
      <w:lvlText w:val=""/>
      <w:lvlJc w:val="left"/>
      <w:pPr>
        <w:tabs>
          <w:tab w:val="num" w:pos="1495"/>
        </w:tabs>
        <w:ind w:left="1495"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D1562D"/>
    <w:multiLevelType w:val="hybridMultilevel"/>
    <w:tmpl w:val="8B4C8D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180A4F"/>
    <w:multiLevelType w:val="hybridMultilevel"/>
    <w:tmpl w:val="4AAE4B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19"/>
  </w:num>
  <w:num w:numId="6">
    <w:abstractNumId w:val="29"/>
  </w:num>
  <w:num w:numId="7">
    <w:abstractNumId w:val="30"/>
  </w:num>
  <w:num w:numId="8">
    <w:abstractNumId w:val="34"/>
  </w:num>
  <w:num w:numId="9">
    <w:abstractNumId w:val="22"/>
  </w:num>
  <w:num w:numId="10">
    <w:abstractNumId w:val="44"/>
  </w:num>
  <w:num w:numId="11">
    <w:abstractNumId w:val="27"/>
  </w:num>
  <w:num w:numId="12">
    <w:abstractNumId w:val="38"/>
  </w:num>
  <w:num w:numId="13">
    <w:abstractNumId w:val="8"/>
  </w:num>
  <w:num w:numId="14">
    <w:abstractNumId w:val="14"/>
  </w:num>
  <w:num w:numId="15">
    <w:abstractNumId w:val="36"/>
  </w:num>
  <w:num w:numId="16">
    <w:abstractNumId w:val="4"/>
  </w:num>
  <w:num w:numId="17">
    <w:abstractNumId w:val="31"/>
  </w:num>
  <w:num w:numId="18">
    <w:abstractNumId w:val="25"/>
  </w:num>
  <w:num w:numId="19">
    <w:abstractNumId w:val="41"/>
  </w:num>
  <w:num w:numId="20">
    <w:abstractNumId w:val="7"/>
  </w:num>
  <w:num w:numId="21">
    <w:abstractNumId w:val="26"/>
  </w:num>
  <w:num w:numId="22">
    <w:abstractNumId w:val="17"/>
  </w:num>
  <w:num w:numId="23">
    <w:abstractNumId w:val="39"/>
  </w:num>
  <w:num w:numId="24">
    <w:abstractNumId w:val="11"/>
  </w:num>
  <w:num w:numId="25">
    <w:abstractNumId w:val="24"/>
  </w:num>
  <w:num w:numId="26">
    <w:abstractNumId w:val="32"/>
  </w:num>
  <w:num w:numId="27">
    <w:abstractNumId w:val="21"/>
  </w:num>
  <w:num w:numId="28">
    <w:abstractNumId w:val="12"/>
  </w:num>
  <w:num w:numId="29">
    <w:abstractNumId w:val="2"/>
  </w:num>
  <w:num w:numId="30">
    <w:abstractNumId w:val="35"/>
  </w:num>
  <w:num w:numId="31">
    <w:abstractNumId w:val="18"/>
  </w:num>
  <w:num w:numId="32">
    <w:abstractNumId w:val="45"/>
  </w:num>
  <w:num w:numId="33">
    <w:abstractNumId w:val="3"/>
  </w:num>
  <w:num w:numId="34">
    <w:abstractNumId w:val="43"/>
  </w:num>
  <w:num w:numId="35">
    <w:abstractNumId w:val="10"/>
  </w:num>
  <w:num w:numId="36">
    <w:abstractNumId w:val="23"/>
  </w:num>
  <w:num w:numId="37">
    <w:abstractNumId w:val="13"/>
  </w:num>
  <w:num w:numId="38">
    <w:abstractNumId w:val="33"/>
  </w:num>
  <w:num w:numId="39">
    <w:abstractNumId w:val="33"/>
  </w:num>
  <w:num w:numId="40">
    <w:abstractNumId w:val="5"/>
  </w:num>
  <w:num w:numId="41">
    <w:abstractNumId w:val="37"/>
  </w:num>
  <w:num w:numId="42">
    <w:abstractNumId w:val="6"/>
  </w:num>
  <w:num w:numId="43">
    <w:abstractNumId w:val="42"/>
  </w:num>
  <w:num w:numId="44">
    <w:abstractNumId w:val="9"/>
  </w:num>
  <w:num w:numId="45">
    <w:abstractNumId w:val="16"/>
  </w:num>
  <w:num w:numId="46">
    <w:abstractNumId w:val="40"/>
  </w:num>
  <w:num w:numId="47">
    <w:abstractNumId w:val="28"/>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45"/>
    <w:rsid w:val="000013CD"/>
    <w:rsid w:val="00006C10"/>
    <w:rsid w:val="00006FEB"/>
    <w:rsid w:val="00016557"/>
    <w:rsid w:val="00023C40"/>
    <w:rsid w:val="00026030"/>
    <w:rsid w:val="00033397"/>
    <w:rsid w:val="00034F30"/>
    <w:rsid w:val="00035B5A"/>
    <w:rsid w:val="00037DB0"/>
    <w:rsid w:val="00040095"/>
    <w:rsid w:val="00040B1B"/>
    <w:rsid w:val="00043E64"/>
    <w:rsid w:val="00052FEF"/>
    <w:rsid w:val="00054AC6"/>
    <w:rsid w:val="00060517"/>
    <w:rsid w:val="000616A5"/>
    <w:rsid w:val="00064660"/>
    <w:rsid w:val="00065268"/>
    <w:rsid w:val="00065DE7"/>
    <w:rsid w:val="00071806"/>
    <w:rsid w:val="00073C9C"/>
    <w:rsid w:val="000749ED"/>
    <w:rsid w:val="00076412"/>
    <w:rsid w:val="000775EE"/>
    <w:rsid w:val="00080512"/>
    <w:rsid w:val="00083FC6"/>
    <w:rsid w:val="00087DFE"/>
    <w:rsid w:val="00090468"/>
    <w:rsid w:val="00094568"/>
    <w:rsid w:val="00095E6C"/>
    <w:rsid w:val="000A074B"/>
    <w:rsid w:val="000A325A"/>
    <w:rsid w:val="000A412B"/>
    <w:rsid w:val="000A4DDA"/>
    <w:rsid w:val="000A4E0C"/>
    <w:rsid w:val="000B7BCF"/>
    <w:rsid w:val="000B7BEF"/>
    <w:rsid w:val="000C0007"/>
    <w:rsid w:val="000C025F"/>
    <w:rsid w:val="000C1678"/>
    <w:rsid w:val="000C17F8"/>
    <w:rsid w:val="000C4FE3"/>
    <w:rsid w:val="000C522B"/>
    <w:rsid w:val="000C5370"/>
    <w:rsid w:val="000C6484"/>
    <w:rsid w:val="000D2898"/>
    <w:rsid w:val="000D3ED1"/>
    <w:rsid w:val="000D5527"/>
    <w:rsid w:val="000D58AB"/>
    <w:rsid w:val="000D6E36"/>
    <w:rsid w:val="000F5CB2"/>
    <w:rsid w:val="000F65D7"/>
    <w:rsid w:val="0011043F"/>
    <w:rsid w:val="0011083B"/>
    <w:rsid w:val="00112F1A"/>
    <w:rsid w:val="00114385"/>
    <w:rsid w:val="0011502E"/>
    <w:rsid w:val="00120B16"/>
    <w:rsid w:val="00122477"/>
    <w:rsid w:val="0012274D"/>
    <w:rsid w:val="001327BD"/>
    <w:rsid w:val="00134762"/>
    <w:rsid w:val="00145075"/>
    <w:rsid w:val="00152401"/>
    <w:rsid w:val="001572B1"/>
    <w:rsid w:val="00160B7A"/>
    <w:rsid w:val="00161B18"/>
    <w:rsid w:val="00164A74"/>
    <w:rsid w:val="00171A31"/>
    <w:rsid w:val="00172F3A"/>
    <w:rsid w:val="001741A0"/>
    <w:rsid w:val="00175123"/>
    <w:rsid w:val="00175EB4"/>
    <w:rsid w:val="00175FA0"/>
    <w:rsid w:val="0017647F"/>
    <w:rsid w:val="00176F04"/>
    <w:rsid w:val="00177F47"/>
    <w:rsid w:val="00177FE7"/>
    <w:rsid w:val="0018110C"/>
    <w:rsid w:val="001826DC"/>
    <w:rsid w:val="001832D1"/>
    <w:rsid w:val="00187D61"/>
    <w:rsid w:val="00190DD5"/>
    <w:rsid w:val="00194CD0"/>
    <w:rsid w:val="001A638A"/>
    <w:rsid w:val="001A6C10"/>
    <w:rsid w:val="001B1FA8"/>
    <w:rsid w:val="001B4233"/>
    <w:rsid w:val="001B49C9"/>
    <w:rsid w:val="001B57CE"/>
    <w:rsid w:val="001B7BB1"/>
    <w:rsid w:val="001C23F4"/>
    <w:rsid w:val="001C2E2E"/>
    <w:rsid w:val="001C4F79"/>
    <w:rsid w:val="001C5DEB"/>
    <w:rsid w:val="001C62D1"/>
    <w:rsid w:val="001D1F4E"/>
    <w:rsid w:val="001D3D71"/>
    <w:rsid w:val="001D56C7"/>
    <w:rsid w:val="001D5EFB"/>
    <w:rsid w:val="001E15A7"/>
    <w:rsid w:val="001E1A6E"/>
    <w:rsid w:val="001F168B"/>
    <w:rsid w:val="001F44CA"/>
    <w:rsid w:val="001F531E"/>
    <w:rsid w:val="001F633A"/>
    <w:rsid w:val="001F70A9"/>
    <w:rsid w:val="001F7831"/>
    <w:rsid w:val="00201F61"/>
    <w:rsid w:val="00204045"/>
    <w:rsid w:val="0020523D"/>
    <w:rsid w:val="002056E1"/>
    <w:rsid w:val="0020712B"/>
    <w:rsid w:val="002103BD"/>
    <w:rsid w:val="002173FB"/>
    <w:rsid w:val="00217F50"/>
    <w:rsid w:val="002216A4"/>
    <w:rsid w:val="0022274D"/>
    <w:rsid w:val="0022606D"/>
    <w:rsid w:val="00231728"/>
    <w:rsid w:val="00232F34"/>
    <w:rsid w:val="0024270F"/>
    <w:rsid w:val="002442D9"/>
    <w:rsid w:val="00244A05"/>
    <w:rsid w:val="00245AF2"/>
    <w:rsid w:val="00246DB7"/>
    <w:rsid w:val="00250003"/>
    <w:rsid w:val="00250404"/>
    <w:rsid w:val="002514C4"/>
    <w:rsid w:val="00251980"/>
    <w:rsid w:val="0025243B"/>
    <w:rsid w:val="00255774"/>
    <w:rsid w:val="00256B74"/>
    <w:rsid w:val="0025752E"/>
    <w:rsid w:val="002610D8"/>
    <w:rsid w:val="00262545"/>
    <w:rsid w:val="0026493A"/>
    <w:rsid w:val="00270507"/>
    <w:rsid w:val="002731A1"/>
    <w:rsid w:val="00273845"/>
    <w:rsid w:val="00273CBC"/>
    <w:rsid w:val="002747EC"/>
    <w:rsid w:val="002820F0"/>
    <w:rsid w:val="002833A5"/>
    <w:rsid w:val="002855BF"/>
    <w:rsid w:val="002922FE"/>
    <w:rsid w:val="00292934"/>
    <w:rsid w:val="00292FAA"/>
    <w:rsid w:val="002A3CF3"/>
    <w:rsid w:val="002A45B8"/>
    <w:rsid w:val="002B2988"/>
    <w:rsid w:val="002B2F1F"/>
    <w:rsid w:val="002B3A01"/>
    <w:rsid w:val="002B4F63"/>
    <w:rsid w:val="002C209C"/>
    <w:rsid w:val="002C30B7"/>
    <w:rsid w:val="002C64B2"/>
    <w:rsid w:val="002D3316"/>
    <w:rsid w:val="002D54BC"/>
    <w:rsid w:val="002D7B0A"/>
    <w:rsid w:val="002E131C"/>
    <w:rsid w:val="002E42C3"/>
    <w:rsid w:val="002E5263"/>
    <w:rsid w:val="002E539E"/>
    <w:rsid w:val="002E5E3F"/>
    <w:rsid w:val="002F04D9"/>
    <w:rsid w:val="002F0D22"/>
    <w:rsid w:val="002F27ED"/>
    <w:rsid w:val="002F5CA6"/>
    <w:rsid w:val="0030352D"/>
    <w:rsid w:val="00304D6F"/>
    <w:rsid w:val="00304F63"/>
    <w:rsid w:val="00310E3E"/>
    <w:rsid w:val="00311B17"/>
    <w:rsid w:val="0031263F"/>
    <w:rsid w:val="0031293C"/>
    <w:rsid w:val="00313ECF"/>
    <w:rsid w:val="00315251"/>
    <w:rsid w:val="00316BD0"/>
    <w:rsid w:val="003172DC"/>
    <w:rsid w:val="00321592"/>
    <w:rsid w:val="00323F01"/>
    <w:rsid w:val="003253B0"/>
    <w:rsid w:val="00325AE3"/>
    <w:rsid w:val="00326069"/>
    <w:rsid w:val="00327BA6"/>
    <w:rsid w:val="00331ED6"/>
    <w:rsid w:val="00336BE1"/>
    <w:rsid w:val="00337758"/>
    <w:rsid w:val="00341142"/>
    <w:rsid w:val="00342442"/>
    <w:rsid w:val="003452D7"/>
    <w:rsid w:val="00352984"/>
    <w:rsid w:val="0035462D"/>
    <w:rsid w:val="0035663D"/>
    <w:rsid w:val="0036132B"/>
    <w:rsid w:val="0036459E"/>
    <w:rsid w:val="00364B41"/>
    <w:rsid w:val="00366A6D"/>
    <w:rsid w:val="003732AC"/>
    <w:rsid w:val="00380120"/>
    <w:rsid w:val="00381498"/>
    <w:rsid w:val="003815FC"/>
    <w:rsid w:val="00381CE9"/>
    <w:rsid w:val="00383096"/>
    <w:rsid w:val="003849CD"/>
    <w:rsid w:val="00387768"/>
    <w:rsid w:val="003914C1"/>
    <w:rsid w:val="0039238C"/>
    <w:rsid w:val="00392842"/>
    <w:rsid w:val="0039346C"/>
    <w:rsid w:val="00396B35"/>
    <w:rsid w:val="00397018"/>
    <w:rsid w:val="003A41EF"/>
    <w:rsid w:val="003A5F51"/>
    <w:rsid w:val="003A6D50"/>
    <w:rsid w:val="003B3107"/>
    <w:rsid w:val="003B3F6F"/>
    <w:rsid w:val="003B40AD"/>
    <w:rsid w:val="003C016D"/>
    <w:rsid w:val="003C4E37"/>
    <w:rsid w:val="003D654B"/>
    <w:rsid w:val="003E082F"/>
    <w:rsid w:val="003E16BE"/>
    <w:rsid w:val="003E5B9A"/>
    <w:rsid w:val="003E6A2E"/>
    <w:rsid w:val="003F0225"/>
    <w:rsid w:val="003F12B2"/>
    <w:rsid w:val="003F4E28"/>
    <w:rsid w:val="003F56C8"/>
    <w:rsid w:val="003F5940"/>
    <w:rsid w:val="003F7861"/>
    <w:rsid w:val="004006E8"/>
    <w:rsid w:val="00401855"/>
    <w:rsid w:val="004022C0"/>
    <w:rsid w:val="00403AB8"/>
    <w:rsid w:val="00407F65"/>
    <w:rsid w:val="00411D8D"/>
    <w:rsid w:val="00423CF0"/>
    <w:rsid w:val="00434239"/>
    <w:rsid w:val="00436114"/>
    <w:rsid w:val="00440602"/>
    <w:rsid w:val="00443885"/>
    <w:rsid w:val="00446C3A"/>
    <w:rsid w:val="00446F38"/>
    <w:rsid w:val="00447826"/>
    <w:rsid w:val="00450FC7"/>
    <w:rsid w:val="00451326"/>
    <w:rsid w:val="00453B27"/>
    <w:rsid w:val="00454237"/>
    <w:rsid w:val="00454B76"/>
    <w:rsid w:val="00455B76"/>
    <w:rsid w:val="00456A81"/>
    <w:rsid w:val="00457427"/>
    <w:rsid w:val="00464782"/>
    <w:rsid w:val="00465587"/>
    <w:rsid w:val="004674A7"/>
    <w:rsid w:val="00474755"/>
    <w:rsid w:val="00477455"/>
    <w:rsid w:val="00486F4E"/>
    <w:rsid w:val="0048760E"/>
    <w:rsid w:val="004936EA"/>
    <w:rsid w:val="004A0CE5"/>
    <w:rsid w:val="004A11D3"/>
    <w:rsid w:val="004A1F7B"/>
    <w:rsid w:val="004B00B0"/>
    <w:rsid w:val="004B3936"/>
    <w:rsid w:val="004B4CBC"/>
    <w:rsid w:val="004B5B88"/>
    <w:rsid w:val="004C0B78"/>
    <w:rsid w:val="004C44D2"/>
    <w:rsid w:val="004C7454"/>
    <w:rsid w:val="004C78C9"/>
    <w:rsid w:val="004D17EE"/>
    <w:rsid w:val="004D3578"/>
    <w:rsid w:val="004D380D"/>
    <w:rsid w:val="004D3C70"/>
    <w:rsid w:val="004D54ED"/>
    <w:rsid w:val="004D6BFA"/>
    <w:rsid w:val="004E213A"/>
    <w:rsid w:val="004E6F2C"/>
    <w:rsid w:val="004F2421"/>
    <w:rsid w:val="004F4540"/>
    <w:rsid w:val="004F73A7"/>
    <w:rsid w:val="004F7BDE"/>
    <w:rsid w:val="005007DE"/>
    <w:rsid w:val="00503171"/>
    <w:rsid w:val="00506C28"/>
    <w:rsid w:val="005245F1"/>
    <w:rsid w:val="00524DFD"/>
    <w:rsid w:val="005250BC"/>
    <w:rsid w:val="005252F1"/>
    <w:rsid w:val="00527DE1"/>
    <w:rsid w:val="00532EFD"/>
    <w:rsid w:val="005340D8"/>
    <w:rsid w:val="00534656"/>
    <w:rsid w:val="00534DA0"/>
    <w:rsid w:val="00535EBA"/>
    <w:rsid w:val="0054094B"/>
    <w:rsid w:val="00541954"/>
    <w:rsid w:val="00543E6C"/>
    <w:rsid w:val="005445C4"/>
    <w:rsid w:val="00545BB0"/>
    <w:rsid w:val="005460CB"/>
    <w:rsid w:val="005504C2"/>
    <w:rsid w:val="00557A20"/>
    <w:rsid w:val="00561505"/>
    <w:rsid w:val="00562245"/>
    <w:rsid w:val="00564A72"/>
    <w:rsid w:val="00565087"/>
    <w:rsid w:val="0056573F"/>
    <w:rsid w:val="0056594D"/>
    <w:rsid w:val="00570329"/>
    <w:rsid w:val="00571279"/>
    <w:rsid w:val="00572D44"/>
    <w:rsid w:val="00586992"/>
    <w:rsid w:val="00595CD9"/>
    <w:rsid w:val="00596F42"/>
    <w:rsid w:val="005A13AB"/>
    <w:rsid w:val="005A1DBB"/>
    <w:rsid w:val="005A1F52"/>
    <w:rsid w:val="005A3A65"/>
    <w:rsid w:val="005A49C6"/>
    <w:rsid w:val="005A5219"/>
    <w:rsid w:val="005A7E53"/>
    <w:rsid w:val="005B308D"/>
    <w:rsid w:val="005B3B60"/>
    <w:rsid w:val="005B7AC1"/>
    <w:rsid w:val="005C037E"/>
    <w:rsid w:val="005C26C4"/>
    <w:rsid w:val="005C3828"/>
    <w:rsid w:val="005C766E"/>
    <w:rsid w:val="005C7CD5"/>
    <w:rsid w:val="005D06A4"/>
    <w:rsid w:val="005D53F6"/>
    <w:rsid w:val="005D6DCF"/>
    <w:rsid w:val="005D71C5"/>
    <w:rsid w:val="005E090D"/>
    <w:rsid w:val="005E0BF0"/>
    <w:rsid w:val="005E434F"/>
    <w:rsid w:val="005E57B3"/>
    <w:rsid w:val="005E65F6"/>
    <w:rsid w:val="005F0DED"/>
    <w:rsid w:val="005F37F7"/>
    <w:rsid w:val="00600D82"/>
    <w:rsid w:val="00611566"/>
    <w:rsid w:val="006119C4"/>
    <w:rsid w:val="006123DE"/>
    <w:rsid w:val="006230AE"/>
    <w:rsid w:val="006251AC"/>
    <w:rsid w:val="00627A21"/>
    <w:rsid w:val="00633C7F"/>
    <w:rsid w:val="00644633"/>
    <w:rsid w:val="00646D99"/>
    <w:rsid w:val="00653708"/>
    <w:rsid w:val="00656908"/>
    <w:rsid w:val="00656910"/>
    <w:rsid w:val="006574C0"/>
    <w:rsid w:val="006631D3"/>
    <w:rsid w:val="00663F1F"/>
    <w:rsid w:val="00664071"/>
    <w:rsid w:val="006662B0"/>
    <w:rsid w:val="00675889"/>
    <w:rsid w:val="006810E5"/>
    <w:rsid w:val="00683EFD"/>
    <w:rsid w:val="00684DC4"/>
    <w:rsid w:val="006908E8"/>
    <w:rsid w:val="00696821"/>
    <w:rsid w:val="006A0E8D"/>
    <w:rsid w:val="006A3427"/>
    <w:rsid w:val="006B09C0"/>
    <w:rsid w:val="006B5626"/>
    <w:rsid w:val="006B5764"/>
    <w:rsid w:val="006C284A"/>
    <w:rsid w:val="006C66D8"/>
    <w:rsid w:val="006C7033"/>
    <w:rsid w:val="006C7335"/>
    <w:rsid w:val="006D0DA2"/>
    <w:rsid w:val="006D1E24"/>
    <w:rsid w:val="006D35DE"/>
    <w:rsid w:val="006D37B0"/>
    <w:rsid w:val="006D42AB"/>
    <w:rsid w:val="006D5CD6"/>
    <w:rsid w:val="006E1057"/>
    <w:rsid w:val="006E1417"/>
    <w:rsid w:val="006E2269"/>
    <w:rsid w:val="006E2F78"/>
    <w:rsid w:val="006F1680"/>
    <w:rsid w:val="006F5217"/>
    <w:rsid w:val="006F54BB"/>
    <w:rsid w:val="006F634D"/>
    <w:rsid w:val="006F6A2C"/>
    <w:rsid w:val="007069DC"/>
    <w:rsid w:val="00710201"/>
    <w:rsid w:val="007113F6"/>
    <w:rsid w:val="0071329E"/>
    <w:rsid w:val="0072073A"/>
    <w:rsid w:val="007249C2"/>
    <w:rsid w:val="00732162"/>
    <w:rsid w:val="007342B5"/>
    <w:rsid w:val="00734A5B"/>
    <w:rsid w:val="00741393"/>
    <w:rsid w:val="00744235"/>
    <w:rsid w:val="007449FA"/>
    <w:rsid w:val="00744E76"/>
    <w:rsid w:val="0074513A"/>
    <w:rsid w:val="007555C6"/>
    <w:rsid w:val="00757D40"/>
    <w:rsid w:val="00760C96"/>
    <w:rsid w:val="00763C2C"/>
    <w:rsid w:val="007662B5"/>
    <w:rsid w:val="00766FD1"/>
    <w:rsid w:val="007772EA"/>
    <w:rsid w:val="007817FB"/>
    <w:rsid w:val="00781F0F"/>
    <w:rsid w:val="00784BAD"/>
    <w:rsid w:val="0078727C"/>
    <w:rsid w:val="00787E37"/>
    <w:rsid w:val="0079049D"/>
    <w:rsid w:val="00791062"/>
    <w:rsid w:val="00793110"/>
    <w:rsid w:val="00793DC5"/>
    <w:rsid w:val="007953DE"/>
    <w:rsid w:val="00796823"/>
    <w:rsid w:val="007A2106"/>
    <w:rsid w:val="007A2E55"/>
    <w:rsid w:val="007A3E92"/>
    <w:rsid w:val="007A4192"/>
    <w:rsid w:val="007A6D44"/>
    <w:rsid w:val="007A7C00"/>
    <w:rsid w:val="007B0491"/>
    <w:rsid w:val="007B086E"/>
    <w:rsid w:val="007B189F"/>
    <w:rsid w:val="007B18D8"/>
    <w:rsid w:val="007B4D8C"/>
    <w:rsid w:val="007B5860"/>
    <w:rsid w:val="007B7010"/>
    <w:rsid w:val="007C095F"/>
    <w:rsid w:val="007C2DD0"/>
    <w:rsid w:val="007C3432"/>
    <w:rsid w:val="007C73B6"/>
    <w:rsid w:val="007D2612"/>
    <w:rsid w:val="007D6380"/>
    <w:rsid w:val="007D79FC"/>
    <w:rsid w:val="007E041C"/>
    <w:rsid w:val="007E1894"/>
    <w:rsid w:val="007E4D3A"/>
    <w:rsid w:val="007E574E"/>
    <w:rsid w:val="007E7612"/>
    <w:rsid w:val="007E7A6C"/>
    <w:rsid w:val="007F2E08"/>
    <w:rsid w:val="007F46EE"/>
    <w:rsid w:val="007F4760"/>
    <w:rsid w:val="007F6551"/>
    <w:rsid w:val="0080054F"/>
    <w:rsid w:val="008024FA"/>
    <w:rsid w:val="008028A4"/>
    <w:rsid w:val="008034D3"/>
    <w:rsid w:val="00803623"/>
    <w:rsid w:val="00806A92"/>
    <w:rsid w:val="00807703"/>
    <w:rsid w:val="0081107C"/>
    <w:rsid w:val="00813245"/>
    <w:rsid w:val="00813765"/>
    <w:rsid w:val="00816C0D"/>
    <w:rsid w:val="00816CBD"/>
    <w:rsid w:val="00821D85"/>
    <w:rsid w:val="00824FDA"/>
    <w:rsid w:val="008322BB"/>
    <w:rsid w:val="0084007B"/>
    <w:rsid w:val="0084058A"/>
    <w:rsid w:val="00840DE0"/>
    <w:rsid w:val="00842F34"/>
    <w:rsid w:val="008444F9"/>
    <w:rsid w:val="008450D7"/>
    <w:rsid w:val="0084729B"/>
    <w:rsid w:val="00847CD0"/>
    <w:rsid w:val="00851CF8"/>
    <w:rsid w:val="00855108"/>
    <w:rsid w:val="00857F30"/>
    <w:rsid w:val="008607A8"/>
    <w:rsid w:val="00862E03"/>
    <w:rsid w:val="0086354A"/>
    <w:rsid w:val="0086467E"/>
    <w:rsid w:val="008659C6"/>
    <w:rsid w:val="00865F03"/>
    <w:rsid w:val="00872A4A"/>
    <w:rsid w:val="00874C00"/>
    <w:rsid w:val="00874DF3"/>
    <w:rsid w:val="008768CA"/>
    <w:rsid w:val="00877EE5"/>
    <w:rsid w:val="00877EF9"/>
    <w:rsid w:val="00880559"/>
    <w:rsid w:val="00881EB2"/>
    <w:rsid w:val="008913DB"/>
    <w:rsid w:val="0089338A"/>
    <w:rsid w:val="008948D7"/>
    <w:rsid w:val="008954D7"/>
    <w:rsid w:val="008977F7"/>
    <w:rsid w:val="008A02E3"/>
    <w:rsid w:val="008A7E1E"/>
    <w:rsid w:val="008B1578"/>
    <w:rsid w:val="008B5306"/>
    <w:rsid w:val="008C0527"/>
    <w:rsid w:val="008C0639"/>
    <w:rsid w:val="008C2E2A"/>
    <w:rsid w:val="008C3057"/>
    <w:rsid w:val="008C35E7"/>
    <w:rsid w:val="008C4E49"/>
    <w:rsid w:val="008C642A"/>
    <w:rsid w:val="008D0787"/>
    <w:rsid w:val="008D2C3D"/>
    <w:rsid w:val="008D2E4D"/>
    <w:rsid w:val="008D626F"/>
    <w:rsid w:val="008E0BE0"/>
    <w:rsid w:val="008E2B56"/>
    <w:rsid w:val="008E311B"/>
    <w:rsid w:val="008E58A4"/>
    <w:rsid w:val="008E6FAC"/>
    <w:rsid w:val="008E7A77"/>
    <w:rsid w:val="008F0298"/>
    <w:rsid w:val="008F396F"/>
    <w:rsid w:val="008F3DCD"/>
    <w:rsid w:val="00900C20"/>
    <w:rsid w:val="0090271F"/>
    <w:rsid w:val="00902DB9"/>
    <w:rsid w:val="0090466A"/>
    <w:rsid w:val="00905064"/>
    <w:rsid w:val="00907910"/>
    <w:rsid w:val="009079FF"/>
    <w:rsid w:val="0091326C"/>
    <w:rsid w:val="009135E7"/>
    <w:rsid w:val="00922F3A"/>
    <w:rsid w:val="00923655"/>
    <w:rsid w:val="00925435"/>
    <w:rsid w:val="00926C00"/>
    <w:rsid w:val="009308ED"/>
    <w:rsid w:val="009339CB"/>
    <w:rsid w:val="00936071"/>
    <w:rsid w:val="00937345"/>
    <w:rsid w:val="009376CD"/>
    <w:rsid w:val="00937D83"/>
    <w:rsid w:val="00940212"/>
    <w:rsid w:val="009429E7"/>
    <w:rsid w:val="00942EC2"/>
    <w:rsid w:val="00943CD9"/>
    <w:rsid w:val="00944907"/>
    <w:rsid w:val="00944A30"/>
    <w:rsid w:val="0094561D"/>
    <w:rsid w:val="0095032F"/>
    <w:rsid w:val="0095543F"/>
    <w:rsid w:val="00961B32"/>
    <w:rsid w:val="00962509"/>
    <w:rsid w:val="00970DB3"/>
    <w:rsid w:val="00974BB0"/>
    <w:rsid w:val="00975BCD"/>
    <w:rsid w:val="00982BE1"/>
    <w:rsid w:val="00987FF9"/>
    <w:rsid w:val="00990310"/>
    <w:rsid w:val="009928A9"/>
    <w:rsid w:val="00993CAF"/>
    <w:rsid w:val="009A0AF3"/>
    <w:rsid w:val="009A3D38"/>
    <w:rsid w:val="009A4B27"/>
    <w:rsid w:val="009A5BE4"/>
    <w:rsid w:val="009B07CD"/>
    <w:rsid w:val="009B0E6B"/>
    <w:rsid w:val="009B3589"/>
    <w:rsid w:val="009B388C"/>
    <w:rsid w:val="009C065F"/>
    <w:rsid w:val="009C19E9"/>
    <w:rsid w:val="009C2F6B"/>
    <w:rsid w:val="009C69AA"/>
    <w:rsid w:val="009D162C"/>
    <w:rsid w:val="009D28C4"/>
    <w:rsid w:val="009D60EB"/>
    <w:rsid w:val="009D74A6"/>
    <w:rsid w:val="009E0E87"/>
    <w:rsid w:val="009E54CC"/>
    <w:rsid w:val="009E5B89"/>
    <w:rsid w:val="009F2682"/>
    <w:rsid w:val="009F6566"/>
    <w:rsid w:val="009F6B29"/>
    <w:rsid w:val="009F7FBB"/>
    <w:rsid w:val="00A0531E"/>
    <w:rsid w:val="00A069AD"/>
    <w:rsid w:val="00A10F02"/>
    <w:rsid w:val="00A13630"/>
    <w:rsid w:val="00A1713B"/>
    <w:rsid w:val="00A17B69"/>
    <w:rsid w:val="00A204CA"/>
    <w:rsid w:val="00A209D6"/>
    <w:rsid w:val="00A21586"/>
    <w:rsid w:val="00A22738"/>
    <w:rsid w:val="00A252B3"/>
    <w:rsid w:val="00A26D4E"/>
    <w:rsid w:val="00A27697"/>
    <w:rsid w:val="00A30806"/>
    <w:rsid w:val="00A31E7A"/>
    <w:rsid w:val="00A33E99"/>
    <w:rsid w:val="00A36F5F"/>
    <w:rsid w:val="00A3772E"/>
    <w:rsid w:val="00A430EC"/>
    <w:rsid w:val="00A51159"/>
    <w:rsid w:val="00A53724"/>
    <w:rsid w:val="00A53BCE"/>
    <w:rsid w:val="00A54B2B"/>
    <w:rsid w:val="00A55C40"/>
    <w:rsid w:val="00A635A4"/>
    <w:rsid w:val="00A640D6"/>
    <w:rsid w:val="00A6775F"/>
    <w:rsid w:val="00A703B6"/>
    <w:rsid w:val="00A72114"/>
    <w:rsid w:val="00A75F1E"/>
    <w:rsid w:val="00A82090"/>
    <w:rsid w:val="00A82346"/>
    <w:rsid w:val="00A83E67"/>
    <w:rsid w:val="00A959CE"/>
    <w:rsid w:val="00A9671C"/>
    <w:rsid w:val="00AA0B55"/>
    <w:rsid w:val="00AA1553"/>
    <w:rsid w:val="00AA195B"/>
    <w:rsid w:val="00AA2D73"/>
    <w:rsid w:val="00AA5888"/>
    <w:rsid w:val="00AB19E9"/>
    <w:rsid w:val="00AB5C24"/>
    <w:rsid w:val="00AB6758"/>
    <w:rsid w:val="00AB7BAF"/>
    <w:rsid w:val="00AC1377"/>
    <w:rsid w:val="00AC3171"/>
    <w:rsid w:val="00AC4C8B"/>
    <w:rsid w:val="00AC5E01"/>
    <w:rsid w:val="00AC7C2E"/>
    <w:rsid w:val="00AD4CBF"/>
    <w:rsid w:val="00AD5E87"/>
    <w:rsid w:val="00AE6197"/>
    <w:rsid w:val="00AE7976"/>
    <w:rsid w:val="00AF307F"/>
    <w:rsid w:val="00AF5231"/>
    <w:rsid w:val="00AF7FCD"/>
    <w:rsid w:val="00B0087E"/>
    <w:rsid w:val="00B014FF"/>
    <w:rsid w:val="00B05380"/>
    <w:rsid w:val="00B05962"/>
    <w:rsid w:val="00B07617"/>
    <w:rsid w:val="00B12500"/>
    <w:rsid w:val="00B144A3"/>
    <w:rsid w:val="00B15347"/>
    <w:rsid w:val="00B15449"/>
    <w:rsid w:val="00B154EA"/>
    <w:rsid w:val="00B162FC"/>
    <w:rsid w:val="00B16A44"/>
    <w:rsid w:val="00B16BE3"/>
    <w:rsid w:val="00B16C2F"/>
    <w:rsid w:val="00B1797C"/>
    <w:rsid w:val="00B179A8"/>
    <w:rsid w:val="00B17CD4"/>
    <w:rsid w:val="00B20AE3"/>
    <w:rsid w:val="00B27303"/>
    <w:rsid w:val="00B3574D"/>
    <w:rsid w:val="00B36AAF"/>
    <w:rsid w:val="00B46852"/>
    <w:rsid w:val="00B47FD1"/>
    <w:rsid w:val="00B502BA"/>
    <w:rsid w:val="00B516BB"/>
    <w:rsid w:val="00B53F25"/>
    <w:rsid w:val="00B568D2"/>
    <w:rsid w:val="00B57208"/>
    <w:rsid w:val="00B62259"/>
    <w:rsid w:val="00B62FA7"/>
    <w:rsid w:val="00B63D4F"/>
    <w:rsid w:val="00B63E1E"/>
    <w:rsid w:val="00B64CE4"/>
    <w:rsid w:val="00B67287"/>
    <w:rsid w:val="00B717DD"/>
    <w:rsid w:val="00B71E3E"/>
    <w:rsid w:val="00B74BE4"/>
    <w:rsid w:val="00B7538C"/>
    <w:rsid w:val="00B8465F"/>
    <w:rsid w:val="00B84DB2"/>
    <w:rsid w:val="00B85A17"/>
    <w:rsid w:val="00B8633B"/>
    <w:rsid w:val="00B864A1"/>
    <w:rsid w:val="00B86DB3"/>
    <w:rsid w:val="00B951E0"/>
    <w:rsid w:val="00BA12FE"/>
    <w:rsid w:val="00BA3E3B"/>
    <w:rsid w:val="00BA402D"/>
    <w:rsid w:val="00BA4F74"/>
    <w:rsid w:val="00BA7BCC"/>
    <w:rsid w:val="00BB03DB"/>
    <w:rsid w:val="00BB30B4"/>
    <w:rsid w:val="00BB5D81"/>
    <w:rsid w:val="00BC3555"/>
    <w:rsid w:val="00BC5BF6"/>
    <w:rsid w:val="00BC785E"/>
    <w:rsid w:val="00BC7F7C"/>
    <w:rsid w:val="00BD0646"/>
    <w:rsid w:val="00BD15ED"/>
    <w:rsid w:val="00BD4F77"/>
    <w:rsid w:val="00BD7961"/>
    <w:rsid w:val="00BE0A36"/>
    <w:rsid w:val="00BE465A"/>
    <w:rsid w:val="00C0326F"/>
    <w:rsid w:val="00C037E9"/>
    <w:rsid w:val="00C05C6C"/>
    <w:rsid w:val="00C10323"/>
    <w:rsid w:val="00C12B51"/>
    <w:rsid w:val="00C12DC2"/>
    <w:rsid w:val="00C1643D"/>
    <w:rsid w:val="00C24650"/>
    <w:rsid w:val="00C25465"/>
    <w:rsid w:val="00C25BD4"/>
    <w:rsid w:val="00C32B4C"/>
    <w:rsid w:val="00C32F19"/>
    <w:rsid w:val="00C33079"/>
    <w:rsid w:val="00C3365E"/>
    <w:rsid w:val="00C37616"/>
    <w:rsid w:val="00C51AF8"/>
    <w:rsid w:val="00C53C30"/>
    <w:rsid w:val="00C53F86"/>
    <w:rsid w:val="00C54BF4"/>
    <w:rsid w:val="00C55A12"/>
    <w:rsid w:val="00C56427"/>
    <w:rsid w:val="00C56864"/>
    <w:rsid w:val="00C634B4"/>
    <w:rsid w:val="00C642E0"/>
    <w:rsid w:val="00C6553E"/>
    <w:rsid w:val="00C6768A"/>
    <w:rsid w:val="00C72768"/>
    <w:rsid w:val="00C76250"/>
    <w:rsid w:val="00C83A13"/>
    <w:rsid w:val="00C84E1E"/>
    <w:rsid w:val="00C85619"/>
    <w:rsid w:val="00C86F10"/>
    <w:rsid w:val="00C9068C"/>
    <w:rsid w:val="00C92967"/>
    <w:rsid w:val="00C92E61"/>
    <w:rsid w:val="00C94905"/>
    <w:rsid w:val="00CA1F02"/>
    <w:rsid w:val="00CA3D0C"/>
    <w:rsid w:val="00CA41DF"/>
    <w:rsid w:val="00CA47B8"/>
    <w:rsid w:val="00CA654B"/>
    <w:rsid w:val="00CB17A3"/>
    <w:rsid w:val="00CB3288"/>
    <w:rsid w:val="00CB38BD"/>
    <w:rsid w:val="00CB3B3B"/>
    <w:rsid w:val="00CB4C60"/>
    <w:rsid w:val="00CB4F4D"/>
    <w:rsid w:val="00CB59E0"/>
    <w:rsid w:val="00CB72B8"/>
    <w:rsid w:val="00CC0750"/>
    <w:rsid w:val="00CC52E4"/>
    <w:rsid w:val="00CC7733"/>
    <w:rsid w:val="00CC7C19"/>
    <w:rsid w:val="00CD0BA8"/>
    <w:rsid w:val="00CD35BE"/>
    <w:rsid w:val="00CD3787"/>
    <w:rsid w:val="00CD4C7B"/>
    <w:rsid w:val="00CD58FE"/>
    <w:rsid w:val="00CD6FF2"/>
    <w:rsid w:val="00CD6FFB"/>
    <w:rsid w:val="00CE06E0"/>
    <w:rsid w:val="00CE3AFF"/>
    <w:rsid w:val="00CE5D82"/>
    <w:rsid w:val="00D022F1"/>
    <w:rsid w:val="00D07E52"/>
    <w:rsid w:val="00D14DC1"/>
    <w:rsid w:val="00D1517D"/>
    <w:rsid w:val="00D1542A"/>
    <w:rsid w:val="00D15C84"/>
    <w:rsid w:val="00D21B67"/>
    <w:rsid w:val="00D23204"/>
    <w:rsid w:val="00D23674"/>
    <w:rsid w:val="00D2719C"/>
    <w:rsid w:val="00D32E58"/>
    <w:rsid w:val="00D33BD5"/>
    <w:rsid w:val="00D33BE3"/>
    <w:rsid w:val="00D3527B"/>
    <w:rsid w:val="00D3792D"/>
    <w:rsid w:val="00D47832"/>
    <w:rsid w:val="00D47BD8"/>
    <w:rsid w:val="00D50DFA"/>
    <w:rsid w:val="00D510D4"/>
    <w:rsid w:val="00D539A4"/>
    <w:rsid w:val="00D5412F"/>
    <w:rsid w:val="00D55E47"/>
    <w:rsid w:val="00D60D8F"/>
    <w:rsid w:val="00D61F1F"/>
    <w:rsid w:val="00D62E19"/>
    <w:rsid w:val="00D631FE"/>
    <w:rsid w:val="00D65AE3"/>
    <w:rsid w:val="00D67CD1"/>
    <w:rsid w:val="00D67D06"/>
    <w:rsid w:val="00D70C06"/>
    <w:rsid w:val="00D71712"/>
    <w:rsid w:val="00D717CF"/>
    <w:rsid w:val="00D738D6"/>
    <w:rsid w:val="00D75426"/>
    <w:rsid w:val="00D76842"/>
    <w:rsid w:val="00D80795"/>
    <w:rsid w:val="00D82DDD"/>
    <w:rsid w:val="00D854BE"/>
    <w:rsid w:val="00D87E00"/>
    <w:rsid w:val="00D9134D"/>
    <w:rsid w:val="00D96171"/>
    <w:rsid w:val="00D96D11"/>
    <w:rsid w:val="00DA7A03"/>
    <w:rsid w:val="00DB028C"/>
    <w:rsid w:val="00DB0DB8"/>
    <w:rsid w:val="00DB1818"/>
    <w:rsid w:val="00DB1F0F"/>
    <w:rsid w:val="00DB37D1"/>
    <w:rsid w:val="00DC1669"/>
    <w:rsid w:val="00DC309B"/>
    <w:rsid w:val="00DC48E1"/>
    <w:rsid w:val="00DC4DA2"/>
    <w:rsid w:val="00DC5261"/>
    <w:rsid w:val="00DC60FA"/>
    <w:rsid w:val="00DC7F5D"/>
    <w:rsid w:val="00DD1179"/>
    <w:rsid w:val="00DE25D2"/>
    <w:rsid w:val="00DE7570"/>
    <w:rsid w:val="00DF1F64"/>
    <w:rsid w:val="00DF3BFC"/>
    <w:rsid w:val="00DF492D"/>
    <w:rsid w:val="00DF5577"/>
    <w:rsid w:val="00DF628B"/>
    <w:rsid w:val="00DF7C20"/>
    <w:rsid w:val="00E00998"/>
    <w:rsid w:val="00E03D18"/>
    <w:rsid w:val="00E0751B"/>
    <w:rsid w:val="00E07FC2"/>
    <w:rsid w:val="00E11856"/>
    <w:rsid w:val="00E168F7"/>
    <w:rsid w:val="00E178C5"/>
    <w:rsid w:val="00E212B2"/>
    <w:rsid w:val="00E223F4"/>
    <w:rsid w:val="00E3766E"/>
    <w:rsid w:val="00E40DBC"/>
    <w:rsid w:val="00E40DE0"/>
    <w:rsid w:val="00E45587"/>
    <w:rsid w:val="00E464E5"/>
    <w:rsid w:val="00E46C08"/>
    <w:rsid w:val="00E4706B"/>
    <w:rsid w:val="00E471CF"/>
    <w:rsid w:val="00E531A5"/>
    <w:rsid w:val="00E55434"/>
    <w:rsid w:val="00E556EB"/>
    <w:rsid w:val="00E621E6"/>
    <w:rsid w:val="00E62835"/>
    <w:rsid w:val="00E63002"/>
    <w:rsid w:val="00E63E6A"/>
    <w:rsid w:val="00E65583"/>
    <w:rsid w:val="00E65718"/>
    <w:rsid w:val="00E701FC"/>
    <w:rsid w:val="00E713B1"/>
    <w:rsid w:val="00E731C7"/>
    <w:rsid w:val="00E749CB"/>
    <w:rsid w:val="00E77645"/>
    <w:rsid w:val="00E83697"/>
    <w:rsid w:val="00E847B0"/>
    <w:rsid w:val="00E8520A"/>
    <w:rsid w:val="00E859B6"/>
    <w:rsid w:val="00E91042"/>
    <w:rsid w:val="00E93ACA"/>
    <w:rsid w:val="00EA21EB"/>
    <w:rsid w:val="00EA5A28"/>
    <w:rsid w:val="00EA5FA5"/>
    <w:rsid w:val="00EA66C9"/>
    <w:rsid w:val="00EB18F3"/>
    <w:rsid w:val="00EB3075"/>
    <w:rsid w:val="00EB3465"/>
    <w:rsid w:val="00EB45F3"/>
    <w:rsid w:val="00EB5D32"/>
    <w:rsid w:val="00EB752C"/>
    <w:rsid w:val="00EC4A25"/>
    <w:rsid w:val="00EC6E0F"/>
    <w:rsid w:val="00ED4469"/>
    <w:rsid w:val="00ED6768"/>
    <w:rsid w:val="00EE1CF6"/>
    <w:rsid w:val="00EE23E8"/>
    <w:rsid w:val="00EE29DA"/>
    <w:rsid w:val="00EF612C"/>
    <w:rsid w:val="00F00A0C"/>
    <w:rsid w:val="00F010C1"/>
    <w:rsid w:val="00F025A2"/>
    <w:rsid w:val="00F02624"/>
    <w:rsid w:val="00F02E8F"/>
    <w:rsid w:val="00F02F08"/>
    <w:rsid w:val="00F031C6"/>
    <w:rsid w:val="00F036E9"/>
    <w:rsid w:val="00F07388"/>
    <w:rsid w:val="00F1368C"/>
    <w:rsid w:val="00F14019"/>
    <w:rsid w:val="00F16ED2"/>
    <w:rsid w:val="00F1772D"/>
    <w:rsid w:val="00F2026E"/>
    <w:rsid w:val="00F20B4D"/>
    <w:rsid w:val="00F20E38"/>
    <w:rsid w:val="00F2210A"/>
    <w:rsid w:val="00F24023"/>
    <w:rsid w:val="00F31372"/>
    <w:rsid w:val="00F34B93"/>
    <w:rsid w:val="00F3622A"/>
    <w:rsid w:val="00F37743"/>
    <w:rsid w:val="00F40C20"/>
    <w:rsid w:val="00F41D8B"/>
    <w:rsid w:val="00F42E14"/>
    <w:rsid w:val="00F42EB8"/>
    <w:rsid w:val="00F463F5"/>
    <w:rsid w:val="00F54A3D"/>
    <w:rsid w:val="00F54CB0"/>
    <w:rsid w:val="00F556DC"/>
    <w:rsid w:val="00F568D5"/>
    <w:rsid w:val="00F579CD"/>
    <w:rsid w:val="00F606D4"/>
    <w:rsid w:val="00F653B8"/>
    <w:rsid w:val="00F669FD"/>
    <w:rsid w:val="00F71B89"/>
    <w:rsid w:val="00F72A4D"/>
    <w:rsid w:val="00F7353C"/>
    <w:rsid w:val="00F73E4D"/>
    <w:rsid w:val="00F75705"/>
    <w:rsid w:val="00F766B5"/>
    <w:rsid w:val="00F76F8F"/>
    <w:rsid w:val="00F800FA"/>
    <w:rsid w:val="00F80724"/>
    <w:rsid w:val="00F8116F"/>
    <w:rsid w:val="00F83629"/>
    <w:rsid w:val="00F87257"/>
    <w:rsid w:val="00F941DF"/>
    <w:rsid w:val="00FA0025"/>
    <w:rsid w:val="00FA0C9A"/>
    <w:rsid w:val="00FA1266"/>
    <w:rsid w:val="00FA3D3F"/>
    <w:rsid w:val="00FB0BE9"/>
    <w:rsid w:val="00FB36FA"/>
    <w:rsid w:val="00FB3D97"/>
    <w:rsid w:val="00FC1192"/>
    <w:rsid w:val="00FC28B8"/>
    <w:rsid w:val="00FC502B"/>
    <w:rsid w:val="00FC5374"/>
    <w:rsid w:val="00FD272E"/>
    <w:rsid w:val="00FD3DD9"/>
    <w:rsid w:val="00FD6401"/>
    <w:rsid w:val="00FE106D"/>
    <w:rsid w:val="00FE1F02"/>
    <w:rsid w:val="00FE251B"/>
    <w:rsid w:val="00FF0181"/>
    <w:rsid w:val="00FF1024"/>
    <w:rsid w:val="00FF1E54"/>
    <w:rsid w:val="00FF2EB0"/>
    <w:rsid w:val="00FF3D51"/>
    <w:rsid w:val="00FF43DC"/>
    <w:rsid w:val="00FF5818"/>
    <w:rsid w:val="00FF719B"/>
    <w:rsid w:val="042A3EA5"/>
    <w:rsid w:val="07A067A7"/>
    <w:rsid w:val="10B7D6D3"/>
    <w:rsid w:val="10CEA56E"/>
    <w:rsid w:val="132E598B"/>
    <w:rsid w:val="1789D00B"/>
    <w:rsid w:val="18634A5B"/>
    <w:rsid w:val="1C689D42"/>
    <w:rsid w:val="1E759B83"/>
    <w:rsid w:val="1E88D1AC"/>
    <w:rsid w:val="1F9F12CC"/>
    <w:rsid w:val="20116BE4"/>
    <w:rsid w:val="246418DB"/>
    <w:rsid w:val="28AE3A3D"/>
    <w:rsid w:val="29381775"/>
    <w:rsid w:val="2E8D768E"/>
    <w:rsid w:val="36AD3AE2"/>
    <w:rsid w:val="36E286B7"/>
    <w:rsid w:val="395F5278"/>
    <w:rsid w:val="3D489DA3"/>
    <w:rsid w:val="41017043"/>
    <w:rsid w:val="458986DC"/>
    <w:rsid w:val="4975DE37"/>
    <w:rsid w:val="4F1A26D6"/>
    <w:rsid w:val="52D921C8"/>
    <w:rsid w:val="5517058F"/>
    <w:rsid w:val="5662FD02"/>
    <w:rsid w:val="56923356"/>
    <w:rsid w:val="5A787481"/>
    <w:rsid w:val="5EC840F6"/>
    <w:rsid w:val="626BE5E5"/>
    <w:rsid w:val="671D8BDB"/>
    <w:rsid w:val="67511858"/>
    <w:rsid w:val="6798479B"/>
    <w:rsid w:val="698345AA"/>
    <w:rsid w:val="6AFB4F67"/>
    <w:rsid w:val="6BC7770D"/>
    <w:rsid w:val="6D0FB2AA"/>
    <w:rsid w:val="6E85C97D"/>
    <w:rsid w:val="6F567C75"/>
    <w:rsid w:val="6F758B04"/>
    <w:rsid w:val="6FA79A33"/>
    <w:rsid w:val="7452D98D"/>
    <w:rsid w:val="74E16B15"/>
    <w:rsid w:val="7668A53D"/>
    <w:rsid w:val="79C031A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EF9539-1CC3-4890-A8AF-47BDCC20F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basedOn w:val="Normal"/>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6119C4"/>
    <w:rPr>
      <w:rFonts w:ascii="Arial" w:hAnsi="Arial"/>
      <w:sz w:val="36"/>
      <w:lang w:eastAsia="en-US"/>
    </w:rPr>
  </w:style>
  <w:style w:type="paragraph" w:styleId="NormalWeb">
    <w:name w:val="Normal (Web)"/>
    <w:basedOn w:val="Normal"/>
    <w:uiPriority w:val="99"/>
    <w:unhideWhenUsed/>
    <w:rsid w:val="00331ED6"/>
    <w:pPr>
      <w:spacing w:before="100" w:beforeAutospacing="1" w:after="100" w:afterAutospacing="1"/>
    </w:pPr>
    <w:rPr>
      <w:sz w:val="24"/>
      <w:szCs w:val="24"/>
      <w:lang w:val="en-US"/>
    </w:rPr>
  </w:style>
  <w:style w:type="table" w:styleId="TableGrid">
    <w:name w:val="Table Grid"/>
    <w:basedOn w:val="TableNormal"/>
    <w:rsid w:val="004B3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0BE0"/>
    <w:rPr>
      <w:lang w:eastAsia="en-US"/>
    </w:rPr>
  </w:style>
  <w:style w:type="character" w:styleId="Mention">
    <w:name w:val="Mention"/>
    <w:basedOn w:val="DefaultParagraphFont"/>
    <w:uiPriority w:val="99"/>
    <w:unhideWhenUsed/>
    <w:rsid w:val="004D6BFA"/>
    <w:rPr>
      <w:color w:val="2B579A"/>
      <w:shd w:val="clear" w:color="auto" w:fill="E6E6E6"/>
    </w:rPr>
  </w:style>
  <w:style w:type="table" w:customStyle="1" w:styleId="TableGrid1">
    <w:name w:val="Table Grid1"/>
    <w:basedOn w:val="TableNormal"/>
    <w:next w:val="TableGrid"/>
    <w:uiPriority w:val="39"/>
    <w:rsid w:val="00816C0D"/>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E7570"/>
    <w:rPr>
      <w:i/>
      <w:iCs/>
    </w:rPr>
  </w:style>
  <w:style w:type="paragraph" w:customStyle="1" w:styleId="Doc-text2">
    <w:name w:val="Doc-text2"/>
    <w:basedOn w:val="Normal"/>
    <w:link w:val="Doc-text2Char"/>
    <w:qFormat/>
    <w:rsid w:val="00E376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766E"/>
    <w:rPr>
      <w:rFonts w:ascii="Arial" w:eastAsia="MS Mincho" w:hAnsi="Arial"/>
      <w:szCs w:val="24"/>
    </w:rPr>
  </w:style>
  <w:style w:type="paragraph" w:customStyle="1" w:styleId="Agreement">
    <w:name w:val="Agreement"/>
    <w:basedOn w:val="Normal"/>
    <w:next w:val="Doc-text2"/>
    <w:qFormat/>
    <w:rsid w:val="00E3766E"/>
    <w:pPr>
      <w:numPr>
        <w:numId w:val="43"/>
      </w:numPr>
      <w:tabs>
        <w:tab w:val="clear" w:pos="1495"/>
        <w:tab w:val="num" w:pos="1619"/>
      </w:tabs>
      <w:spacing w:before="60" w:after="0"/>
      <w:ind w:left="1619"/>
    </w:pPr>
    <w:rPr>
      <w:rFonts w:ascii="Arial" w:eastAsia="MS Mincho" w:hAnsi="Arial"/>
      <w:b/>
      <w:szCs w:val="24"/>
      <w:lang w:eastAsia="en-GB"/>
    </w:rPr>
  </w:style>
  <w:style w:type="character" w:customStyle="1" w:styleId="PLChar">
    <w:name w:val="PL Char"/>
    <w:basedOn w:val="DefaultParagraphFont"/>
    <w:link w:val="PL"/>
    <w:locked/>
    <w:rsid w:val="00AA0B55"/>
    <w:rPr>
      <w:rFonts w:ascii="Courier New" w:hAnsi="Courier New"/>
      <w:noProof/>
      <w:sz w:val="16"/>
      <w:lang w:eastAsia="en-US"/>
    </w:rPr>
  </w:style>
  <w:style w:type="character" w:customStyle="1" w:styleId="TALCar">
    <w:name w:val="TAL Car"/>
    <w:basedOn w:val="DefaultParagraphFont"/>
    <w:link w:val="TAL"/>
    <w:locked/>
    <w:rsid w:val="00AA0B5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357436637">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521405806">
      <w:bodyDiv w:val="1"/>
      <w:marLeft w:val="0"/>
      <w:marRight w:val="0"/>
      <w:marTop w:val="0"/>
      <w:marBottom w:val="0"/>
      <w:divBdr>
        <w:top w:val="none" w:sz="0" w:space="0" w:color="auto"/>
        <w:left w:val="none" w:sz="0" w:space="0" w:color="auto"/>
        <w:bottom w:val="none" w:sz="0" w:space="0" w:color="auto"/>
        <w:right w:val="none" w:sz="0" w:space="0" w:color="auto"/>
      </w:divBdr>
    </w:div>
    <w:div w:id="684479103">
      <w:bodyDiv w:val="1"/>
      <w:marLeft w:val="0"/>
      <w:marRight w:val="0"/>
      <w:marTop w:val="0"/>
      <w:marBottom w:val="0"/>
      <w:divBdr>
        <w:top w:val="none" w:sz="0" w:space="0" w:color="auto"/>
        <w:left w:val="none" w:sz="0" w:space="0" w:color="auto"/>
        <w:bottom w:val="none" w:sz="0" w:space="0" w:color="auto"/>
        <w:right w:val="none" w:sz="0" w:space="0" w:color="auto"/>
      </w:divBdr>
      <w:divsChild>
        <w:div w:id="134105496">
          <w:marLeft w:val="0"/>
          <w:marRight w:val="0"/>
          <w:marTop w:val="0"/>
          <w:marBottom w:val="0"/>
          <w:divBdr>
            <w:top w:val="none" w:sz="0" w:space="0" w:color="auto"/>
            <w:left w:val="none" w:sz="0" w:space="0" w:color="auto"/>
            <w:bottom w:val="none" w:sz="0" w:space="0" w:color="auto"/>
            <w:right w:val="none" w:sz="0" w:space="0" w:color="auto"/>
          </w:divBdr>
        </w:div>
        <w:div w:id="1669214248">
          <w:marLeft w:val="0"/>
          <w:marRight w:val="0"/>
          <w:marTop w:val="0"/>
          <w:marBottom w:val="0"/>
          <w:divBdr>
            <w:top w:val="none" w:sz="0" w:space="0" w:color="auto"/>
            <w:left w:val="none" w:sz="0" w:space="0" w:color="auto"/>
            <w:bottom w:val="none" w:sz="0" w:space="0" w:color="auto"/>
            <w:right w:val="none" w:sz="0" w:space="0" w:color="auto"/>
          </w:divBdr>
        </w:div>
        <w:div w:id="1766801770">
          <w:marLeft w:val="0"/>
          <w:marRight w:val="0"/>
          <w:marTop w:val="0"/>
          <w:marBottom w:val="0"/>
          <w:divBdr>
            <w:top w:val="none" w:sz="0" w:space="0" w:color="auto"/>
            <w:left w:val="none" w:sz="0" w:space="0" w:color="auto"/>
            <w:bottom w:val="none" w:sz="0" w:space="0" w:color="auto"/>
            <w:right w:val="none" w:sz="0" w:space="0" w:color="auto"/>
          </w:divBdr>
        </w:div>
        <w:div w:id="1904832477">
          <w:marLeft w:val="0"/>
          <w:marRight w:val="0"/>
          <w:marTop w:val="0"/>
          <w:marBottom w:val="0"/>
          <w:divBdr>
            <w:top w:val="none" w:sz="0" w:space="0" w:color="auto"/>
            <w:left w:val="none" w:sz="0" w:space="0" w:color="auto"/>
            <w:bottom w:val="none" w:sz="0" w:space="0" w:color="auto"/>
            <w:right w:val="none" w:sz="0" w:space="0" w:color="auto"/>
          </w:divBdr>
        </w:div>
      </w:divsChild>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74031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482310280">
      <w:bodyDiv w:val="1"/>
      <w:marLeft w:val="0"/>
      <w:marRight w:val="0"/>
      <w:marTop w:val="0"/>
      <w:marBottom w:val="0"/>
      <w:divBdr>
        <w:top w:val="none" w:sz="0" w:space="0" w:color="auto"/>
        <w:left w:val="none" w:sz="0" w:space="0" w:color="auto"/>
        <w:bottom w:val="none" w:sz="0" w:space="0" w:color="auto"/>
        <w:right w:val="none" w:sz="0" w:space="0" w:color="auto"/>
      </w:divBdr>
    </w:div>
    <w:div w:id="1538662274">
      <w:bodyDiv w:val="1"/>
      <w:marLeft w:val="0"/>
      <w:marRight w:val="0"/>
      <w:marTop w:val="0"/>
      <w:marBottom w:val="0"/>
      <w:divBdr>
        <w:top w:val="none" w:sz="0" w:space="0" w:color="auto"/>
        <w:left w:val="none" w:sz="0" w:space="0" w:color="auto"/>
        <w:bottom w:val="none" w:sz="0" w:space="0" w:color="auto"/>
        <w:right w:val="none" w:sz="0" w:space="0" w:color="auto"/>
      </w:divBdr>
    </w:div>
    <w:div w:id="1555658597">
      <w:bodyDiv w:val="1"/>
      <w:marLeft w:val="0"/>
      <w:marRight w:val="0"/>
      <w:marTop w:val="0"/>
      <w:marBottom w:val="0"/>
      <w:divBdr>
        <w:top w:val="none" w:sz="0" w:space="0" w:color="auto"/>
        <w:left w:val="none" w:sz="0" w:space="0" w:color="auto"/>
        <w:bottom w:val="none" w:sz="0" w:space="0" w:color="auto"/>
        <w:right w:val="none" w:sz="0" w:space="0" w:color="auto"/>
      </w:divBdr>
      <w:divsChild>
        <w:div w:id="1167399793">
          <w:marLeft w:val="0"/>
          <w:marRight w:val="0"/>
          <w:marTop w:val="0"/>
          <w:marBottom w:val="0"/>
          <w:divBdr>
            <w:top w:val="none" w:sz="0" w:space="0" w:color="auto"/>
            <w:left w:val="none" w:sz="0" w:space="0" w:color="auto"/>
            <w:bottom w:val="none" w:sz="0" w:space="0" w:color="auto"/>
            <w:right w:val="none" w:sz="0" w:space="0" w:color="auto"/>
          </w:divBdr>
        </w:div>
        <w:div w:id="1358582295">
          <w:marLeft w:val="0"/>
          <w:marRight w:val="0"/>
          <w:marTop w:val="0"/>
          <w:marBottom w:val="0"/>
          <w:divBdr>
            <w:top w:val="none" w:sz="0" w:space="0" w:color="auto"/>
            <w:left w:val="none" w:sz="0" w:space="0" w:color="auto"/>
            <w:bottom w:val="none" w:sz="0" w:space="0" w:color="auto"/>
            <w:right w:val="none" w:sz="0" w:space="0" w:color="auto"/>
          </w:divBdr>
        </w:div>
      </w:divsChild>
    </w:div>
    <w:div w:id="1560290368">
      <w:bodyDiv w:val="1"/>
      <w:marLeft w:val="0"/>
      <w:marRight w:val="0"/>
      <w:marTop w:val="0"/>
      <w:marBottom w:val="0"/>
      <w:divBdr>
        <w:top w:val="none" w:sz="0" w:space="0" w:color="auto"/>
        <w:left w:val="none" w:sz="0" w:space="0" w:color="auto"/>
        <w:bottom w:val="none" w:sz="0" w:space="0" w:color="auto"/>
        <w:right w:val="none" w:sz="0" w:space="0" w:color="auto"/>
      </w:divBdr>
    </w:div>
    <w:div w:id="1634675533">
      <w:bodyDiv w:val="1"/>
      <w:marLeft w:val="0"/>
      <w:marRight w:val="0"/>
      <w:marTop w:val="0"/>
      <w:marBottom w:val="0"/>
      <w:divBdr>
        <w:top w:val="none" w:sz="0" w:space="0" w:color="auto"/>
        <w:left w:val="none" w:sz="0" w:space="0" w:color="auto"/>
        <w:bottom w:val="none" w:sz="0" w:space="0" w:color="auto"/>
        <w:right w:val="none" w:sz="0" w:space="0" w:color="auto"/>
      </w:divBdr>
    </w:div>
    <w:div w:id="1772429240">
      <w:bodyDiv w:val="1"/>
      <w:marLeft w:val="0"/>
      <w:marRight w:val="0"/>
      <w:marTop w:val="0"/>
      <w:marBottom w:val="0"/>
      <w:divBdr>
        <w:top w:val="none" w:sz="0" w:space="0" w:color="auto"/>
        <w:left w:val="none" w:sz="0" w:space="0" w:color="auto"/>
        <w:bottom w:val="none" w:sz="0" w:space="0" w:color="auto"/>
        <w:right w:val="none" w:sz="0" w:space="0" w:color="auto"/>
      </w:divBdr>
    </w:div>
    <w:div w:id="1806967855">
      <w:bodyDiv w:val="1"/>
      <w:marLeft w:val="0"/>
      <w:marRight w:val="0"/>
      <w:marTop w:val="0"/>
      <w:marBottom w:val="0"/>
      <w:divBdr>
        <w:top w:val="none" w:sz="0" w:space="0" w:color="auto"/>
        <w:left w:val="none" w:sz="0" w:space="0" w:color="auto"/>
        <w:bottom w:val="none" w:sz="0" w:space="0" w:color="auto"/>
        <w:right w:val="none" w:sz="0" w:space="0" w:color="auto"/>
      </w:divBdr>
    </w:div>
    <w:div w:id="1870413726">
      <w:bodyDiv w:val="1"/>
      <w:marLeft w:val="0"/>
      <w:marRight w:val="0"/>
      <w:marTop w:val="0"/>
      <w:marBottom w:val="0"/>
      <w:divBdr>
        <w:top w:val="none" w:sz="0" w:space="0" w:color="auto"/>
        <w:left w:val="none" w:sz="0" w:space="0" w:color="auto"/>
        <w:bottom w:val="none" w:sz="0" w:space="0" w:color="auto"/>
        <w:right w:val="none" w:sz="0" w:space="0" w:color="auto"/>
      </w:divBdr>
    </w:div>
    <w:div w:id="191577554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 w:id="2074504098">
      <w:bodyDiv w:val="1"/>
      <w:marLeft w:val="0"/>
      <w:marRight w:val="0"/>
      <w:marTop w:val="0"/>
      <w:marBottom w:val="0"/>
      <w:divBdr>
        <w:top w:val="none" w:sz="0" w:space="0" w:color="auto"/>
        <w:left w:val="none" w:sz="0" w:space="0" w:color="auto"/>
        <w:bottom w:val="none" w:sz="0" w:space="0" w:color="auto"/>
        <w:right w:val="none" w:sz="0" w:space="0" w:color="auto"/>
      </w:divBdr>
    </w:div>
    <w:div w:id="2104186176">
      <w:bodyDiv w:val="1"/>
      <w:marLeft w:val="0"/>
      <w:marRight w:val="0"/>
      <w:marTop w:val="0"/>
      <w:marBottom w:val="0"/>
      <w:divBdr>
        <w:top w:val="none" w:sz="0" w:space="0" w:color="auto"/>
        <w:left w:val="none" w:sz="0" w:space="0" w:color="auto"/>
        <w:bottom w:val="none" w:sz="0" w:space="0" w:color="auto"/>
        <w:right w:val="none" w:sz="0" w:space="0" w:color="auto"/>
      </w:divBdr>
    </w:div>
    <w:div w:id="213937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5AIRPNAIUNRU-859666464-12432</_dlc_DocId>
    <_dlc_DocIdUrl xmlns="71c5aaf6-e6ce-465b-b873-5148d2a4c105">
      <Url>https://nokia.sharepoint.com/sites/c5g/e2earch/_layouts/15/DocIdRedir.aspx?ID=5AIRPNAIUNRU-859666464-12432</Url>
      <Description>5AIRPNAIUNRU-859666464-12432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827</Words>
  <Characters>5382</Characters>
  <Application>Microsoft Office Word</Application>
  <DocSecurity>4</DocSecurity>
  <Lines>158</Lines>
  <Paragraphs>129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2</cp:revision>
  <dcterms:created xsi:type="dcterms:W3CDTF">2023-02-17T04:46:00Z</dcterms:created>
  <dcterms:modified xsi:type="dcterms:W3CDTF">2023-02-17T04:46:00Z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323afca6-de7e-4095-b600-de5c7c3419bc</vt:lpwstr>
  </property>
  <property fmtid="{D5CDD505-2E9C-101B-9397-08002B2CF9AE}" pid="4" name="GrammarlyDocumentId">
    <vt:lpwstr>89c69e646d006a7e73cb36e53025d667e209a1da72f6b6af2b11b464f2e1e8d9</vt:lpwstr>
  </property>
</Properties>
</file>