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1675" w14:textId="334143C8" w:rsidR="00707782" w:rsidRPr="00707782" w:rsidRDefault="00707782" w:rsidP="00707782">
      <w:pPr>
        <w:widowControl w:val="0"/>
        <w:tabs>
          <w:tab w:val="right" w:pos="9639"/>
        </w:tabs>
        <w:overflowPunct w:val="0"/>
        <w:autoSpaceDE w:val="0"/>
        <w:autoSpaceDN w:val="0"/>
        <w:adjustRightInd w:val="0"/>
        <w:spacing w:after="0"/>
        <w:textAlignment w:val="baseline"/>
        <w:rPr>
          <w:rFonts w:ascii="Arial" w:hAnsi="Arial"/>
          <w:b/>
          <w:bCs/>
          <w:i/>
          <w:sz w:val="24"/>
          <w:szCs w:val="24"/>
          <w:lang w:eastAsia="ja-JP"/>
        </w:rPr>
      </w:pPr>
      <w:bookmarkStart w:id="0" w:name="_Hlk118219434"/>
      <w:r w:rsidRPr="00707782">
        <w:rPr>
          <w:rFonts w:ascii="Arial" w:hAnsi="Arial"/>
          <w:b/>
          <w:bCs/>
          <w:sz w:val="24"/>
          <w:szCs w:val="24"/>
          <w:lang w:eastAsia="ja-JP"/>
        </w:rPr>
        <w:t>3GPP TSG-RAN WG2 Meeting #12</w:t>
      </w:r>
      <w:r w:rsidR="00B65AC8">
        <w:rPr>
          <w:rFonts w:ascii="Arial" w:hAnsi="Arial"/>
          <w:b/>
          <w:bCs/>
          <w:sz w:val="24"/>
          <w:szCs w:val="24"/>
          <w:lang w:eastAsia="ja-JP"/>
        </w:rPr>
        <w:t>1</w:t>
      </w:r>
      <w:r w:rsidRPr="00707782">
        <w:rPr>
          <w:rFonts w:ascii="Arial" w:hAnsi="Arial"/>
          <w:b/>
          <w:bCs/>
          <w:sz w:val="24"/>
          <w:szCs w:val="24"/>
          <w:lang w:eastAsia="ja-JP"/>
        </w:rPr>
        <w:t xml:space="preserve"> </w:t>
      </w:r>
      <w:r w:rsidRPr="00707782">
        <w:rPr>
          <w:rFonts w:ascii="Arial" w:hAnsi="Arial"/>
          <w:b/>
          <w:bCs/>
          <w:sz w:val="24"/>
          <w:szCs w:val="24"/>
          <w:lang w:eastAsia="ja-JP"/>
        </w:rPr>
        <w:tab/>
      </w:r>
      <w:r w:rsidRPr="00707782">
        <w:rPr>
          <w:rFonts w:ascii="Arial" w:hAnsi="Arial" w:hint="eastAsia"/>
          <w:b/>
          <w:bCs/>
          <w:sz w:val="24"/>
          <w:szCs w:val="24"/>
          <w:lang w:eastAsia="ja-JP"/>
        </w:rPr>
        <w:t>R</w:t>
      </w:r>
      <w:r w:rsidRPr="00707782">
        <w:rPr>
          <w:rFonts w:ascii="Arial" w:hAnsi="Arial"/>
          <w:b/>
          <w:bCs/>
          <w:sz w:val="24"/>
          <w:szCs w:val="24"/>
          <w:lang w:eastAsia="ja-JP"/>
        </w:rPr>
        <w:t>2</w:t>
      </w:r>
      <w:r w:rsidRPr="00707782">
        <w:rPr>
          <w:rFonts w:ascii="Arial" w:hAnsi="Arial" w:hint="eastAsia"/>
          <w:b/>
          <w:bCs/>
          <w:sz w:val="24"/>
          <w:szCs w:val="24"/>
          <w:lang w:eastAsia="ja-JP"/>
        </w:rPr>
        <w:t>-</w:t>
      </w:r>
      <w:r w:rsidR="006D47CE" w:rsidRPr="00707782">
        <w:rPr>
          <w:rFonts w:ascii="Arial" w:hAnsi="Arial"/>
          <w:b/>
          <w:bCs/>
          <w:sz w:val="24"/>
          <w:szCs w:val="24"/>
          <w:lang w:eastAsia="ja-JP"/>
        </w:rPr>
        <w:t>2</w:t>
      </w:r>
      <w:r w:rsidR="006D47CE">
        <w:rPr>
          <w:rFonts w:ascii="Arial" w:hAnsi="Arial"/>
          <w:b/>
          <w:bCs/>
          <w:sz w:val="24"/>
          <w:szCs w:val="24"/>
          <w:lang w:eastAsia="ja-JP"/>
        </w:rPr>
        <w:t>300925</w:t>
      </w:r>
    </w:p>
    <w:p w14:paraId="14F26C2F" w14:textId="6AEB9D88" w:rsidR="00707782" w:rsidRPr="00707782" w:rsidRDefault="00B65AC8" w:rsidP="00707782">
      <w:pPr>
        <w:widowControl w:val="0"/>
        <w:tabs>
          <w:tab w:val="right" w:pos="9639"/>
        </w:tabs>
        <w:overflowPunct w:val="0"/>
        <w:autoSpaceDE w:val="0"/>
        <w:autoSpaceDN w:val="0"/>
        <w:adjustRightInd w:val="0"/>
        <w:spacing w:after="0"/>
        <w:textAlignment w:val="baseline"/>
        <w:rPr>
          <w:rFonts w:ascii="Arial" w:hAnsi="Arial"/>
          <w:b/>
          <w:bCs/>
          <w:noProof/>
          <w:sz w:val="24"/>
          <w:szCs w:val="24"/>
          <w:lang w:eastAsia="zh-CN"/>
        </w:rPr>
      </w:pPr>
      <w:r>
        <w:rPr>
          <w:rFonts w:ascii="Arial" w:hAnsi="Arial"/>
          <w:b/>
          <w:bCs/>
          <w:noProof/>
          <w:sz w:val="24"/>
          <w:szCs w:val="24"/>
          <w:lang w:eastAsia="zh-CN"/>
        </w:rPr>
        <w:t>February</w:t>
      </w:r>
      <w:r w:rsidR="00707782" w:rsidRPr="00707782">
        <w:rPr>
          <w:rFonts w:ascii="Arial" w:hAnsi="Arial"/>
          <w:b/>
          <w:bCs/>
          <w:noProof/>
          <w:sz w:val="24"/>
          <w:szCs w:val="24"/>
          <w:lang w:eastAsia="zh-CN"/>
        </w:rPr>
        <w:t xml:space="preserve"> </w:t>
      </w:r>
      <w:r>
        <w:rPr>
          <w:rFonts w:ascii="Arial" w:hAnsi="Arial"/>
          <w:b/>
          <w:bCs/>
          <w:noProof/>
          <w:sz w:val="24"/>
          <w:szCs w:val="24"/>
          <w:lang w:eastAsia="zh-CN"/>
        </w:rPr>
        <w:t>27-March 3</w:t>
      </w:r>
      <w:r w:rsidR="00707782" w:rsidRPr="00707782">
        <w:rPr>
          <w:rFonts w:ascii="Arial" w:hAnsi="Arial"/>
          <w:b/>
          <w:bCs/>
          <w:noProof/>
          <w:sz w:val="24"/>
          <w:szCs w:val="24"/>
          <w:lang w:eastAsia="zh-CN"/>
        </w:rPr>
        <w:t xml:space="preserve"> </w:t>
      </w:r>
      <w:r>
        <w:rPr>
          <w:rFonts w:ascii="Arial" w:hAnsi="Arial"/>
          <w:b/>
          <w:bCs/>
          <w:noProof/>
          <w:sz w:val="24"/>
          <w:szCs w:val="24"/>
          <w:lang w:eastAsia="zh-CN"/>
        </w:rPr>
        <w:t>Athens</w:t>
      </w:r>
      <w:r w:rsidR="00707782" w:rsidRPr="00707782">
        <w:rPr>
          <w:rFonts w:ascii="Arial" w:hAnsi="Arial"/>
          <w:b/>
          <w:bCs/>
          <w:noProof/>
          <w:sz w:val="24"/>
          <w:szCs w:val="24"/>
          <w:lang w:eastAsia="zh-CN"/>
        </w:rPr>
        <w:t xml:space="preserve">, </w:t>
      </w:r>
      <w:r>
        <w:rPr>
          <w:rFonts w:ascii="Arial" w:hAnsi="Arial"/>
          <w:b/>
          <w:bCs/>
          <w:noProof/>
          <w:sz w:val="24"/>
          <w:szCs w:val="24"/>
          <w:lang w:eastAsia="zh-CN"/>
        </w:rPr>
        <w:t>Greece</w:t>
      </w:r>
      <w:r w:rsidR="00707782" w:rsidRPr="00707782">
        <w:rPr>
          <w:rFonts w:ascii="Arial" w:hAnsi="Arial"/>
          <w:b/>
          <w:bCs/>
          <w:noProof/>
          <w:sz w:val="24"/>
          <w:szCs w:val="24"/>
          <w:lang w:eastAsia="zh-CN"/>
        </w:rPr>
        <w:t xml:space="preserve">                                          </w:t>
      </w:r>
      <w:r w:rsidR="00707782" w:rsidRPr="00707782">
        <w:rPr>
          <w:rFonts w:ascii="Arial" w:hAnsi="Arial"/>
          <w:b/>
          <w:sz w:val="24"/>
          <w:szCs w:val="24"/>
          <w:lang w:eastAsia="zh-CN"/>
        </w:rPr>
        <w:tab/>
      </w:r>
    </w:p>
    <w:p w14:paraId="332D0D35"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626084B1" w14:textId="77777777" w:rsidR="00707782" w:rsidRPr="00707782" w:rsidRDefault="00707782" w:rsidP="00707782">
      <w:pPr>
        <w:widowControl w:val="0"/>
        <w:overflowPunct w:val="0"/>
        <w:autoSpaceDE w:val="0"/>
        <w:autoSpaceDN w:val="0"/>
        <w:adjustRightInd w:val="0"/>
        <w:spacing w:after="0"/>
        <w:textAlignment w:val="baseline"/>
        <w:rPr>
          <w:rFonts w:ascii="Arial" w:hAnsi="Arial"/>
          <w:b/>
          <w:bCs/>
          <w:sz w:val="24"/>
          <w:lang w:eastAsia="ja-JP"/>
        </w:rPr>
      </w:pPr>
    </w:p>
    <w:p w14:paraId="2BCF5D5C" w14:textId="3FE5A469" w:rsidR="00707782" w:rsidRPr="00707782" w:rsidRDefault="00707782" w:rsidP="00707782">
      <w:pPr>
        <w:tabs>
          <w:tab w:val="left" w:pos="1985"/>
        </w:tabs>
        <w:spacing w:after="120"/>
        <w:rPr>
          <w:rFonts w:ascii="Arial" w:eastAsia="MS Mincho" w:hAnsi="Arial" w:cs="Arial"/>
          <w:b/>
          <w:bCs/>
          <w:sz w:val="24"/>
          <w:lang w:eastAsia="ja-JP"/>
        </w:rPr>
      </w:pPr>
      <w:r w:rsidRPr="00707782">
        <w:rPr>
          <w:rFonts w:ascii="Arial" w:eastAsia="MS Mincho" w:hAnsi="Arial" w:cs="Arial"/>
          <w:b/>
          <w:bCs/>
          <w:sz w:val="24"/>
        </w:rPr>
        <w:t>Agenda item:</w:t>
      </w:r>
      <w:r w:rsidRPr="00707782">
        <w:rPr>
          <w:rFonts w:ascii="Arial" w:eastAsia="MS Mincho" w:hAnsi="Arial" w:cs="Arial"/>
          <w:b/>
          <w:bCs/>
          <w:sz w:val="24"/>
        </w:rPr>
        <w:tab/>
      </w:r>
      <w:r w:rsidR="00180439">
        <w:rPr>
          <w:rFonts w:ascii="Arial" w:eastAsia="MS Mincho" w:hAnsi="Arial" w:cs="Arial"/>
          <w:b/>
          <w:bCs/>
          <w:sz w:val="24"/>
          <w:lang w:eastAsia="ja-JP"/>
        </w:rPr>
        <w:t>8</w:t>
      </w:r>
      <w:r w:rsidR="00B65AC8">
        <w:rPr>
          <w:rFonts w:ascii="Arial" w:eastAsia="MS Mincho" w:hAnsi="Arial" w:cs="Arial"/>
          <w:b/>
          <w:bCs/>
          <w:sz w:val="24"/>
          <w:lang w:eastAsia="ja-JP"/>
        </w:rPr>
        <w:t>.</w:t>
      </w:r>
      <w:r w:rsidR="00180439">
        <w:rPr>
          <w:rFonts w:ascii="Arial" w:eastAsia="MS Mincho" w:hAnsi="Arial" w:cs="Arial"/>
          <w:b/>
          <w:bCs/>
          <w:sz w:val="24"/>
          <w:lang w:eastAsia="ja-JP"/>
        </w:rPr>
        <w:t>6</w:t>
      </w:r>
      <w:r w:rsidR="00B65AC8">
        <w:rPr>
          <w:rFonts w:ascii="Arial" w:eastAsia="MS Mincho" w:hAnsi="Arial" w:cs="Arial"/>
          <w:b/>
          <w:bCs/>
          <w:sz w:val="24"/>
          <w:lang w:eastAsia="ja-JP"/>
        </w:rPr>
        <w:t>.</w:t>
      </w:r>
      <w:r w:rsidR="00180439">
        <w:rPr>
          <w:rFonts w:ascii="Arial" w:eastAsia="MS Mincho" w:hAnsi="Arial" w:cs="Arial"/>
          <w:b/>
          <w:bCs/>
          <w:sz w:val="24"/>
          <w:lang w:eastAsia="ja-JP"/>
        </w:rPr>
        <w:t>3</w:t>
      </w:r>
    </w:p>
    <w:p w14:paraId="4D3D4AD8" w14:textId="77777777" w:rsidR="00707782" w:rsidRPr="00707782" w:rsidRDefault="00707782" w:rsidP="00707782">
      <w:pPr>
        <w:tabs>
          <w:tab w:val="left" w:pos="1985"/>
        </w:tabs>
        <w:ind w:left="1985" w:hanging="1985"/>
        <w:rPr>
          <w:rFonts w:ascii="Arial" w:hAnsi="Arial" w:cs="Arial"/>
          <w:b/>
          <w:bCs/>
          <w:sz w:val="24"/>
        </w:rPr>
      </w:pPr>
      <w:r w:rsidRPr="00707782">
        <w:rPr>
          <w:rFonts w:ascii="Arial" w:hAnsi="Arial" w:cs="Arial"/>
          <w:b/>
          <w:bCs/>
          <w:sz w:val="24"/>
        </w:rPr>
        <w:t>Source:</w:t>
      </w:r>
      <w:r w:rsidRPr="00707782">
        <w:rPr>
          <w:rFonts w:ascii="Arial" w:hAnsi="Arial" w:cs="Arial"/>
          <w:b/>
          <w:bCs/>
          <w:sz w:val="24"/>
        </w:rPr>
        <w:tab/>
        <w:t>Nokia, Nokia Shanghai Bell</w:t>
      </w:r>
    </w:p>
    <w:p w14:paraId="436D11B1" w14:textId="7CDE99A1" w:rsidR="00707782" w:rsidRPr="00707782" w:rsidRDefault="00707782" w:rsidP="00707782">
      <w:pPr>
        <w:ind w:left="1985" w:hanging="1985"/>
        <w:rPr>
          <w:rFonts w:ascii="Arial" w:hAnsi="Arial" w:cs="Arial"/>
          <w:b/>
          <w:bCs/>
          <w:sz w:val="24"/>
        </w:rPr>
      </w:pPr>
      <w:r w:rsidRPr="00707782">
        <w:rPr>
          <w:rFonts w:ascii="Arial" w:hAnsi="Arial" w:cs="Arial"/>
          <w:b/>
          <w:bCs/>
          <w:sz w:val="24"/>
        </w:rPr>
        <w:t>Title:</w:t>
      </w:r>
      <w:r w:rsidRPr="00707782">
        <w:rPr>
          <w:rFonts w:ascii="Arial" w:hAnsi="Arial" w:cs="Arial"/>
          <w:b/>
          <w:bCs/>
          <w:sz w:val="24"/>
        </w:rPr>
        <w:tab/>
      </w:r>
      <w:r w:rsidR="001F0540">
        <w:rPr>
          <w:rFonts w:ascii="Arial" w:hAnsi="Arial" w:cs="Arial"/>
          <w:b/>
          <w:bCs/>
          <w:sz w:val="24"/>
        </w:rPr>
        <w:t>Additional Aspects for RLF enhancements in NB-IoT-NTN</w:t>
      </w:r>
    </w:p>
    <w:p w14:paraId="4A4C893E" w14:textId="77777777" w:rsidR="00707782" w:rsidRPr="00707782" w:rsidRDefault="00707782" w:rsidP="00707782">
      <w:pPr>
        <w:ind w:left="1985" w:hanging="1985"/>
        <w:rPr>
          <w:rFonts w:ascii="Arial" w:hAnsi="Arial" w:cs="Arial"/>
          <w:b/>
          <w:bCs/>
          <w:sz w:val="24"/>
        </w:rPr>
      </w:pPr>
      <w:r w:rsidRPr="00707782">
        <w:rPr>
          <w:rFonts w:ascii="Arial" w:hAnsi="Arial" w:cs="Arial"/>
          <w:b/>
          <w:bCs/>
          <w:sz w:val="24"/>
        </w:rPr>
        <w:t>WID/SID:</w:t>
      </w:r>
      <w:r w:rsidRPr="00707782">
        <w:rPr>
          <w:rFonts w:ascii="Arial" w:hAnsi="Arial" w:cs="Arial"/>
          <w:b/>
          <w:bCs/>
          <w:sz w:val="24"/>
        </w:rPr>
        <w:tab/>
        <w:t>IoT_NTN_enh - Release 18</w:t>
      </w:r>
    </w:p>
    <w:p w14:paraId="7539F679" w14:textId="77777777" w:rsidR="00707782" w:rsidRPr="00707782" w:rsidRDefault="00707782" w:rsidP="00707782">
      <w:pPr>
        <w:tabs>
          <w:tab w:val="left" w:pos="1985"/>
        </w:tabs>
        <w:rPr>
          <w:rFonts w:ascii="Arial" w:hAnsi="Arial" w:cs="Arial"/>
          <w:b/>
          <w:bCs/>
          <w:sz w:val="24"/>
        </w:rPr>
      </w:pPr>
      <w:r w:rsidRPr="00707782">
        <w:rPr>
          <w:rFonts w:ascii="Arial" w:hAnsi="Arial" w:cs="Arial"/>
          <w:b/>
          <w:bCs/>
          <w:sz w:val="24"/>
        </w:rPr>
        <w:t>Document for:</w:t>
      </w:r>
      <w:r w:rsidRPr="00707782">
        <w:rPr>
          <w:rFonts w:ascii="Arial" w:hAnsi="Arial" w:cs="Arial"/>
          <w:b/>
          <w:bCs/>
          <w:sz w:val="24"/>
        </w:rPr>
        <w:tab/>
        <w:t>Discussion and Decision</w:t>
      </w:r>
    </w:p>
    <w:p w14:paraId="4BB16FD3"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1</w:t>
      </w:r>
      <w:r w:rsidRPr="00707782">
        <w:rPr>
          <w:rFonts w:ascii="Arial" w:hAnsi="Arial"/>
          <w:sz w:val="36"/>
        </w:rPr>
        <w:tab/>
        <w:t>Introduction</w:t>
      </w:r>
    </w:p>
    <w:p w14:paraId="711BD2D5" w14:textId="77777777" w:rsidR="00707782" w:rsidRPr="00707782" w:rsidRDefault="00707782" w:rsidP="00707782">
      <w:r w:rsidRPr="00707782">
        <w:t>Rel-18 WID [1]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07782" w:rsidRPr="00707782" w14:paraId="2F3794BA" w14:textId="77777777" w:rsidTr="003F6FDC">
        <w:tc>
          <w:tcPr>
            <w:tcW w:w="9631" w:type="dxa"/>
          </w:tcPr>
          <w:p w14:paraId="537425C5" w14:textId="77777777" w:rsidR="00707782" w:rsidRPr="00707782" w:rsidRDefault="00707782" w:rsidP="00707782">
            <w:pPr>
              <w:ind w:left="568" w:hanging="284"/>
            </w:pPr>
            <w:r w:rsidRPr="00707782">
              <w:t>Mobility Enhancements:</w:t>
            </w:r>
          </w:p>
          <w:p w14:paraId="29D9E217" w14:textId="77777777" w:rsidR="00707782" w:rsidRPr="00707782" w:rsidRDefault="00707782" w:rsidP="00707782">
            <w:pPr>
              <w:ind w:left="284" w:hanging="284"/>
            </w:pPr>
            <w:r w:rsidRPr="00707782">
              <w:t>-</w:t>
            </w:r>
            <w:r w:rsidRPr="00707782">
              <w:tab/>
              <w:t>Support of neighbour cell measurements and corresponding measurement triggering before RLF, using Rel-17 (TN) NB-IoT, eMTC as a baseline.</w:t>
            </w:r>
          </w:p>
          <w:p w14:paraId="26C358EF" w14:textId="77777777" w:rsidR="00707782" w:rsidRPr="00707782" w:rsidRDefault="00707782" w:rsidP="00707782">
            <w:r w:rsidRPr="00707782">
              <w:t>-</w:t>
            </w:r>
            <w:r w:rsidRPr="00707782">
              <w:tab/>
              <w:t xml:space="preserve">Re-use the solutions introduced in Rel-17 NR NTN for mobility enhancements for eMTC, with minimum necessary changes to adapt them to eMTC. </w:t>
            </w:r>
          </w:p>
        </w:tc>
      </w:tr>
    </w:tbl>
    <w:p w14:paraId="02517D7D" w14:textId="77777777" w:rsidR="00707782" w:rsidRPr="00707782" w:rsidRDefault="00707782" w:rsidP="00707782">
      <w:r w:rsidRPr="00707782">
        <w:t xml:space="preserve"> </w:t>
      </w:r>
    </w:p>
    <w:p w14:paraId="0B47D6B1" w14:textId="6DA38789" w:rsidR="00707782" w:rsidRDefault="00707782" w:rsidP="00707782">
      <w:r w:rsidRPr="00707782">
        <w:t>Following are the agreements made in RAN2-119e and RAN2-119bis-e meeting for mobility enhancements for IoT-NTN.</w:t>
      </w:r>
    </w:p>
    <w:p w14:paraId="25098A4E" w14:textId="492B1AEB" w:rsidR="00F60E9B" w:rsidRDefault="00F60E9B" w:rsidP="009D234D">
      <w:pPr>
        <w:pStyle w:val="Doc-text2"/>
        <w:pBdr>
          <w:top w:val="single" w:sz="4" w:space="1" w:color="auto"/>
          <w:left w:val="single" w:sz="4" w:space="0" w:color="auto"/>
          <w:bottom w:val="single" w:sz="4" w:space="1" w:color="auto"/>
          <w:right w:val="single" w:sz="4" w:space="4" w:color="auto"/>
        </w:pBdr>
      </w:pPr>
      <w:r>
        <w:t>RAN2-120</w:t>
      </w:r>
    </w:p>
    <w:p w14:paraId="15B48550" w14:textId="1E62BCD9" w:rsidR="00F60E9B" w:rsidRPr="00F60E9B" w:rsidRDefault="00F60E9B" w:rsidP="009D234D">
      <w:pPr>
        <w:pStyle w:val="Doc-text2"/>
        <w:pBdr>
          <w:top w:val="single" w:sz="4" w:space="1" w:color="auto"/>
          <w:left w:val="single" w:sz="4" w:space="0" w:color="auto"/>
          <w:bottom w:val="single" w:sz="4" w:space="1" w:color="auto"/>
          <w:right w:val="single" w:sz="4" w:space="4" w:color="auto"/>
        </w:pBdr>
        <w:rPr>
          <w:b/>
          <w:bCs/>
        </w:rPr>
      </w:pPr>
      <w:r w:rsidRPr="00F60E9B">
        <w:rPr>
          <w:b/>
          <w:bCs/>
        </w:rPr>
        <w:t>NB-IoT</w:t>
      </w:r>
    </w:p>
    <w:p w14:paraId="7A0BA248" w14:textId="1CEB9ED4"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EC21930" w14:textId="77777777" w:rsidR="00F60E9B" w:rsidRDefault="00F60E9B" w:rsidP="009D234D">
      <w:pPr>
        <w:pStyle w:val="Doc-comment"/>
        <w:numPr>
          <w:ilvl w:val="0"/>
          <w:numId w:val="6"/>
        </w:numPr>
        <w:pBdr>
          <w:top w:val="single" w:sz="4" w:space="1" w:color="auto"/>
          <w:left w:val="single" w:sz="4" w:space="0"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174D1796" w14:textId="77777777"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pPr>
      <w:r>
        <w:t>RAN2 will not specify the condition of stopping UE measurement before t-Service</w:t>
      </w:r>
    </w:p>
    <w:p w14:paraId="038EA478" w14:textId="77777777"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pPr>
      <w:r>
        <w:t>For earth-moving cell, the UE derives when loss of coverage of current cell happens (how to derive this information is FFS)</w:t>
      </w:r>
    </w:p>
    <w:p w14:paraId="1248544E" w14:textId="6B6EB6DA"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1169C98D" w14:textId="0E86E4E4" w:rsidR="00F60E9B" w:rsidRDefault="00F60E9B" w:rsidP="009D234D">
      <w:pPr>
        <w:pStyle w:val="Doc-text2"/>
        <w:pBdr>
          <w:top w:val="single" w:sz="4" w:space="1" w:color="auto"/>
          <w:left w:val="single" w:sz="4" w:space="0" w:color="auto"/>
          <w:bottom w:val="single" w:sz="4" w:space="1" w:color="auto"/>
          <w:right w:val="single" w:sz="4" w:space="4" w:color="auto"/>
        </w:pBdr>
        <w:ind w:left="1259" w:firstLine="0"/>
      </w:pPr>
    </w:p>
    <w:p w14:paraId="6807C3E9" w14:textId="7AD49A29" w:rsidR="00F60E9B" w:rsidRPr="00F60E9B" w:rsidRDefault="00F60E9B" w:rsidP="009D234D">
      <w:pPr>
        <w:pStyle w:val="Doc-text2"/>
        <w:pBdr>
          <w:top w:val="single" w:sz="4" w:space="1" w:color="auto"/>
          <w:left w:val="single" w:sz="4" w:space="0" w:color="auto"/>
          <w:bottom w:val="single" w:sz="4" w:space="1" w:color="auto"/>
          <w:right w:val="single" w:sz="4" w:space="4" w:color="auto"/>
        </w:pBdr>
        <w:ind w:left="1259" w:firstLine="0"/>
        <w:rPr>
          <w:b/>
          <w:bCs/>
        </w:rPr>
      </w:pPr>
      <w:r w:rsidRPr="00F60E9B">
        <w:rPr>
          <w:b/>
          <w:bCs/>
        </w:rPr>
        <w:t>eMTC</w:t>
      </w:r>
    </w:p>
    <w:p w14:paraId="46B76C13" w14:textId="77777777"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rPr>
          <w:lang w:eastAsia="zh-CN"/>
        </w:rPr>
      </w:pPr>
      <w:r w:rsidRPr="00DD777A">
        <w:rPr>
          <w:lang w:eastAsia="zh-C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05B9E95A" w14:textId="77777777"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pPr>
      <w:r>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4839CA02" w14:textId="77777777"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pPr>
      <w:r>
        <w:t>For eMTC NTN, introduce event A4 based conditional trigger (similar to condEventA4 in NR).</w:t>
      </w:r>
    </w:p>
    <w:p w14:paraId="1638DEA5" w14:textId="35287073" w:rsidR="00F60E9B" w:rsidRDefault="00F60E9B" w:rsidP="009D234D">
      <w:pPr>
        <w:pStyle w:val="Doc-text2"/>
        <w:numPr>
          <w:ilvl w:val="0"/>
          <w:numId w:val="6"/>
        </w:numPr>
        <w:pBdr>
          <w:top w:val="single" w:sz="4" w:space="1" w:color="auto"/>
          <w:left w:val="single" w:sz="4" w:space="0"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35937D78" w14:textId="2B5D9D18" w:rsidR="00B65AC8" w:rsidRPr="00707782" w:rsidRDefault="00B65AC8" w:rsidP="00707782"/>
    <w:p w14:paraId="5E03F335" w14:textId="77777777" w:rsidR="00707782" w:rsidRPr="00707782" w:rsidRDefault="00707782" w:rsidP="00707782"/>
    <w:p w14:paraId="58961DD9" w14:textId="77777777" w:rsidR="00707782" w:rsidRPr="00707782" w:rsidRDefault="00707782" w:rsidP="007077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782">
        <w:rPr>
          <w:rFonts w:ascii="Arial" w:eastAsia="MS Mincho" w:hAnsi="Arial"/>
          <w:szCs w:val="24"/>
          <w:lang w:eastAsia="en-GB"/>
        </w:rPr>
        <w:t>RAN2-119bis</w:t>
      </w:r>
    </w:p>
    <w:p w14:paraId="1203E414" w14:textId="77777777" w:rsidR="00707782" w:rsidRPr="00707782" w:rsidRDefault="00707782" w:rsidP="00707782">
      <w:pPr>
        <w:numPr>
          <w:ilvl w:val="0"/>
          <w:numId w:val="3"/>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For eMTC over NTN, for both earth-moving and earth-fixed cell scenarios, we introduce location based CHO triggering events</w:t>
      </w:r>
    </w:p>
    <w:p w14:paraId="3A51895D" w14:textId="77777777" w:rsidR="00707782" w:rsidRPr="00707782" w:rsidRDefault="00707782" w:rsidP="00707782">
      <w:pPr>
        <w:tabs>
          <w:tab w:val="left" w:pos="1622"/>
        </w:tabs>
        <w:spacing w:after="0"/>
        <w:ind w:left="1622" w:hanging="363"/>
        <w:rPr>
          <w:rFonts w:ascii="Arial" w:eastAsia="MS Mincho" w:hAnsi="Arial"/>
          <w:szCs w:val="24"/>
          <w:lang w:eastAsia="en-GB"/>
        </w:rPr>
      </w:pPr>
    </w:p>
    <w:p w14:paraId="650F942B" w14:textId="77777777" w:rsidR="00707782" w:rsidRPr="00707782" w:rsidRDefault="00707782" w:rsidP="00707782"/>
    <w:p w14:paraId="21B4183B" w14:textId="77777777" w:rsidR="00707782" w:rsidRPr="00707782" w:rsidRDefault="00707782" w:rsidP="007077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707782">
        <w:rPr>
          <w:rFonts w:ascii="Arial" w:eastAsia="MS Mincho" w:hAnsi="Arial"/>
          <w:szCs w:val="24"/>
          <w:lang w:eastAsia="en-GB"/>
        </w:rPr>
        <w:t>RAN2-119</w:t>
      </w:r>
    </w:p>
    <w:p w14:paraId="15124469"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IoT NTN can use the mechanism for neighbour cell measurements in connected mode (specified in Rel-17 for NB-IoT). FFS if any enhancements are needed (e.g. triggers) for both NB-IoT and eMTC.</w:t>
      </w:r>
    </w:p>
    <w:p w14:paraId="78D733BA"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72E860A0"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CHO enhancements for eMTC NTN (i.e. time/timer based solution) are introduced based on the R17 NR NTN solution. FFS on location-based solution</w:t>
      </w:r>
    </w:p>
    <w:p w14:paraId="57CFD648" w14:textId="77777777" w:rsidR="00707782" w:rsidRPr="00707782" w:rsidRDefault="00707782" w:rsidP="00707782">
      <w:pPr>
        <w:numPr>
          <w:ilvl w:val="0"/>
          <w:numId w:val="2"/>
        </w:numPr>
        <w:pBdr>
          <w:top w:val="single" w:sz="4" w:space="1" w:color="auto"/>
          <w:left w:val="single" w:sz="4" w:space="4" w:color="auto"/>
          <w:bottom w:val="single" w:sz="4" w:space="1" w:color="auto"/>
          <w:right w:val="single" w:sz="4" w:space="4" w:color="auto"/>
        </w:pBdr>
        <w:tabs>
          <w:tab w:val="left" w:pos="1622"/>
        </w:tabs>
        <w:spacing w:after="0"/>
        <w:rPr>
          <w:rFonts w:ascii="Arial" w:eastAsia="MS Mincho" w:hAnsi="Arial"/>
          <w:szCs w:val="24"/>
          <w:lang w:eastAsia="en-GB"/>
        </w:rPr>
      </w:pPr>
      <w:r w:rsidRPr="00707782">
        <w:rPr>
          <w:rFonts w:ascii="Arial" w:eastAsia="MS Mincho" w:hAnsi="Arial"/>
          <w:szCs w:val="24"/>
          <w:lang w:eastAsia="en-GB"/>
        </w:rPr>
        <w:t>Measurement results reporting is not supported in Rel-18 NB-IoT NTN.</w:t>
      </w:r>
    </w:p>
    <w:p w14:paraId="5B5C613F" w14:textId="77777777" w:rsidR="00707782" w:rsidRPr="00707782" w:rsidRDefault="00707782" w:rsidP="00707782"/>
    <w:bookmarkEnd w:id="0"/>
    <w:p w14:paraId="0F379E2F" w14:textId="77777777" w:rsidR="00707782" w:rsidRPr="00707782" w:rsidRDefault="00707782" w:rsidP="00707782"/>
    <w:p w14:paraId="63BC3B8E" w14:textId="1D1ED648" w:rsidR="00707782" w:rsidRDefault="00707782" w:rsidP="00707782">
      <w:pPr>
        <w:keepNext/>
        <w:keepLines/>
        <w:pBdr>
          <w:top w:val="single" w:sz="12" w:space="3" w:color="auto"/>
        </w:pBdr>
        <w:spacing w:before="240"/>
        <w:ind w:left="1134" w:hanging="1134"/>
        <w:outlineLvl w:val="0"/>
        <w:rPr>
          <w:rFonts w:ascii="Arial" w:eastAsia="Times New Roman" w:hAnsi="Arial"/>
          <w:sz w:val="36"/>
        </w:rPr>
      </w:pPr>
      <w:r w:rsidRPr="00707782">
        <w:rPr>
          <w:rFonts w:ascii="Arial" w:hAnsi="Arial"/>
          <w:sz w:val="36"/>
        </w:rPr>
        <w:t>2</w:t>
      </w:r>
      <w:r w:rsidR="00F60E9B">
        <w:rPr>
          <w:rFonts w:ascii="Arial" w:hAnsi="Arial"/>
          <w:sz w:val="36"/>
        </w:rPr>
        <w:t xml:space="preserve">  </w:t>
      </w:r>
      <w:r w:rsidRPr="00707782">
        <w:rPr>
          <w:rFonts w:ascii="Arial" w:eastAsia="Times New Roman" w:hAnsi="Arial"/>
          <w:sz w:val="36"/>
        </w:rPr>
        <w:t>Discussion</w:t>
      </w:r>
    </w:p>
    <w:p w14:paraId="3535FBBA" w14:textId="5AB49F97" w:rsidR="00F60E9B" w:rsidRDefault="00F60E9B" w:rsidP="00F60E9B">
      <w:pPr>
        <w:pStyle w:val="Heading2"/>
      </w:pPr>
      <w:r>
        <w:t>2.1 Connected mode measurements for IoT-NTN</w:t>
      </w:r>
    </w:p>
    <w:p w14:paraId="5E5B5931" w14:textId="72943958" w:rsidR="00F60E9B" w:rsidRDefault="00F60E9B" w:rsidP="006D47CE">
      <w:pPr>
        <w:jc w:val="both"/>
      </w:pPr>
      <w:r>
        <w:t xml:space="preserve">For NB-IoT-NTN, </w:t>
      </w:r>
      <w:r w:rsidR="000F78C2">
        <w:t>a distance-based</w:t>
      </w:r>
      <w:r>
        <w:t xml:space="preserve"> trigger </w:t>
      </w:r>
      <w:r w:rsidR="00C37E5E">
        <w:t>for</w:t>
      </w:r>
      <w:r>
        <w:t xml:space="preserve"> connected mode measurements is beneficial </w:t>
      </w:r>
      <w:r w:rsidR="00C37E5E">
        <w:t xml:space="preserve">as </w:t>
      </w:r>
      <w:r>
        <w:t xml:space="preserve">compared to serving cell signal </w:t>
      </w:r>
      <w:r w:rsidR="000F78C2">
        <w:t>strength-based</w:t>
      </w:r>
      <w:r>
        <w:t xml:space="preserve"> threshold for </w:t>
      </w:r>
      <w:r w:rsidR="00C37E5E">
        <w:t>Earth-moving cells (</w:t>
      </w:r>
      <w:r w:rsidR="000F78C2">
        <w:t>EMC</w:t>
      </w:r>
      <w:r w:rsidR="00C37E5E">
        <w:t>)</w:t>
      </w:r>
      <w:r w:rsidR="000F78C2">
        <w:t xml:space="preserve"> scenarios</w:t>
      </w:r>
      <w:r>
        <w:t xml:space="preserve">. The </w:t>
      </w:r>
      <w:r w:rsidR="000F78C2">
        <w:t>distance-based</w:t>
      </w:r>
      <w:r>
        <w:t xml:space="preserve"> trigger is also applicable for IoT device</w:t>
      </w:r>
      <w:r w:rsidR="007F480F">
        <w:t>s</w:t>
      </w:r>
      <w:r>
        <w:t xml:space="preserve"> deployed in mobility scenarios. For these cases</w:t>
      </w:r>
      <w:r w:rsidR="000F78C2">
        <w:t>,</w:t>
      </w:r>
      <w:r>
        <w:t xml:space="preserve"> the UE may need to acquire the latest GNSS fix to deduce the current location</w:t>
      </w:r>
      <w:r w:rsidR="002514FB">
        <w:t>, and</w:t>
      </w:r>
      <w:r>
        <w:t xml:space="preserve"> estimate the </w:t>
      </w:r>
      <w:r w:rsidR="000F78C2">
        <w:t>distance</w:t>
      </w:r>
      <w:r w:rsidR="002514FB">
        <w:t xml:space="preserve"> to the </w:t>
      </w:r>
      <w:r w:rsidR="008539BD">
        <w:t>cells reference location</w:t>
      </w:r>
      <w:r>
        <w:t xml:space="preserve">. As the GNSS validity duration is longer than </w:t>
      </w:r>
      <w:r w:rsidR="000F78C2">
        <w:t xml:space="preserve">the </w:t>
      </w:r>
      <w:r>
        <w:t xml:space="preserve">connected mode duration in many cases this is not an issue and UE can make use the GNSS fix obtained </w:t>
      </w:r>
      <w:r w:rsidR="000F78C2">
        <w:t>for uplink synchronization for location estimation. Moreover, RAN1 has agreed for an aperiodic gap for GNSS fix acquisition during connected mode for NB-IoT-NTN. Based on the above, it is feasible to support location-based trigger for connected mode measurements that can improve the UE power efficiency for regular serving cell radio condition check in an EMC scenario.</w:t>
      </w:r>
    </w:p>
    <w:p w14:paraId="4607ABD8" w14:textId="56059670" w:rsidR="000F78C2" w:rsidRPr="00333B42" w:rsidRDefault="000F78C2" w:rsidP="006D47CE">
      <w:pPr>
        <w:jc w:val="both"/>
        <w:rPr>
          <w:b/>
          <w:bCs/>
        </w:rPr>
      </w:pPr>
      <w:r w:rsidRPr="00333B42">
        <w:rPr>
          <w:b/>
          <w:bCs/>
        </w:rPr>
        <w:t xml:space="preserve">Proposal </w:t>
      </w:r>
      <w:r>
        <w:rPr>
          <w:b/>
          <w:bCs/>
        </w:rPr>
        <w:t>1</w:t>
      </w:r>
      <w:r w:rsidRPr="00333B42">
        <w:rPr>
          <w:b/>
          <w:bCs/>
        </w:rPr>
        <w:t xml:space="preserve">: </w:t>
      </w:r>
      <w:r>
        <w:rPr>
          <w:b/>
          <w:bCs/>
        </w:rPr>
        <w:t>Distance-based</w:t>
      </w:r>
      <w:r w:rsidRPr="00333B42">
        <w:rPr>
          <w:b/>
          <w:bCs/>
        </w:rPr>
        <w:t xml:space="preserve"> triggering condition to start connected mode measurements is supported for IoT-NTN</w:t>
      </w:r>
      <w:r w:rsidR="001C41A3">
        <w:rPr>
          <w:b/>
          <w:bCs/>
        </w:rPr>
        <w:t>.</w:t>
      </w:r>
    </w:p>
    <w:p w14:paraId="18625762" w14:textId="3F7AB9C5" w:rsidR="000F78C2" w:rsidRPr="008531AE" w:rsidRDefault="000F78C2" w:rsidP="006D47CE">
      <w:pPr>
        <w:jc w:val="both"/>
      </w:pPr>
      <w:r>
        <w:t>If a distance-based trigger for connected mode measurements is not supported by UE, the UE may need to continue with the radio-condition-based threshold for starting connected mode measurements for NB-IoT-NTN as specified in Rel-17.  For NTN deployment scenario with the moving cell scenario (</w:t>
      </w:r>
      <w:r w:rsidR="00B13DE1">
        <w:t>e.g.,</w:t>
      </w:r>
      <w:r w:rsidR="0001331C">
        <w:t xml:space="preserve"> </w:t>
      </w:r>
      <w:r w:rsidR="00407583">
        <w:t>EMC</w:t>
      </w:r>
      <w:r>
        <w:t>), the relaxed monitoring of the serving cell defined for the terrestrial system will not be efficient. Because the serving cell strength changes continuously due to the moving cell situation</w:t>
      </w:r>
      <w:r w:rsidR="00C35089">
        <w:t>,</w:t>
      </w:r>
      <w:r>
        <w:t xml:space="preserve"> the relaxed monitoring may not even start in idle mode. The same problem will be applicable also in connected mode serving cell measurements. So the relaxed serving cell measurements used prior to starting connected mode measurements needs to be revisited for the LEO scenario. For example, serving cell measurements can be relaxed based on timer value which determines the UE mobility towards the target cell in a deterministic way can be one option.</w:t>
      </w:r>
    </w:p>
    <w:p w14:paraId="0FBF06FF" w14:textId="62359288" w:rsidR="000F78C2" w:rsidRDefault="000F78C2" w:rsidP="006D47CE">
      <w:pPr>
        <w:jc w:val="both"/>
        <w:rPr>
          <w:b/>
          <w:bCs/>
        </w:rPr>
      </w:pPr>
      <w:r>
        <w:rPr>
          <w:b/>
          <w:bCs/>
        </w:rPr>
        <w:t>Proposal 2</w:t>
      </w:r>
      <w:r w:rsidRPr="0009178E">
        <w:rPr>
          <w:b/>
          <w:bCs/>
        </w:rPr>
        <w:t xml:space="preserve">: </w:t>
      </w:r>
      <w:r>
        <w:rPr>
          <w:b/>
          <w:bCs/>
        </w:rPr>
        <w:t xml:space="preserve">For the LEO scenario, RAN2 to consider changes to relaxed serving cell measurements based on distance or time replacing serving cell </w:t>
      </w:r>
      <w:r w:rsidR="00FE1EA2">
        <w:rPr>
          <w:b/>
          <w:bCs/>
        </w:rPr>
        <w:t xml:space="preserve">signal strength </w:t>
      </w:r>
      <w:r>
        <w:rPr>
          <w:b/>
          <w:bCs/>
        </w:rPr>
        <w:t>variation-based relaxation as in Rel-17.</w:t>
      </w:r>
    </w:p>
    <w:p w14:paraId="62224B07" w14:textId="7C6E8C8F" w:rsidR="00A64DC2" w:rsidRDefault="00A64DC2" w:rsidP="006D47CE">
      <w:pPr>
        <w:jc w:val="both"/>
      </w:pPr>
      <w:r>
        <w:t xml:space="preserve">For moving cell scenarios when radio link problem is detected at the source cell, the chances for recovering back on the source cell is minimum considering the predictable coverage change. </w:t>
      </w:r>
      <w:r w:rsidR="00984315">
        <w:t>T</w:t>
      </w:r>
      <w:r>
        <w:t xml:space="preserve">he current UE </w:t>
      </w:r>
      <w:r w:rsidR="00984315">
        <w:t>behaviour</w:t>
      </w:r>
      <w:r>
        <w:t xml:space="preserve"> related to restarting the timer based on serving cell measurements can be enhanced considering the availability of target cell measurements. If connected mode measurements for the target cells are available at the time of start of T310 timer UE should be allowed to skip further monitoring for recovery and declare early RLF to start the re-establishment procedure earlier. </w:t>
      </w:r>
    </w:p>
    <w:p w14:paraId="58A53950" w14:textId="6BACDC73" w:rsidR="00A64DC2" w:rsidRDefault="00A64DC2" w:rsidP="006D47CE">
      <w:pPr>
        <w:jc w:val="both"/>
        <w:rPr>
          <w:b/>
          <w:bCs/>
        </w:rPr>
      </w:pPr>
      <w:r w:rsidRPr="00707782">
        <w:rPr>
          <w:b/>
          <w:bCs/>
        </w:rPr>
        <w:t xml:space="preserve">Proposal </w:t>
      </w:r>
      <w:r>
        <w:rPr>
          <w:b/>
          <w:bCs/>
        </w:rPr>
        <w:t>3</w:t>
      </w:r>
      <w:r w:rsidRPr="00707782">
        <w:rPr>
          <w:b/>
          <w:bCs/>
        </w:rPr>
        <w:t xml:space="preserve">: </w:t>
      </w:r>
      <w:r>
        <w:rPr>
          <w:b/>
          <w:bCs/>
        </w:rPr>
        <w:t>Fast RLF declaration based on measurement availability is considered for LEO scenario for NB-IoT NTN</w:t>
      </w:r>
      <w:r w:rsidRPr="00707782">
        <w:rPr>
          <w:b/>
          <w:bCs/>
        </w:rPr>
        <w:t>.</w:t>
      </w:r>
    </w:p>
    <w:p w14:paraId="619209DB" w14:textId="176DADDA" w:rsidR="00A64DC2" w:rsidRPr="00A64DC2" w:rsidRDefault="00A64DC2" w:rsidP="006D47CE">
      <w:pPr>
        <w:jc w:val="both"/>
      </w:pPr>
      <w:r>
        <w:t xml:space="preserve">For EFC (Quasi Earth Fixed Cell) scenario, the NB-IoT-NTN UE is aware of the serving stop time based on </w:t>
      </w:r>
      <w:r w:rsidR="009028ED">
        <w:t>t</w:t>
      </w:r>
      <w:r>
        <w:t>-</w:t>
      </w:r>
      <w:r w:rsidR="009028ED">
        <w:t>S</w:t>
      </w:r>
      <w:r>
        <w:t>ervice parameter. In such case</w:t>
      </w:r>
      <w:r w:rsidR="00E84A59">
        <w:t>,</w:t>
      </w:r>
      <w:r>
        <w:t xml:space="preserve"> the UE can declare RLF based on this parameter value and availability of valid target cell </w:t>
      </w:r>
      <w:r>
        <w:lastRenderedPageBreak/>
        <w:t xml:space="preserve">measurements if started already. The UE </w:t>
      </w:r>
      <w:r w:rsidR="00035765">
        <w:t xml:space="preserve">does not </w:t>
      </w:r>
      <w:r>
        <w:t xml:space="preserve">need wait for the T310 Timer expiry and the </w:t>
      </w:r>
      <w:r w:rsidR="00035765">
        <w:t>in</w:t>
      </w:r>
      <w:r>
        <w:t xml:space="preserve">-sync and out-of-sync serving cell measurement-based restart of T310 timer as this timer will lead to </w:t>
      </w:r>
      <w:r w:rsidR="00E84A59">
        <w:t xml:space="preserve">a </w:t>
      </w:r>
      <w:r>
        <w:t>delay in declaring the RLF. In the terrestrial case</w:t>
      </w:r>
      <w:r w:rsidR="00E84A59">
        <w:t>,</w:t>
      </w:r>
      <w:r>
        <w:t xml:space="preserve"> this timer was introduced to allow the UE to recover from the temporary loss of serving cell in cell-edge scenario</w:t>
      </w:r>
      <w:r w:rsidR="00D0510B">
        <w:t>s</w:t>
      </w:r>
      <w:r>
        <w:t xml:space="preserve"> </w:t>
      </w:r>
      <w:r w:rsidR="00D0510B">
        <w:t xml:space="preserve">but it </w:t>
      </w:r>
      <w:r>
        <w:t>is not applicable for the service time-based coverage of the serving base station in NTN. Hence</w:t>
      </w:r>
      <w:r w:rsidR="002960AA">
        <w:t>,</w:t>
      </w:r>
      <w:r>
        <w:t xml:space="preserve"> we propose that RLF declaration at the </w:t>
      </w:r>
      <w:r w:rsidR="002960AA">
        <w:t>time-of-service</w:t>
      </w:r>
      <w:r>
        <w:t xml:space="preserve"> stop is supported for EFC.</w:t>
      </w:r>
    </w:p>
    <w:p w14:paraId="09C306FC" w14:textId="26C7BA88" w:rsidR="00A64DC2" w:rsidRDefault="00A64DC2" w:rsidP="006D47CE">
      <w:pPr>
        <w:jc w:val="both"/>
        <w:rPr>
          <w:b/>
          <w:bCs/>
        </w:rPr>
      </w:pPr>
      <w:r w:rsidRPr="00707782">
        <w:rPr>
          <w:b/>
          <w:bCs/>
        </w:rPr>
        <w:t xml:space="preserve">Proposal </w:t>
      </w:r>
      <w:r>
        <w:rPr>
          <w:b/>
          <w:bCs/>
        </w:rPr>
        <w:t>4</w:t>
      </w:r>
      <w:r w:rsidRPr="00707782">
        <w:rPr>
          <w:b/>
          <w:bCs/>
        </w:rPr>
        <w:t xml:space="preserve">: </w:t>
      </w:r>
      <w:r>
        <w:rPr>
          <w:b/>
          <w:bCs/>
        </w:rPr>
        <w:t xml:space="preserve">RLF </w:t>
      </w:r>
      <w:r w:rsidR="002960AA">
        <w:rPr>
          <w:b/>
          <w:bCs/>
        </w:rPr>
        <w:t>d</w:t>
      </w:r>
      <w:r>
        <w:rPr>
          <w:b/>
          <w:bCs/>
        </w:rPr>
        <w:t xml:space="preserve">eclaration and </w:t>
      </w:r>
      <w:r w:rsidR="00E84A59">
        <w:rPr>
          <w:b/>
          <w:bCs/>
        </w:rPr>
        <w:t xml:space="preserve">the </w:t>
      </w:r>
      <w:r>
        <w:rPr>
          <w:b/>
          <w:bCs/>
        </w:rPr>
        <w:t xml:space="preserve">start of </w:t>
      </w:r>
      <w:r w:rsidR="005E3E4E">
        <w:rPr>
          <w:b/>
          <w:bCs/>
        </w:rPr>
        <w:t>r</w:t>
      </w:r>
      <w:r>
        <w:rPr>
          <w:b/>
          <w:bCs/>
        </w:rPr>
        <w:t xml:space="preserve">e-establishment </w:t>
      </w:r>
      <w:r w:rsidR="00E84A59">
        <w:rPr>
          <w:b/>
          <w:bCs/>
        </w:rPr>
        <w:t>is linked to service time in EFC for NB-IoT-NTN.</w:t>
      </w:r>
    </w:p>
    <w:p w14:paraId="22606680" w14:textId="30BDC188" w:rsidR="000F78C2" w:rsidRDefault="00EE267E" w:rsidP="006D47CE">
      <w:pPr>
        <w:jc w:val="both"/>
      </w:pPr>
      <w:r>
        <w:t>The connected mode measurements improve one of the time components of re-establishment time related to acquiring the downlink synchronization of the best cell after cell selection measurement. The major component of re-establishment time is the acquisition of required target cell system information to start uplink RACH access. In the case of NTN, the UE should also acquire SIB31 of the target cell prior to RACH access. This will increase the time for re-establishment considerably higher for the NTN scenario.</w:t>
      </w:r>
    </w:p>
    <w:p w14:paraId="4339526D" w14:textId="574BAB27" w:rsidR="00EE267E" w:rsidRDefault="00EE267E" w:rsidP="006D47CE">
      <w:pPr>
        <w:jc w:val="both"/>
      </w:pPr>
      <w:r w:rsidRPr="0009178E">
        <w:rPr>
          <w:b/>
          <w:bCs/>
        </w:rPr>
        <w:t xml:space="preserve">Observation </w:t>
      </w:r>
      <w:r>
        <w:rPr>
          <w:b/>
          <w:bCs/>
        </w:rPr>
        <w:t>1</w:t>
      </w:r>
      <w:r w:rsidRPr="0009178E">
        <w:rPr>
          <w:b/>
          <w:bCs/>
        </w:rPr>
        <w:t xml:space="preserve">: </w:t>
      </w:r>
      <w:r w:rsidRPr="00733752">
        <w:t xml:space="preserve">The time taken to acquire target cell system information before RACH access for re-establishment is higher than </w:t>
      </w:r>
      <w:r>
        <w:t xml:space="preserve">the </w:t>
      </w:r>
      <w:r w:rsidRPr="00733752">
        <w:t xml:space="preserve">terrestrial NB-IOT scenario </w:t>
      </w:r>
      <w:r>
        <w:t>as the mandatory SIBs for uplink access for NTN include one additional system information block SIB3</w:t>
      </w:r>
      <w:r w:rsidR="00103966">
        <w:t>1</w:t>
      </w:r>
      <w:r>
        <w:t>.</w:t>
      </w:r>
    </w:p>
    <w:p w14:paraId="4FF9F503" w14:textId="2B5451E6" w:rsidR="00EE267E" w:rsidRDefault="00EE267E" w:rsidP="006D47CE">
      <w:pPr>
        <w:jc w:val="both"/>
      </w:pPr>
      <w:r>
        <w:t xml:space="preserve">For earth-moving cell scenarios and quasi-earth-fixed cases, the serving NTN cell knows the potential target cells for mobility. The number of neighbor cells for NTN mobility is limited compared to the neighbor cells for the terrestrial scenario. Indication of system information (SIB31) via dedicated RRC message is already supported in Rel-17 to avoid UE switching out for SIB acquisition. This functionality can be further extended in Rel-18 </w:t>
      </w:r>
      <w:r w:rsidR="002E6C53">
        <w:t xml:space="preserve">to indicate SIB32 and selected system information related to RACH access of potential target cells (up to 2) at an appropriate time prior to RLF declaration from the serving cell.  As the serving cell can estimate the time of switching based on </w:t>
      </w:r>
      <w:r w:rsidR="009028ED">
        <w:t>t</w:t>
      </w:r>
      <w:r w:rsidR="002E6C53">
        <w:t>-</w:t>
      </w:r>
      <w:r w:rsidR="009028ED">
        <w:t>S</w:t>
      </w:r>
      <w:r w:rsidR="002E6C53">
        <w:t xml:space="preserve">ervice, it can configure this system information prior to this time to enable faster switching for the EFC scenario. For the EMC case also, it is possible to estimate the arrival of new cells at least for stationary UE based on ephemeris information. </w:t>
      </w:r>
    </w:p>
    <w:p w14:paraId="2C2264EE" w14:textId="052AAD19" w:rsidR="002E6C53" w:rsidRDefault="002E6C53" w:rsidP="006D47CE">
      <w:pPr>
        <w:jc w:val="both"/>
        <w:rPr>
          <w:b/>
          <w:bCs/>
        </w:rPr>
      </w:pPr>
      <w:r w:rsidRPr="00707782">
        <w:rPr>
          <w:b/>
          <w:bCs/>
        </w:rPr>
        <w:t xml:space="preserve">Proposal </w:t>
      </w:r>
      <w:r>
        <w:rPr>
          <w:b/>
          <w:bCs/>
        </w:rPr>
        <w:t>5</w:t>
      </w:r>
      <w:r w:rsidRPr="00707782">
        <w:rPr>
          <w:b/>
          <w:bCs/>
        </w:rPr>
        <w:t>:</w:t>
      </w:r>
      <w:r>
        <w:rPr>
          <w:b/>
          <w:bCs/>
        </w:rPr>
        <w:t xml:space="preserve"> RAN2 to consider an extension of SIB32 inclusion in RRC message for potential target cells for RLF enhancements in NB-IoT NTN.  FFS inclusion selected system information related to uplink access in the message.</w:t>
      </w:r>
    </w:p>
    <w:p w14:paraId="0EBEFF25" w14:textId="698D365E" w:rsidR="002E6C53" w:rsidRDefault="00C43A1C" w:rsidP="00F60E9B">
      <w:pPr>
        <w:rPr>
          <w:lang w:val="en-IN"/>
        </w:rPr>
      </w:pPr>
      <w:r>
        <w:rPr>
          <w:lang w:val="en-IN"/>
        </w:rPr>
        <w:t xml:space="preserve">In RAN2#120 </w:t>
      </w:r>
      <w:r w:rsidR="00DB222E">
        <w:rPr>
          <w:lang w:val="en-IN"/>
        </w:rPr>
        <w:t>meeting, the following was agreed:</w:t>
      </w:r>
    </w:p>
    <w:tbl>
      <w:tblPr>
        <w:tblStyle w:val="TableGrid"/>
        <w:tblW w:w="0" w:type="auto"/>
        <w:tblLook w:val="04A0" w:firstRow="1" w:lastRow="0" w:firstColumn="1" w:lastColumn="0" w:noHBand="0" w:noVBand="1"/>
      </w:tblPr>
      <w:tblGrid>
        <w:gridCol w:w="9631"/>
      </w:tblGrid>
      <w:tr w:rsidR="00DB222E" w14:paraId="4FF4DBEF" w14:textId="77777777" w:rsidTr="00DB222E">
        <w:tc>
          <w:tcPr>
            <w:tcW w:w="9631" w:type="dxa"/>
          </w:tcPr>
          <w:p w14:paraId="3C661421" w14:textId="247C4C5D" w:rsidR="00E33531" w:rsidRPr="00E33531" w:rsidRDefault="00E33531" w:rsidP="00E33531">
            <w:pPr>
              <w:rPr>
                <w:lang w:val="en-IN"/>
              </w:rPr>
            </w:pPr>
            <w:r w:rsidRPr="00E33531">
              <w:rPr>
                <w:lang w:val="en-IN"/>
              </w:rPr>
              <w:t>4.</w:t>
            </w:r>
            <w:r w:rsidRPr="00E33531">
              <w:rPr>
                <w:lang w:val="en-IN"/>
              </w:rPr>
              <w:tab/>
              <w:t>For earth-moving cell, the UE derives when loss of coverage of current cell happens (how to derive this information is FFS)</w:t>
            </w:r>
            <w:r>
              <w:rPr>
                <w:lang w:val="en-IN"/>
              </w:rPr>
              <w:t>.</w:t>
            </w:r>
          </w:p>
          <w:p w14:paraId="0995B95D" w14:textId="4664CF94" w:rsidR="00DB222E" w:rsidRDefault="00E33531" w:rsidP="00E33531">
            <w:pPr>
              <w:rPr>
                <w:lang w:val="en-IN"/>
              </w:rPr>
            </w:pPr>
            <w:r w:rsidRPr="00E33531">
              <w:rPr>
                <w:lang w:val="en-IN"/>
              </w:rPr>
              <w:t>5.</w:t>
            </w:r>
            <w:r w:rsidRPr="00E33531">
              <w:rPr>
                <w:lang w:val="en-IN"/>
              </w:rPr>
              <w:tab/>
              <w:t>For earth-moving cell, UE shall start intra/inter frequency measurements in RRC connected mode before losing coverage. The exact time to start measurements can be left to UE implementation</w:t>
            </w:r>
            <w:r>
              <w:rPr>
                <w:lang w:val="en-IN"/>
              </w:rPr>
              <w:t>.</w:t>
            </w:r>
          </w:p>
        </w:tc>
      </w:tr>
    </w:tbl>
    <w:p w14:paraId="696B9B06" w14:textId="77E2063B" w:rsidR="00DB222E" w:rsidRDefault="00DB222E" w:rsidP="00F60E9B">
      <w:pPr>
        <w:rPr>
          <w:lang w:val="en-IN"/>
        </w:rPr>
      </w:pPr>
    </w:p>
    <w:p w14:paraId="3515FCB8" w14:textId="5915524C" w:rsidR="00E33531" w:rsidRPr="006D47CE" w:rsidRDefault="00E33531" w:rsidP="006D47CE">
      <w:pPr>
        <w:jc w:val="both"/>
        <w:rPr>
          <w:lang w:val="en-US"/>
        </w:rPr>
      </w:pPr>
      <w:r>
        <w:rPr>
          <w:lang w:val="en-IN"/>
        </w:rPr>
        <w:t xml:space="preserve">For NTN scenarios where cells are constantly moving, </w:t>
      </w:r>
      <w:r w:rsidR="009C1C49">
        <w:rPr>
          <w:lang w:val="en-IN"/>
        </w:rPr>
        <w:t xml:space="preserve">it may be difficult </w:t>
      </w:r>
      <w:r w:rsidR="00FE60A2">
        <w:rPr>
          <w:lang w:val="en-IN"/>
        </w:rPr>
        <w:t>for the UE to derives when loss of the current serving cell coverage will occur.</w:t>
      </w:r>
      <w:r w:rsidR="001E6260">
        <w:rPr>
          <w:lang w:val="en-IN"/>
        </w:rPr>
        <w:t xml:space="preserve"> For these scenarios,</w:t>
      </w:r>
      <w:r w:rsidR="00FE60A2">
        <w:rPr>
          <w:lang w:val="en-IN"/>
        </w:rPr>
        <w:t xml:space="preserve"> </w:t>
      </w:r>
      <w:r w:rsidR="001E6260">
        <w:rPr>
          <w:lang w:val="en-IN"/>
        </w:rPr>
        <w:t>d</w:t>
      </w:r>
      <w:r w:rsidR="00DA7085">
        <w:rPr>
          <w:lang w:val="en-IN"/>
        </w:rPr>
        <w:t>istance</w:t>
      </w:r>
      <w:r w:rsidR="00FA112F">
        <w:rPr>
          <w:lang w:val="en-IN"/>
        </w:rPr>
        <w:t xml:space="preserve"> and time information </w:t>
      </w:r>
      <w:r w:rsidR="00AE793E">
        <w:rPr>
          <w:lang w:val="en-IN"/>
        </w:rPr>
        <w:t xml:space="preserve">to indicate the end of the coverage </w:t>
      </w:r>
      <w:r w:rsidR="001E6260">
        <w:rPr>
          <w:lang w:val="en-IN"/>
        </w:rPr>
        <w:t xml:space="preserve">depends on UE’s location within the cell, thus, will vary for each UE. </w:t>
      </w:r>
      <w:r w:rsidR="003A015F">
        <w:rPr>
          <w:lang w:val="en-IN"/>
        </w:rPr>
        <w:t>Unlike for quasi-Earth-fixed cells, a common distance/time-based parameter will be inaccurate and difficult to use</w:t>
      </w:r>
      <w:r w:rsidR="0059128F">
        <w:rPr>
          <w:lang w:val="en-IN"/>
        </w:rPr>
        <w:t xml:space="preserve"> due to the dynamic nature of the cells</w:t>
      </w:r>
      <w:r w:rsidR="003A015F">
        <w:rPr>
          <w:lang w:val="en-IN"/>
        </w:rPr>
        <w:t xml:space="preserve">. </w:t>
      </w:r>
      <w:r w:rsidR="003B33C1">
        <w:rPr>
          <w:lang w:val="en-IN"/>
        </w:rPr>
        <w:t xml:space="preserve">However, such information </w:t>
      </w:r>
      <w:r w:rsidR="00E00028">
        <w:rPr>
          <w:lang w:val="en-IN"/>
        </w:rPr>
        <w:t xml:space="preserve">is </w:t>
      </w:r>
      <w:r w:rsidR="0059128F">
        <w:rPr>
          <w:lang w:val="en-IN"/>
        </w:rPr>
        <w:t>mandatory to anticipate the end-of-coverage</w:t>
      </w:r>
      <w:r w:rsidR="00AC7A14">
        <w:rPr>
          <w:lang w:val="en-IN"/>
        </w:rPr>
        <w:t>.</w:t>
      </w:r>
    </w:p>
    <w:p w14:paraId="711827FE" w14:textId="77B3DF3A" w:rsidR="00551653" w:rsidRDefault="00551653" w:rsidP="00D3106C">
      <w:pPr>
        <w:jc w:val="both"/>
        <w:rPr>
          <w:b/>
          <w:bCs/>
          <w:lang w:val="en-IN"/>
        </w:rPr>
      </w:pPr>
      <w:r w:rsidRPr="006D47CE">
        <w:rPr>
          <w:b/>
          <w:bCs/>
          <w:lang w:val="en-IN"/>
        </w:rPr>
        <w:t xml:space="preserve">Proposal 6: </w:t>
      </w:r>
      <w:r w:rsidR="00AC7A14" w:rsidRPr="006D47CE">
        <w:rPr>
          <w:b/>
          <w:bCs/>
          <w:lang w:val="en-IN"/>
        </w:rPr>
        <w:t xml:space="preserve">RAN2 to further study </w:t>
      </w:r>
      <w:r w:rsidR="00A15FCB" w:rsidRPr="006D47CE">
        <w:rPr>
          <w:b/>
          <w:bCs/>
          <w:lang w:val="en-IN"/>
        </w:rPr>
        <w:t>how the UE derives the</w:t>
      </w:r>
      <w:r w:rsidR="00AC7A14" w:rsidRPr="006D47CE">
        <w:rPr>
          <w:b/>
          <w:bCs/>
          <w:lang w:val="en-IN"/>
        </w:rPr>
        <w:t xml:space="preserve"> loss of coverage</w:t>
      </w:r>
      <w:r w:rsidR="00A811E0" w:rsidRPr="006D47CE">
        <w:rPr>
          <w:b/>
          <w:bCs/>
          <w:lang w:val="en-IN"/>
        </w:rPr>
        <w:t xml:space="preserve"> in Earth-moving cells</w:t>
      </w:r>
      <w:r w:rsidR="00A15FCB" w:rsidRPr="006D47CE">
        <w:rPr>
          <w:b/>
          <w:bCs/>
          <w:lang w:val="en-IN"/>
        </w:rPr>
        <w:t>.</w:t>
      </w:r>
      <w:r w:rsidR="00A811E0" w:rsidRPr="006D47CE">
        <w:rPr>
          <w:b/>
          <w:bCs/>
          <w:lang w:val="en-IN"/>
        </w:rPr>
        <w:t xml:space="preserve"> </w:t>
      </w:r>
    </w:p>
    <w:p w14:paraId="4A879AA6" w14:textId="77777777" w:rsidR="00FF0337" w:rsidRPr="006D47CE" w:rsidRDefault="00FF0337" w:rsidP="006D47CE">
      <w:pPr>
        <w:jc w:val="both"/>
        <w:rPr>
          <w:b/>
          <w:bCs/>
          <w:lang w:val="en-IN"/>
        </w:rPr>
      </w:pPr>
    </w:p>
    <w:p w14:paraId="570D3BC3" w14:textId="0D2BFA21" w:rsidR="00F60E9B" w:rsidRDefault="00F60E9B" w:rsidP="00F60E9B">
      <w:pPr>
        <w:rPr>
          <w:rFonts w:ascii="Arial" w:hAnsi="Arial"/>
          <w:sz w:val="32"/>
        </w:rPr>
      </w:pPr>
      <w:r>
        <w:rPr>
          <w:rFonts w:ascii="Arial" w:hAnsi="Arial"/>
          <w:sz w:val="32"/>
        </w:rPr>
        <w:t xml:space="preserve">2.2 </w:t>
      </w:r>
      <w:r w:rsidRPr="00F60E9B">
        <w:rPr>
          <w:rFonts w:ascii="Arial" w:hAnsi="Arial"/>
          <w:sz w:val="32"/>
        </w:rPr>
        <w:t>CHO Enhancements for eMTC-NTN</w:t>
      </w:r>
    </w:p>
    <w:p w14:paraId="75033EED" w14:textId="78AE9308" w:rsidR="00A64DC2" w:rsidRDefault="00A64DC2" w:rsidP="00A64DC2">
      <w:pPr>
        <w:jc w:val="both"/>
      </w:pPr>
      <w:r>
        <w:t xml:space="preserve">The location-based CHO enhancements for Rel-17 NR NTN allow to evaluate CHO execution condition considering distance information. Such triggering condition can be configured with the </w:t>
      </w:r>
      <w:r w:rsidRPr="00935C12">
        <w:rPr>
          <w:i/>
          <w:iCs/>
        </w:rPr>
        <w:t>CondEvent D1</w:t>
      </w:r>
      <w:r>
        <w:t xml:space="preserve">, which requires the UE to evaluate the distance between the UE location and two reference locations associated to serving cell and candidate target cell. </w:t>
      </w:r>
    </w:p>
    <w:p w14:paraId="1891FE50" w14:textId="58B214F5" w:rsidR="00A64DC2" w:rsidRDefault="00A64DC2" w:rsidP="00A64DC2">
      <w:pPr>
        <w:jc w:val="both"/>
      </w:pPr>
      <w:r>
        <w:t xml:space="preserve">In EFC deployments, moving UEs near the cell edge could be configured with </w:t>
      </w:r>
      <w:r w:rsidRPr="00935C12">
        <w:rPr>
          <w:i/>
          <w:iCs/>
        </w:rPr>
        <w:t>CondEvent D1</w:t>
      </w:r>
      <w:r>
        <w:t xml:space="preserve"> to enhance mobility performance. Specially UEs following an unpredictable mobility pattern</w:t>
      </w:r>
      <w:r w:rsidR="00920259">
        <w:t xml:space="preserve"> and/or moving at a high-speed</w:t>
      </w:r>
      <w:r w:rsidR="005213F7">
        <w:t xml:space="preserve"> </w:t>
      </w:r>
      <w:r>
        <w:t xml:space="preserve">could be configured with the </w:t>
      </w:r>
      <w:r w:rsidRPr="00935C12">
        <w:rPr>
          <w:i/>
          <w:iCs/>
        </w:rPr>
        <w:t>CondEvent D1</w:t>
      </w:r>
      <w:r>
        <w:t xml:space="preserve"> to trigger the CHO execution condition when the UE is sufficiently close to the target cell reference location. Note that UEs are signalled via SIB-</w:t>
      </w:r>
      <w:r w:rsidR="00C26A5A">
        <w:t>3</w:t>
      </w:r>
      <w:r>
        <w:t xml:space="preserve"> with </w:t>
      </w:r>
      <w:r w:rsidRPr="00935C12">
        <w:rPr>
          <w:i/>
          <w:iCs/>
        </w:rPr>
        <w:t>t-Service</w:t>
      </w:r>
      <w:r>
        <w:t xml:space="preserve">, i.e. the time that the cell stops serving the area. Thus, in EFC, moving UEs could jointly use </w:t>
      </w:r>
      <w:r w:rsidRPr="00935C12">
        <w:rPr>
          <w:i/>
          <w:iCs/>
        </w:rPr>
        <w:t>CondEvent D1</w:t>
      </w:r>
      <w:r>
        <w:t xml:space="preserve"> and </w:t>
      </w:r>
      <w:r w:rsidRPr="00935C12">
        <w:rPr>
          <w:i/>
          <w:iCs/>
        </w:rPr>
        <w:t>t-Service</w:t>
      </w:r>
      <w:r>
        <w:rPr>
          <w:i/>
          <w:iCs/>
        </w:rPr>
        <w:t xml:space="preserve"> </w:t>
      </w:r>
      <w:r>
        <w:t xml:space="preserve">to enhance the HO execution while considering when the serving cell will disappear. </w:t>
      </w:r>
    </w:p>
    <w:p w14:paraId="33D6126A" w14:textId="42DAD2F8" w:rsidR="00A64DC2" w:rsidRPr="009D234D" w:rsidRDefault="00A64DC2" w:rsidP="00A64DC2">
      <w:pPr>
        <w:jc w:val="both"/>
        <w:rPr>
          <w:b/>
          <w:bCs/>
          <w:highlight w:val="yellow"/>
          <w:lang w:val="en-US"/>
        </w:rPr>
      </w:pPr>
      <w:r w:rsidRPr="007616E1">
        <w:rPr>
          <w:b/>
          <w:bCs/>
        </w:rPr>
        <w:lastRenderedPageBreak/>
        <w:t xml:space="preserve">Proposal </w:t>
      </w:r>
      <w:r w:rsidR="006D47CE">
        <w:rPr>
          <w:b/>
          <w:bCs/>
        </w:rPr>
        <w:t>7</w:t>
      </w:r>
      <w:r w:rsidRPr="007616E1">
        <w:rPr>
          <w:b/>
          <w:bCs/>
        </w:rPr>
        <w:t>: RAN2 should further investigate the joint use of CondEvent D1 and t-Service for moving UEs in EFC.</w:t>
      </w:r>
    </w:p>
    <w:p w14:paraId="437CD941" w14:textId="2310CB34" w:rsidR="00A64DC2" w:rsidRDefault="00A64DC2" w:rsidP="00A64DC2">
      <w:pPr>
        <w:jc w:val="both"/>
      </w:pPr>
      <w:bookmarkStart w:id="1" w:name="_Hlk115087031"/>
      <w:r>
        <w:t>For eMTC-NTN, CHO execution condition can be defined as combination of A3/A4/A5 event and location or timer based events for EMC scenario.</w:t>
      </w:r>
      <w:r w:rsidR="005728A0">
        <w:t xml:space="preserve"> </w:t>
      </w:r>
      <w:r>
        <w:t xml:space="preserve">This combined evaluation is needed to ensure that execution considers the radio condition changes at UE along with conditions linked to NTN cell mobility. In case of power limited and stationary UE the target cell radio measurements can be skipped if the radio conditions observed over successive execution for the same time/distance trigger remains </w:t>
      </w:r>
      <w:r w:rsidR="0018419B">
        <w:t>similar</w:t>
      </w:r>
      <w:r>
        <w:t xml:space="preserve"> and also the result of </w:t>
      </w:r>
      <w:r w:rsidR="00F710AA">
        <w:t xml:space="preserve">the </w:t>
      </w:r>
      <w:r>
        <w:t>CHO execution</w:t>
      </w:r>
      <w:r w:rsidR="00F710AA">
        <w:t>s</w:t>
      </w:r>
      <w:r>
        <w:t xml:space="preserve">. The UE may internally decide to consider only the timer/distance-based trigger without radio measurements depending on the estimated stability of these measurements. The UE may resume the radio measurements for evaluation if the CHO execution based on time/distance trigger was not successful earlier. </w:t>
      </w:r>
    </w:p>
    <w:p w14:paraId="76DAC548" w14:textId="2F528D7B" w:rsidR="00DB3CEB" w:rsidRDefault="00A64DC2" w:rsidP="00707782">
      <w:pPr>
        <w:rPr>
          <w:b/>
          <w:bCs/>
        </w:rPr>
      </w:pPr>
      <w:r w:rsidRPr="00916FC6">
        <w:rPr>
          <w:b/>
          <w:bCs/>
        </w:rPr>
        <w:t xml:space="preserve">Proposal </w:t>
      </w:r>
      <w:r w:rsidR="006D47CE">
        <w:rPr>
          <w:b/>
          <w:bCs/>
        </w:rPr>
        <w:t>8</w:t>
      </w:r>
      <w:r w:rsidRPr="00916FC6">
        <w:rPr>
          <w:b/>
          <w:bCs/>
        </w:rPr>
        <w:t>:</w:t>
      </w:r>
      <w:r>
        <w:rPr>
          <w:b/>
          <w:bCs/>
        </w:rPr>
        <w:t xml:space="preserve"> RAN2 to consider mechanism where CHO condition is evaluated only against the time/distance-based event skipping radio condition evaluation dynamically based on the history of measurements and CHO execution results.</w:t>
      </w:r>
    </w:p>
    <w:p w14:paraId="126473FF" w14:textId="5392DF79" w:rsidR="00D01F4A" w:rsidRDefault="00BB57E1" w:rsidP="009C21AE">
      <w:pPr>
        <w:jc w:val="both"/>
      </w:pPr>
      <w:r>
        <w:t xml:space="preserve">As discussed above, </w:t>
      </w:r>
      <w:r w:rsidR="00E548BA">
        <w:t xml:space="preserve">RAN2 agreed to introduce a location-based </w:t>
      </w:r>
      <w:r w:rsidR="00050FF2">
        <w:t xml:space="preserve">reconfiguration trigger based on the </w:t>
      </w:r>
      <w:r w:rsidR="00050FF2" w:rsidRPr="006D47CE">
        <w:rPr>
          <w:i/>
          <w:iCs/>
        </w:rPr>
        <w:t>condEventD1</w:t>
      </w:r>
      <w:r w:rsidR="00050FF2">
        <w:t xml:space="preserve"> in NR</w:t>
      </w:r>
      <w:r w:rsidR="00EF4D85">
        <w:t xml:space="preserve"> for Rel-18 </w:t>
      </w:r>
      <w:r w:rsidR="00513BC8">
        <w:t>eMTC</w:t>
      </w:r>
      <w:r w:rsidR="00EF4D85">
        <w:t xml:space="preserve"> NTN</w:t>
      </w:r>
      <w:r w:rsidR="00410752">
        <w:t>.</w:t>
      </w:r>
      <w:r w:rsidR="00490CC8">
        <w:t xml:space="preserve"> In NTN, even though satellites move at high-speed</w:t>
      </w:r>
      <w:r w:rsidR="00232225">
        <w:t xml:space="preserve">, their </w:t>
      </w:r>
      <w:r w:rsidR="00522C3E">
        <w:t>movement is predictable and</w:t>
      </w:r>
      <w:r w:rsidR="00232225">
        <w:t xml:space="preserve"> can be exploited to enhance mobility procedures performance</w:t>
      </w:r>
      <w:r w:rsidR="004832F2">
        <w:t xml:space="preserve">. </w:t>
      </w:r>
      <w:r w:rsidR="006A34F0">
        <w:t xml:space="preserve">Furthermore, </w:t>
      </w:r>
      <w:r w:rsidR="009656D8">
        <w:t>UE’s radio measurements are less reliable</w:t>
      </w:r>
      <w:r w:rsidR="00867631">
        <w:t xml:space="preserve"> due to long propagation distances.</w:t>
      </w:r>
      <w:r w:rsidR="00522C3E">
        <w:t xml:space="preserve"> </w:t>
      </w:r>
      <w:r w:rsidR="00867631">
        <w:t>For these reasons,</w:t>
      </w:r>
      <w:r w:rsidR="00880576">
        <w:t xml:space="preserve"> in Rel-17 the</w:t>
      </w:r>
      <w:r w:rsidR="00867631">
        <w:t xml:space="preserve"> </w:t>
      </w:r>
      <w:r w:rsidR="001D28A5">
        <w:t xml:space="preserve">location-based CHO </w:t>
      </w:r>
      <w:r w:rsidR="00867631">
        <w:t xml:space="preserve">trigger </w:t>
      </w:r>
      <w:r w:rsidR="00880576" w:rsidRPr="006D47CE">
        <w:rPr>
          <w:i/>
          <w:iCs/>
        </w:rPr>
        <w:t>condEventD1</w:t>
      </w:r>
      <w:r w:rsidR="00880576">
        <w:t xml:space="preserve"> was specified</w:t>
      </w:r>
      <w:r w:rsidR="006A5DD3">
        <w:t>.</w:t>
      </w:r>
      <w:r w:rsidR="00E17D8F">
        <w:t xml:space="preserve"> </w:t>
      </w:r>
    </w:p>
    <w:p w14:paraId="7FB1BB38" w14:textId="54E72428" w:rsidR="003C0FC2" w:rsidRPr="006D47CE" w:rsidRDefault="00AB417A">
      <w:pPr>
        <w:jc w:val="both"/>
      </w:pPr>
      <w:r>
        <w:t>In E</w:t>
      </w:r>
      <w:r w:rsidR="00BB2EF6">
        <w:t xml:space="preserve">MC scenario, the NTN cells are constantly sweeping the </w:t>
      </w:r>
      <w:r w:rsidR="00487E3B">
        <w:t xml:space="preserve">Earth’s </w:t>
      </w:r>
      <w:r w:rsidR="00BB2EF6">
        <w:t xml:space="preserve">surface; that implies that the value of </w:t>
      </w:r>
      <w:r w:rsidR="00BB2EF6" w:rsidRPr="006D47CE">
        <w:rPr>
          <w:i/>
          <w:iCs/>
        </w:rPr>
        <w:t>referenceLocation1</w:t>
      </w:r>
      <w:r w:rsidR="00BB2EF6">
        <w:t xml:space="preserve"> and </w:t>
      </w:r>
      <w:r w:rsidR="00BB2EF6" w:rsidRPr="006D47CE">
        <w:rPr>
          <w:i/>
          <w:iCs/>
        </w:rPr>
        <w:t>referenceLocation2</w:t>
      </w:r>
      <w:r w:rsidR="00BB2EF6">
        <w:t xml:space="preserve"> should change as</w:t>
      </w:r>
      <w:r w:rsidR="00807F9D">
        <w:t xml:space="preserve"> serving</w:t>
      </w:r>
      <w:r w:rsidR="00BB2EF6">
        <w:t xml:space="preserve"> cell</w:t>
      </w:r>
      <w:r w:rsidR="00807F9D">
        <w:t xml:space="preserve"> and target cells</w:t>
      </w:r>
      <w:r w:rsidR="00BB2EF6">
        <w:t xml:space="preserve"> move.</w:t>
      </w:r>
      <w:r w:rsidR="00DF7B94">
        <w:t xml:space="preserve"> According to Rel-17 specification for NR NTN, this would mean th</w:t>
      </w:r>
      <w:r w:rsidR="009C21AE">
        <w:t xml:space="preserve">e </w:t>
      </w:r>
      <w:r w:rsidR="009C21AE" w:rsidRPr="006D47CE">
        <w:rPr>
          <w:i/>
          <w:iCs/>
        </w:rPr>
        <w:t>ReportConfigNR</w:t>
      </w:r>
      <w:r w:rsidR="009C21AE">
        <w:t xml:space="preserve"> information element would have to be updated continuously, which is not feasible according to current specifications.</w:t>
      </w:r>
      <w:r w:rsidR="006D7A57">
        <w:t xml:space="preserve"> </w:t>
      </w:r>
    </w:p>
    <w:bookmarkEnd w:id="1"/>
    <w:p w14:paraId="624F4B82" w14:textId="7F99D873" w:rsidR="001F0540" w:rsidRPr="00707782" w:rsidRDefault="003C0FC2" w:rsidP="00707782">
      <w:r w:rsidRPr="00916FC6">
        <w:rPr>
          <w:b/>
          <w:bCs/>
        </w:rPr>
        <w:t xml:space="preserve">Proposal </w:t>
      </w:r>
      <w:r w:rsidR="006D47CE">
        <w:rPr>
          <w:b/>
          <w:bCs/>
        </w:rPr>
        <w:t>9</w:t>
      </w:r>
      <w:r w:rsidRPr="00916FC6">
        <w:rPr>
          <w:b/>
          <w:bCs/>
        </w:rPr>
        <w:t>:</w:t>
      </w:r>
      <w:r>
        <w:rPr>
          <w:b/>
          <w:bCs/>
        </w:rPr>
        <w:t xml:space="preserve"> RAN2 to </w:t>
      </w:r>
      <w:r w:rsidR="00C26A5A">
        <w:rPr>
          <w:b/>
          <w:bCs/>
        </w:rPr>
        <w:t xml:space="preserve">discuss how </w:t>
      </w:r>
      <w:r w:rsidR="00C26A5A" w:rsidRPr="006D47CE">
        <w:rPr>
          <w:b/>
          <w:bCs/>
          <w:i/>
          <w:iCs/>
        </w:rPr>
        <w:t>referenceLocation1</w:t>
      </w:r>
      <w:r w:rsidR="00C26A5A">
        <w:rPr>
          <w:b/>
          <w:bCs/>
        </w:rPr>
        <w:t xml:space="preserve"> and </w:t>
      </w:r>
      <w:r w:rsidR="00C26A5A" w:rsidRPr="006D47CE">
        <w:rPr>
          <w:b/>
          <w:bCs/>
          <w:i/>
          <w:iCs/>
        </w:rPr>
        <w:t>referenceLocation2</w:t>
      </w:r>
      <w:r w:rsidR="00C26A5A">
        <w:rPr>
          <w:b/>
          <w:bCs/>
        </w:rPr>
        <w:t xml:space="preserve"> are updated for Earth-moving cells</w:t>
      </w:r>
      <w:r>
        <w:rPr>
          <w:b/>
          <w:bCs/>
        </w:rPr>
        <w:t>.</w:t>
      </w:r>
    </w:p>
    <w:p w14:paraId="272B36E1" w14:textId="77777777" w:rsidR="00707782" w:rsidRPr="00707782" w:rsidRDefault="00707782" w:rsidP="00707782">
      <w:pPr>
        <w:keepNext/>
        <w:keepLines/>
        <w:pBdr>
          <w:top w:val="single" w:sz="12" w:space="3" w:color="auto"/>
        </w:pBdr>
        <w:spacing w:before="240"/>
        <w:ind w:left="1134" w:hanging="1134"/>
        <w:outlineLvl w:val="0"/>
        <w:rPr>
          <w:rFonts w:ascii="Arial" w:hAnsi="Arial"/>
          <w:sz w:val="36"/>
        </w:rPr>
      </w:pPr>
      <w:r w:rsidRPr="00707782">
        <w:rPr>
          <w:rFonts w:ascii="Arial" w:hAnsi="Arial"/>
          <w:sz w:val="36"/>
        </w:rPr>
        <w:t>3</w:t>
      </w:r>
      <w:r w:rsidRPr="00707782">
        <w:rPr>
          <w:rFonts w:ascii="Arial" w:hAnsi="Arial"/>
          <w:sz w:val="36"/>
        </w:rPr>
        <w:tab/>
        <w:t>Conclusion</w:t>
      </w:r>
    </w:p>
    <w:p w14:paraId="08385DC6" w14:textId="06854682" w:rsidR="006D47CE" w:rsidRPr="006D47CE" w:rsidRDefault="006D47CE" w:rsidP="006D47CE">
      <w:pPr>
        <w:jc w:val="both"/>
        <w:rPr>
          <w:u w:val="single"/>
        </w:rPr>
      </w:pPr>
      <w:r>
        <w:rPr>
          <w:b/>
          <w:bCs/>
        </w:rPr>
        <w:tab/>
      </w:r>
      <w:r>
        <w:rPr>
          <w:b/>
          <w:bCs/>
        </w:rPr>
        <w:tab/>
      </w:r>
      <w:r>
        <w:rPr>
          <w:b/>
          <w:bCs/>
        </w:rPr>
        <w:tab/>
      </w:r>
      <w:r w:rsidRPr="006D47CE">
        <w:rPr>
          <w:u w:val="single"/>
        </w:rPr>
        <w:t>Connected mode measurement triggering for Fast-RLF in NB-IoT-NTN</w:t>
      </w:r>
    </w:p>
    <w:p w14:paraId="5521B27E" w14:textId="5138B9AF" w:rsidR="006D47CE" w:rsidRDefault="006D47CE" w:rsidP="006D47CE">
      <w:pPr>
        <w:jc w:val="both"/>
        <w:rPr>
          <w:b/>
          <w:bCs/>
        </w:rPr>
      </w:pPr>
      <w:r w:rsidRPr="00333B42">
        <w:rPr>
          <w:b/>
          <w:bCs/>
        </w:rPr>
        <w:t xml:space="preserve">Proposal </w:t>
      </w:r>
      <w:r>
        <w:rPr>
          <w:b/>
          <w:bCs/>
        </w:rPr>
        <w:t>1</w:t>
      </w:r>
      <w:r w:rsidRPr="00333B42">
        <w:rPr>
          <w:b/>
          <w:bCs/>
        </w:rPr>
        <w:t xml:space="preserve">: </w:t>
      </w:r>
      <w:r>
        <w:rPr>
          <w:b/>
          <w:bCs/>
        </w:rPr>
        <w:t>Distance-based</w:t>
      </w:r>
      <w:r w:rsidRPr="00333B42">
        <w:rPr>
          <w:b/>
          <w:bCs/>
        </w:rPr>
        <w:t xml:space="preserve"> triggering condition to start connected mode measurements is supported for IoT-NTN</w:t>
      </w:r>
      <w:r>
        <w:rPr>
          <w:b/>
          <w:bCs/>
        </w:rPr>
        <w:t>.</w:t>
      </w:r>
    </w:p>
    <w:p w14:paraId="714D769A" w14:textId="77777777" w:rsidR="006D47CE" w:rsidRDefault="006D47CE" w:rsidP="006D47CE">
      <w:pPr>
        <w:jc w:val="both"/>
        <w:rPr>
          <w:b/>
          <w:bCs/>
        </w:rPr>
      </w:pPr>
      <w:r>
        <w:rPr>
          <w:b/>
          <w:bCs/>
        </w:rPr>
        <w:t>Proposal 2</w:t>
      </w:r>
      <w:r w:rsidRPr="0009178E">
        <w:rPr>
          <w:b/>
          <w:bCs/>
        </w:rPr>
        <w:t xml:space="preserve">: </w:t>
      </w:r>
      <w:r>
        <w:rPr>
          <w:b/>
          <w:bCs/>
        </w:rPr>
        <w:t>For the LEO scenario, RAN2 to consider changes to relaxed serving cell measurements based on distance or time replacing serving cell signal strength variation-based relaxation as in Rel-17.</w:t>
      </w:r>
    </w:p>
    <w:p w14:paraId="016EB50E" w14:textId="52E80075" w:rsidR="006D47CE" w:rsidRDefault="006D47CE" w:rsidP="006D47CE">
      <w:pPr>
        <w:jc w:val="both"/>
        <w:rPr>
          <w:b/>
          <w:bCs/>
        </w:rPr>
      </w:pPr>
      <w:r w:rsidRPr="00707782">
        <w:rPr>
          <w:b/>
          <w:bCs/>
        </w:rPr>
        <w:t xml:space="preserve">Proposal </w:t>
      </w:r>
      <w:r>
        <w:rPr>
          <w:b/>
          <w:bCs/>
        </w:rPr>
        <w:t>3</w:t>
      </w:r>
      <w:r w:rsidRPr="00707782">
        <w:rPr>
          <w:b/>
          <w:bCs/>
        </w:rPr>
        <w:t xml:space="preserve">: </w:t>
      </w:r>
      <w:r>
        <w:rPr>
          <w:b/>
          <w:bCs/>
        </w:rPr>
        <w:t xml:space="preserve">Fast RLF declaration based on </w:t>
      </w:r>
      <w:r w:rsidR="00487E3B">
        <w:rPr>
          <w:b/>
          <w:bCs/>
        </w:rPr>
        <w:t xml:space="preserve">the </w:t>
      </w:r>
      <w:r>
        <w:rPr>
          <w:b/>
          <w:bCs/>
        </w:rPr>
        <w:t>availability</w:t>
      </w:r>
      <w:r w:rsidR="00487E3B">
        <w:rPr>
          <w:b/>
          <w:bCs/>
        </w:rPr>
        <w:t xml:space="preserve"> of connected mode measurement results</w:t>
      </w:r>
      <w:r>
        <w:rPr>
          <w:b/>
          <w:bCs/>
        </w:rPr>
        <w:t xml:space="preserve"> is considered for LEO scenario for NB-IoT NTN</w:t>
      </w:r>
      <w:r w:rsidRPr="00707782">
        <w:rPr>
          <w:b/>
          <w:bCs/>
        </w:rPr>
        <w:t>.</w:t>
      </w:r>
    </w:p>
    <w:p w14:paraId="3632BE12" w14:textId="77777777" w:rsidR="006D47CE" w:rsidRDefault="006D47CE" w:rsidP="006D47CE">
      <w:pPr>
        <w:jc w:val="both"/>
        <w:rPr>
          <w:b/>
          <w:bCs/>
        </w:rPr>
      </w:pPr>
      <w:r w:rsidRPr="00707782">
        <w:rPr>
          <w:b/>
          <w:bCs/>
        </w:rPr>
        <w:t xml:space="preserve">Proposal </w:t>
      </w:r>
      <w:r>
        <w:rPr>
          <w:b/>
          <w:bCs/>
        </w:rPr>
        <w:t>4</w:t>
      </w:r>
      <w:r w:rsidRPr="00707782">
        <w:rPr>
          <w:b/>
          <w:bCs/>
        </w:rPr>
        <w:t xml:space="preserve">: </w:t>
      </w:r>
      <w:r>
        <w:rPr>
          <w:b/>
          <w:bCs/>
        </w:rPr>
        <w:t>RLF declaration and the start of re-establishment is linked to service time in EFC for NB-IoT-NTN.</w:t>
      </w:r>
    </w:p>
    <w:p w14:paraId="3CB15896" w14:textId="77777777" w:rsidR="006D47CE" w:rsidRDefault="006D47CE" w:rsidP="006D47CE">
      <w:pPr>
        <w:jc w:val="both"/>
      </w:pPr>
      <w:r w:rsidRPr="0009178E">
        <w:rPr>
          <w:b/>
          <w:bCs/>
        </w:rPr>
        <w:t xml:space="preserve">Observation </w:t>
      </w:r>
      <w:r>
        <w:rPr>
          <w:b/>
          <w:bCs/>
        </w:rPr>
        <w:t>1</w:t>
      </w:r>
      <w:r w:rsidRPr="0009178E">
        <w:rPr>
          <w:b/>
          <w:bCs/>
        </w:rPr>
        <w:t xml:space="preserve">: </w:t>
      </w:r>
      <w:r w:rsidRPr="00733752">
        <w:t xml:space="preserve">The time taken to acquire target cell system information before RACH access for re-establishment is higher than </w:t>
      </w:r>
      <w:r>
        <w:t xml:space="preserve">the </w:t>
      </w:r>
      <w:r w:rsidRPr="00733752">
        <w:t xml:space="preserve">terrestrial NB-IOT scenario </w:t>
      </w:r>
      <w:r>
        <w:t>as the mandatory SIBs for uplink access for NTN include one additional system information block SIB31.</w:t>
      </w:r>
    </w:p>
    <w:p w14:paraId="110BCD21" w14:textId="238633B7" w:rsidR="006D47CE" w:rsidRDefault="006D47CE" w:rsidP="006D47CE">
      <w:pPr>
        <w:jc w:val="both"/>
        <w:rPr>
          <w:b/>
          <w:bCs/>
        </w:rPr>
      </w:pPr>
      <w:r w:rsidRPr="00707782">
        <w:rPr>
          <w:b/>
          <w:bCs/>
        </w:rPr>
        <w:t xml:space="preserve">Proposal </w:t>
      </w:r>
      <w:r>
        <w:rPr>
          <w:b/>
          <w:bCs/>
        </w:rPr>
        <w:t>5</w:t>
      </w:r>
      <w:r w:rsidRPr="00707782">
        <w:rPr>
          <w:b/>
          <w:bCs/>
        </w:rPr>
        <w:t>:</w:t>
      </w:r>
      <w:r>
        <w:rPr>
          <w:b/>
          <w:bCs/>
        </w:rPr>
        <w:t xml:space="preserve"> RAN2 to consider an extension of SIB31 inclusion in RRC message for potential target cells for RLF enhancements in NB-IoT NTN.  FFS inclusion selected system information related to uplink access in the message.</w:t>
      </w:r>
    </w:p>
    <w:p w14:paraId="43833811" w14:textId="77777777" w:rsidR="006D47CE" w:rsidRDefault="006D47CE" w:rsidP="006D47CE">
      <w:pPr>
        <w:jc w:val="both"/>
        <w:rPr>
          <w:b/>
          <w:bCs/>
          <w:lang w:val="en-IN"/>
        </w:rPr>
      </w:pPr>
      <w:r w:rsidRPr="003D6C6D">
        <w:rPr>
          <w:b/>
          <w:bCs/>
          <w:lang w:val="en-IN"/>
        </w:rPr>
        <w:t xml:space="preserve">Proposal 6: RAN2 to further study how the UE derives the loss of coverage in Earth-moving cells. </w:t>
      </w:r>
    </w:p>
    <w:p w14:paraId="28CA3B30" w14:textId="5947393F" w:rsidR="006D47CE" w:rsidRPr="006D47CE" w:rsidRDefault="006D47CE" w:rsidP="006D47CE">
      <w:pPr>
        <w:jc w:val="both"/>
        <w:rPr>
          <w:b/>
          <w:bCs/>
          <w:u w:val="single"/>
        </w:rPr>
      </w:pPr>
      <w:r>
        <w:rPr>
          <w:b/>
          <w:bCs/>
        </w:rPr>
        <w:tab/>
      </w:r>
      <w:r>
        <w:rPr>
          <w:b/>
          <w:bCs/>
        </w:rPr>
        <w:tab/>
      </w:r>
      <w:r>
        <w:rPr>
          <w:b/>
          <w:bCs/>
        </w:rPr>
        <w:tab/>
      </w:r>
      <w:r>
        <w:rPr>
          <w:b/>
          <w:bCs/>
        </w:rPr>
        <w:tab/>
        <w:t xml:space="preserve">    </w:t>
      </w:r>
      <w:r w:rsidRPr="006D47CE">
        <w:rPr>
          <w:u w:val="single"/>
        </w:rPr>
        <w:t>CHO Enhancements for eMTC-NTN</w:t>
      </w:r>
    </w:p>
    <w:p w14:paraId="046BEFE0" w14:textId="77777777" w:rsidR="006D47CE" w:rsidRPr="009D234D" w:rsidRDefault="006D47CE" w:rsidP="006D47CE">
      <w:pPr>
        <w:jc w:val="both"/>
        <w:rPr>
          <w:b/>
          <w:bCs/>
          <w:highlight w:val="yellow"/>
          <w:lang w:val="en-US"/>
        </w:rPr>
      </w:pPr>
      <w:r w:rsidRPr="007616E1">
        <w:rPr>
          <w:b/>
          <w:bCs/>
        </w:rPr>
        <w:t xml:space="preserve">Proposal </w:t>
      </w:r>
      <w:r>
        <w:rPr>
          <w:b/>
          <w:bCs/>
        </w:rPr>
        <w:t>5</w:t>
      </w:r>
      <w:r w:rsidRPr="007616E1">
        <w:rPr>
          <w:b/>
          <w:bCs/>
        </w:rPr>
        <w:t>: RAN2 should further investigate the joint use of CondEvent D1 and t-Service for moving UEs in EFC.</w:t>
      </w:r>
    </w:p>
    <w:p w14:paraId="19DF46E9" w14:textId="1E0FD5DE" w:rsidR="00707782" w:rsidRPr="00707782" w:rsidRDefault="006D47CE" w:rsidP="006D47CE">
      <w:r w:rsidRPr="00916FC6">
        <w:rPr>
          <w:b/>
          <w:bCs/>
        </w:rPr>
        <w:t xml:space="preserve">Proposal </w:t>
      </w:r>
      <w:r>
        <w:rPr>
          <w:b/>
          <w:bCs/>
        </w:rPr>
        <w:t>6</w:t>
      </w:r>
      <w:r w:rsidRPr="00916FC6">
        <w:rPr>
          <w:b/>
          <w:bCs/>
        </w:rPr>
        <w:t>:</w:t>
      </w:r>
      <w:r>
        <w:rPr>
          <w:b/>
          <w:bCs/>
        </w:rPr>
        <w:t xml:space="preserve"> RAN2 to consider a mechanism where </w:t>
      </w:r>
      <w:r w:rsidR="00487E3B">
        <w:rPr>
          <w:b/>
          <w:bCs/>
        </w:rPr>
        <w:t xml:space="preserve">the </w:t>
      </w:r>
      <w:r>
        <w:rPr>
          <w:b/>
          <w:bCs/>
        </w:rPr>
        <w:t>CHO condition is evaluated only against the time/distance-based event skipping radio condition evaluation dynamically based on the history of measurements and CHO execution results.</w:t>
      </w:r>
    </w:p>
    <w:p w14:paraId="25B01437" w14:textId="20AD06B7" w:rsidR="00707782" w:rsidRPr="00707782" w:rsidRDefault="006D47CE" w:rsidP="00707782">
      <w:r w:rsidRPr="00916FC6">
        <w:rPr>
          <w:b/>
          <w:bCs/>
        </w:rPr>
        <w:t xml:space="preserve">Proposal </w:t>
      </w:r>
      <w:r>
        <w:rPr>
          <w:b/>
          <w:bCs/>
        </w:rPr>
        <w:t>7</w:t>
      </w:r>
      <w:r w:rsidRPr="00916FC6">
        <w:rPr>
          <w:b/>
          <w:bCs/>
        </w:rPr>
        <w:t>:</w:t>
      </w:r>
      <w:r>
        <w:rPr>
          <w:b/>
          <w:bCs/>
        </w:rPr>
        <w:t xml:space="preserve"> RAN2 to discuss how </w:t>
      </w:r>
      <w:r w:rsidRPr="003D6C6D">
        <w:rPr>
          <w:b/>
          <w:bCs/>
          <w:i/>
          <w:iCs/>
        </w:rPr>
        <w:t>referenceLocation1</w:t>
      </w:r>
      <w:r>
        <w:rPr>
          <w:b/>
          <w:bCs/>
        </w:rPr>
        <w:t xml:space="preserve"> and </w:t>
      </w:r>
      <w:r w:rsidRPr="003D6C6D">
        <w:rPr>
          <w:b/>
          <w:bCs/>
          <w:i/>
          <w:iCs/>
        </w:rPr>
        <w:t>referenceLocation2</w:t>
      </w:r>
      <w:r>
        <w:rPr>
          <w:b/>
          <w:bCs/>
        </w:rPr>
        <w:t xml:space="preserve"> are updated for Earth-moving cells.</w:t>
      </w:r>
    </w:p>
    <w:p w14:paraId="6F0444F7" w14:textId="77777777" w:rsidR="00707782" w:rsidRPr="00707782" w:rsidRDefault="00707782" w:rsidP="00707782">
      <w:pPr>
        <w:keepNext/>
        <w:keepLines/>
        <w:pBdr>
          <w:top w:val="single" w:sz="12" w:space="3" w:color="auto"/>
        </w:pBdr>
        <w:spacing w:before="240"/>
        <w:outlineLvl w:val="0"/>
        <w:rPr>
          <w:rFonts w:ascii="Arial" w:hAnsi="Arial"/>
          <w:sz w:val="36"/>
        </w:rPr>
      </w:pPr>
      <w:r w:rsidRPr="00707782">
        <w:rPr>
          <w:rFonts w:ascii="Arial" w:hAnsi="Arial"/>
          <w:sz w:val="36"/>
        </w:rPr>
        <w:t>References</w:t>
      </w:r>
    </w:p>
    <w:p w14:paraId="11D6A069" w14:textId="77777777" w:rsidR="00707782" w:rsidRPr="00707782" w:rsidRDefault="00707782" w:rsidP="00707782">
      <w:pPr>
        <w:rPr>
          <w:bCs/>
        </w:rPr>
      </w:pPr>
      <w:r w:rsidRPr="00707782">
        <w:rPr>
          <w:bCs/>
        </w:rPr>
        <w:t>[1] RP-221806, WID on IoT NTN enhancements, 3GPP TSG RAN Meeting #96, June 6 - 9, 2022.</w:t>
      </w:r>
    </w:p>
    <w:p w14:paraId="71D4862D" w14:textId="77777777" w:rsidR="00707782" w:rsidRPr="00707782" w:rsidRDefault="00707782" w:rsidP="00707782">
      <w:pPr>
        <w:rPr>
          <w:bCs/>
        </w:rPr>
      </w:pPr>
      <w:r w:rsidRPr="00707782">
        <w:rPr>
          <w:bCs/>
        </w:rPr>
        <w:lastRenderedPageBreak/>
        <w:t>[2] R2-2105224, Enhancements for Re-establishment time reduction, 3GPP RAN2 meeting #114</w:t>
      </w:r>
    </w:p>
    <w:p w14:paraId="012C68BC" w14:textId="77777777" w:rsidR="00707782" w:rsidRPr="00707782" w:rsidRDefault="00707782" w:rsidP="00707782">
      <w:pPr>
        <w:jc w:val="both"/>
        <w:rPr>
          <w:bCs/>
        </w:rPr>
      </w:pPr>
      <w:r w:rsidRPr="00707782">
        <w:rPr>
          <w:bCs/>
        </w:rPr>
        <w:t>[3] R2-2208701, Report from Break-out session on R17 NTN, REDCAP and CE 3GPP TSG-RAN WG2 Meeting #119 Online, August 2022.</w:t>
      </w:r>
    </w:p>
    <w:p w14:paraId="1FBA957E" w14:textId="77777777" w:rsidR="00707782" w:rsidRPr="00707782" w:rsidRDefault="00707782" w:rsidP="00707782">
      <w:pPr>
        <w:jc w:val="both"/>
        <w:rPr>
          <w:bCs/>
        </w:rPr>
      </w:pPr>
      <w:r w:rsidRPr="00707782">
        <w:rPr>
          <w:bCs/>
        </w:rPr>
        <w:t>[4] 3GPP Technical Specification 38.331, version 17.1.0, June 2022.</w:t>
      </w:r>
    </w:p>
    <w:p w14:paraId="5405C828" w14:textId="77777777" w:rsidR="00707782" w:rsidRPr="00707782" w:rsidRDefault="00707782" w:rsidP="00707782">
      <w:pPr>
        <w:jc w:val="both"/>
        <w:rPr>
          <w:bCs/>
        </w:rPr>
      </w:pPr>
      <w:r w:rsidRPr="00707782">
        <w:rPr>
          <w:bCs/>
        </w:rPr>
        <w:t>[5] R2-2203512 Report from Break-out session on R17 NTN, REDCAP and CE 3GPP TSG-RAN WG2 Meeting #117 Online, Feb 21st - Mar 3rd, 2022.</w:t>
      </w:r>
    </w:p>
    <w:p w14:paraId="7CDC9383" w14:textId="77777777" w:rsidR="00707782" w:rsidRPr="00707782" w:rsidRDefault="00707782" w:rsidP="00707782">
      <w:pPr>
        <w:jc w:val="both"/>
        <w:rPr>
          <w:bCs/>
        </w:rPr>
      </w:pPr>
      <w:r w:rsidRPr="00707782">
        <w:rPr>
          <w:bCs/>
        </w:rPr>
        <w:t>[6] RP-221819, WID on NR NTN enhancements, 3GPP TSG RAN Meeting #96, June 6 - 9, 2022.</w:t>
      </w:r>
    </w:p>
    <w:p w14:paraId="3513FD2E" w14:textId="77777777" w:rsidR="00707782" w:rsidRPr="00707782" w:rsidRDefault="00707782" w:rsidP="00707782"/>
    <w:p w14:paraId="5AE49976" w14:textId="77777777" w:rsidR="00707782" w:rsidRPr="00707782" w:rsidRDefault="00707782" w:rsidP="00707782"/>
    <w:p w14:paraId="4460D1E3" w14:textId="77777777" w:rsidR="00D16B1A" w:rsidRPr="00707782" w:rsidRDefault="00D16B1A" w:rsidP="00707782"/>
    <w:sectPr w:rsidR="00D16B1A" w:rsidRPr="007077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3CED" w14:textId="77777777" w:rsidR="00354582" w:rsidRDefault="00354582" w:rsidP="00D16B1A">
      <w:pPr>
        <w:spacing w:after="0"/>
      </w:pPr>
      <w:r>
        <w:separator/>
      </w:r>
    </w:p>
  </w:endnote>
  <w:endnote w:type="continuationSeparator" w:id="0">
    <w:p w14:paraId="10D293E2" w14:textId="77777777" w:rsidR="00354582" w:rsidRDefault="00354582" w:rsidP="00D16B1A">
      <w:pPr>
        <w:spacing w:after="0"/>
      </w:pPr>
      <w:r>
        <w:continuationSeparator/>
      </w:r>
    </w:p>
  </w:endnote>
  <w:endnote w:type="continuationNotice" w:id="1">
    <w:p w14:paraId="40B771AD" w14:textId="77777777" w:rsidR="00354582" w:rsidRDefault="00354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9A8C" w14:textId="77777777" w:rsidR="00354582" w:rsidRDefault="00354582" w:rsidP="00D16B1A">
      <w:pPr>
        <w:spacing w:after="0"/>
      </w:pPr>
      <w:r>
        <w:separator/>
      </w:r>
    </w:p>
  </w:footnote>
  <w:footnote w:type="continuationSeparator" w:id="0">
    <w:p w14:paraId="18F33CA9" w14:textId="77777777" w:rsidR="00354582" w:rsidRDefault="00354582" w:rsidP="00D16B1A">
      <w:pPr>
        <w:spacing w:after="0"/>
      </w:pPr>
      <w:r>
        <w:continuationSeparator/>
      </w:r>
    </w:p>
  </w:footnote>
  <w:footnote w:type="continuationNotice" w:id="1">
    <w:p w14:paraId="0CA6D57D" w14:textId="77777777" w:rsidR="00354582" w:rsidRDefault="00354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6"/>
  </w:num>
  <w:num w:numId="4">
    <w:abstractNumId w:val="7"/>
  </w:num>
  <w:num w:numId="5">
    <w:abstractNumId w:val="4"/>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1A"/>
    <w:rsid w:val="00005E9A"/>
    <w:rsid w:val="0001331C"/>
    <w:rsid w:val="00035765"/>
    <w:rsid w:val="00050FF2"/>
    <w:rsid w:val="000845A7"/>
    <w:rsid w:val="000B2E3D"/>
    <w:rsid w:val="000C79B7"/>
    <w:rsid w:val="000D5518"/>
    <w:rsid w:val="000D6DC6"/>
    <w:rsid w:val="000F78C2"/>
    <w:rsid w:val="00103966"/>
    <w:rsid w:val="001271BA"/>
    <w:rsid w:val="00180439"/>
    <w:rsid w:val="0018419B"/>
    <w:rsid w:val="00186D93"/>
    <w:rsid w:val="001C37AC"/>
    <w:rsid w:val="001C41A3"/>
    <w:rsid w:val="001D28A5"/>
    <w:rsid w:val="001E6260"/>
    <w:rsid w:val="001F0540"/>
    <w:rsid w:val="00232225"/>
    <w:rsid w:val="002514FB"/>
    <w:rsid w:val="00257F26"/>
    <w:rsid w:val="002960AA"/>
    <w:rsid w:val="002C3EDA"/>
    <w:rsid w:val="002D5CDA"/>
    <w:rsid w:val="002E1F51"/>
    <w:rsid w:val="002E4432"/>
    <w:rsid w:val="002E6C53"/>
    <w:rsid w:val="003166B5"/>
    <w:rsid w:val="003321D3"/>
    <w:rsid w:val="00337A0A"/>
    <w:rsid w:val="003403E2"/>
    <w:rsid w:val="00353B33"/>
    <w:rsid w:val="00354582"/>
    <w:rsid w:val="00382EAC"/>
    <w:rsid w:val="003A015F"/>
    <w:rsid w:val="003B33C1"/>
    <w:rsid w:val="003C0FC2"/>
    <w:rsid w:val="003C2F4E"/>
    <w:rsid w:val="003E627D"/>
    <w:rsid w:val="003F6FDC"/>
    <w:rsid w:val="00407583"/>
    <w:rsid w:val="00410599"/>
    <w:rsid w:val="00410752"/>
    <w:rsid w:val="004774D7"/>
    <w:rsid w:val="004832F2"/>
    <w:rsid w:val="00487E3B"/>
    <w:rsid w:val="00490CC8"/>
    <w:rsid w:val="004944D4"/>
    <w:rsid w:val="004D19D0"/>
    <w:rsid w:val="004D68B2"/>
    <w:rsid w:val="00513BC8"/>
    <w:rsid w:val="005213F7"/>
    <w:rsid w:val="00522C3E"/>
    <w:rsid w:val="00551653"/>
    <w:rsid w:val="00556C5D"/>
    <w:rsid w:val="005728A0"/>
    <w:rsid w:val="00586382"/>
    <w:rsid w:val="0059128F"/>
    <w:rsid w:val="005E3E4E"/>
    <w:rsid w:val="0060197E"/>
    <w:rsid w:val="00604535"/>
    <w:rsid w:val="006147F9"/>
    <w:rsid w:val="00670B7D"/>
    <w:rsid w:val="0068605F"/>
    <w:rsid w:val="006A34F0"/>
    <w:rsid w:val="006A59EA"/>
    <w:rsid w:val="006A5DD3"/>
    <w:rsid w:val="006D47CE"/>
    <w:rsid w:val="006D7A57"/>
    <w:rsid w:val="00707782"/>
    <w:rsid w:val="00774CCB"/>
    <w:rsid w:val="0079119F"/>
    <w:rsid w:val="00791598"/>
    <w:rsid w:val="007F480F"/>
    <w:rsid w:val="00807F9D"/>
    <w:rsid w:val="008539BD"/>
    <w:rsid w:val="00867631"/>
    <w:rsid w:val="00876F9F"/>
    <w:rsid w:val="00880576"/>
    <w:rsid w:val="00890B93"/>
    <w:rsid w:val="00891B5B"/>
    <w:rsid w:val="008C67F6"/>
    <w:rsid w:val="009028ED"/>
    <w:rsid w:val="00920259"/>
    <w:rsid w:val="00943A8E"/>
    <w:rsid w:val="009656D8"/>
    <w:rsid w:val="00984315"/>
    <w:rsid w:val="009B2BE7"/>
    <w:rsid w:val="009C1C49"/>
    <w:rsid w:val="009C21AE"/>
    <w:rsid w:val="009C3ADA"/>
    <w:rsid w:val="009D234D"/>
    <w:rsid w:val="009F371D"/>
    <w:rsid w:val="00A15708"/>
    <w:rsid w:val="00A15FCB"/>
    <w:rsid w:val="00A45E3D"/>
    <w:rsid w:val="00A64DC2"/>
    <w:rsid w:val="00A811E0"/>
    <w:rsid w:val="00AA37F8"/>
    <w:rsid w:val="00AB417A"/>
    <w:rsid w:val="00AC7A14"/>
    <w:rsid w:val="00AE793E"/>
    <w:rsid w:val="00B13DE1"/>
    <w:rsid w:val="00B41A14"/>
    <w:rsid w:val="00B65AC8"/>
    <w:rsid w:val="00B84AD1"/>
    <w:rsid w:val="00BB2EF6"/>
    <w:rsid w:val="00BB57E1"/>
    <w:rsid w:val="00C26A5A"/>
    <w:rsid w:val="00C35089"/>
    <w:rsid w:val="00C37E5E"/>
    <w:rsid w:val="00C43A1C"/>
    <w:rsid w:val="00C55B73"/>
    <w:rsid w:val="00CA409E"/>
    <w:rsid w:val="00D01F4A"/>
    <w:rsid w:val="00D0510B"/>
    <w:rsid w:val="00D16B1A"/>
    <w:rsid w:val="00D3106C"/>
    <w:rsid w:val="00D428D7"/>
    <w:rsid w:val="00D4584B"/>
    <w:rsid w:val="00D508A6"/>
    <w:rsid w:val="00D953C3"/>
    <w:rsid w:val="00DA7085"/>
    <w:rsid w:val="00DB222E"/>
    <w:rsid w:val="00DB2D63"/>
    <w:rsid w:val="00DB3CEB"/>
    <w:rsid w:val="00DF7B94"/>
    <w:rsid w:val="00E00028"/>
    <w:rsid w:val="00E00AEE"/>
    <w:rsid w:val="00E04287"/>
    <w:rsid w:val="00E17D8F"/>
    <w:rsid w:val="00E33531"/>
    <w:rsid w:val="00E47C91"/>
    <w:rsid w:val="00E5369E"/>
    <w:rsid w:val="00E548BA"/>
    <w:rsid w:val="00E84A59"/>
    <w:rsid w:val="00E91F31"/>
    <w:rsid w:val="00E925F0"/>
    <w:rsid w:val="00EC5F40"/>
    <w:rsid w:val="00ED03FE"/>
    <w:rsid w:val="00EE1EE3"/>
    <w:rsid w:val="00EE267E"/>
    <w:rsid w:val="00EF4D85"/>
    <w:rsid w:val="00F26FB0"/>
    <w:rsid w:val="00F320AC"/>
    <w:rsid w:val="00F60E9B"/>
    <w:rsid w:val="00F710AA"/>
    <w:rsid w:val="00F73F35"/>
    <w:rsid w:val="00FA112F"/>
    <w:rsid w:val="00FE1D9A"/>
    <w:rsid w:val="00FE1EA2"/>
    <w:rsid w:val="00FE60A2"/>
    <w:rsid w:val="00FF03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3BE6D"/>
  <w15:chartTrackingRefBased/>
  <w15:docId w15:val="{8F4D1CC0-0161-4A66-888F-95B9788A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B1A"/>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D16B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D16B1A"/>
    <w:pPr>
      <w:spacing w:before="180" w:after="180"/>
      <w:ind w:left="1134" w:hanging="1134"/>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7077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6B1A"/>
    <w:rPr>
      <w:rFonts w:ascii="Arial" w:eastAsia="SimSun" w:hAnsi="Arial" w:cs="Times New Roman"/>
      <w:sz w:val="32"/>
      <w:szCs w:val="20"/>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D16B1A"/>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D16B1A"/>
    <w:rPr>
      <w:rFonts w:eastAsiaTheme="minorEastAsia"/>
      <w:sz w:val="24"/>
      <w:szCs w:val="24"/>
      <w:lang w:val="fi-FI" w:eastAsia="zh-CN"/>
    </w:rPr>
  </w:style>
  <w:style w:type="character" w:styleId="Emphasis">
    <w:name w:val="Emphasis"/>
    <w:basedOn w:val="DefaultParagraphFont"/>
    <w:qFormat/>
    <w:rsid w:val="00D16B1A"/>
    <w:rPr>
      <w:i/>
      <w:iCs/>
    </w:rPr>
  </w:style>
  <w:style w:type="character" w:customStyle="1" w:styleId="Heading1Char">
    <w:name w:val="Heading 1 Char"/>
    <w:basedOn w:val="DefaultParagraphFont"/>
    <w:link w:val="Heading1"/>
    <w:uiPriority w:val="9"/>
    <w:rsid w:val="00D16B1A"/>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rsid w:val="00D953C3"/>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07782"/>
    <w:rPr>
      <w:rFonts w:asciiTheme="majorHAnsi" w:eastAsiaTheme="majorEastAsia" w:hAnsiTheme="majorHAnsi" w:cstheme="majorBidi"/>
      <w:color w:val="1F3763" w:themeColor="accent1" w:themeShade="7F"/>
      <w:sz w:val="24"/>
      <w:szCs w:val="24"/>
      <w:lang w:val="en-GB"/>
    </w:rPr>
  </w:style>
  <w:style w:type="paragraph" w:customStyle="1" w:styleId="Doc-text2">
    <w:name w:val="Doc-text2"/>
    <w:basedOn w:val="Normal"/>
    <w:link w:val="Doc-text2Char"/>
    <w:qFormat/>
    <w:rsid w:val="00F60E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E9B"/>
    <w:rPr>
      <w:rFonts w:ascii="Arial" w:eastAsia="MS Mincho" w:hAnsi="Arial" w:cs="Times New Roman"/>
      <w:sz w:val="20"/>
      <w:szCs w:val="24"/>
      <w:lang w:val="en-GB" w:eastAsia="en-GB"/>
    </w:rPr>
  </w:style>
  <w:style w:type="paragraph" w:customStyle="1" w:styleId="Doc-comment">
    <w:name w:val="Doc-comment"/>
    <w:basedOn w:val="Normal"/>
    <w:next w:val="Doc-text2"/>
    <w:qFormat/>
    <w:rsid w:val="00F60E9B"/>
    <w:pPr>
      <w:tabs>
        <w:tab w:val="left" w:pos="1622"/>
      </w:tabs>
      <w:spacing w:after="0"/>
      <w:ind w:left="1622" w:hanging="363"/>
    </w:pPr>
    <w:rPr>
      <w:rFonts w:ascii="Arial" w:eastAsia="MS Mincho" w:hAnsi="Arial"/>
      <w:i/>
      <w:szCs w:val="24"/>
      <w:lang w:eastAsia="en-GB"/>
    </w:rPr>
  </w:style>
  <w:style w:type="character" w:styleId="CommentReference">
    <w:name w:val="annotation reference"/>
    <w:basedOn w:val="DefaultParagraphFont"/>
    <w:uiPriority w:val="99"/>
    <w:semiHidden/>
    <w:unhideWhenUsed/>
    <w:rsid w:val="006147F9"/>
    <w:rPr>
      <w:sz w:val="16"/>
      <w:szCs w:val="16"/>
    </w:rPr>
  </w:style>
  <w:style w:type="paragraph" w:styleId="CommentText">
    <w:name w:val="annotation text"/>
    <w:basedOn w:val="Normal"/>
    <w:link w:val="CommentTextChar"/>
    <w:uiPriority w:val="99"/>
    <w:semiHidden/>
    <w:unhideWhenUsed/>
    <w:rsid w:val="006147F9"/>
  </w:style>
  <w:style w:type="character" w:customStyle="1" w:styleId="CommentTextChar">
    <w:name w:val="Comment Text Char"/>
    <w:basedOn w:val="DefaultParagraphFont"/>
    <w:link w:val="CommentText"/>
    <w:uiPriority w:val="99"/>
    <w:semiHidden/>
    <w:rsid w:val="006147F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147F9"/>
    <w:rPr>
      <w:b/>
      <w:bCs/>
    </w:rPr>
  </w:style>
  <w:style w:type="character" w:customStyle="1" w:styleId="CommentSubjectChar">
    <w:name w:val="Comment Subject Char"/>
    <w:basedOn w:val="CommentTextChar"/>
    <w:link w:val="CommentSubject"/>
    <w:uiPriority w:val="99"/>
    <w:semiHidden/>
    <w:rsid w:val="006147F9"/>
    <w:rPr>
      <w:rFonts w:ascii="Times New Roman" w:eastAsia="SimSun" w:hAnsi="Times New Roman" w:cs="Times New Roman"/>
      <w:b/>
      <w:bCs/>
      <w:sz w:val="20"/>
      <w:szCs w:val="20"/>
      <w:lang w:val="en-GB"/>
    </w:rPr>
  </w:style>
  <w:style w:type="character" w:styleId="UnresolvedMention">
    <w:name w:val="Unresolved Mention"/>
    <w:basedOn w:val="DefaultParagraphFont"/>
    <w:uiPriority w:val="99"/>
    <w:unhideWhenUsed/>
    <w:rsid w:val="0068605F"/>
    <w:rPr>
      <w:color w:val="605E5C"/>
      <w:shd w:val="clear" w:color="auto" w:fill="E1DFDD"/>
    </w:rPr>
  </w:style>
  <w:style w:type="character" w:styleId="Mention">
    <w:name w:val="Mention"/>
    <w:basedOn w:val="DefaultParagraphFont"/>
    <w:uiPriority w:val="99"/>
    <w:unhideWhenUsed/>
    <w:rsid w:val="0068605F"/>
    <w:rPr>
      <w:color w:val="2B579A"/>
      <w:shd w:val="clear" w:color="auto" w:fill="E1DFDD"/>
    </w:rPr>
  </w:style>
  <w:style w:type="paragraph" w:styleId="Header">
    <w:name w:val="header"/>
    <w:basedOn w:val="Normal"/>
    <w:link w:val="HeaderChar"/>
    <w:uiPriority w:val="99"/>
    <w:semiHidden/>
    <w:unhideWhenUsed/>
    <w:rsid w:val="00E47C91"/>
    <w:pPr>
      <w:tabs>
        <w:tab w:val="center" w:pos="4986"/>
        <w:tab w:val="right" w:pos="9972"/>
      </w:tabs>
      <w:spacing w:after="0"/>
    </w:pPr>
  </w:style>
  <w:style w:type="character" w:customStyle="1" w:styleId="HeaderChar">
    <w:name w:val="Header Char"/>
    <w:basedOn w:val="DefaultParagraphFont"/>
    <w:link w:val="Header"/>
    <w:uiPriority w:val="99"/>
    <w:semiHidden/>
    <w:rsid w:val="00CA409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E47C91"/>
    <w:pPr>
      <w:tabs>
        <w:tab w:val="center" w:pos="4986"/>
        <w:tab w:val="right" w:pos="9972"/>
      </w:tabs>
      <w:spacing w:after="0"/>
    </w:pPr>
  </w:style>
  <w:style w:type="character" w:customStyle="1" w:styleId="FooterChar">
    <w:name w:val="Footer Char"/>
    <w:basedOn w:val="DefaultParagraphFont"/>
    <w:link w:val="Footer"/>
    <w:uiPriority w:val="99"/>
    <w:semiHidden/>
    <w:rsid w:val="00CA409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5AIRPNAIUNRU-859666464-13364</_dlc_DocId>
    <_dlc_DocIdUrl xmlns="71c5aaf6-e6ce-465b-b873-5148d2a4c105">
      <Url>https://nokia.sharepoint.com/sites/c5g/e2earch/_layouts/15/DocIdRedir.aspx?ID=5AIRPNAIUNRU-859666464-13364</Url>
      <Description>5AIRPNAIUNRU-859666464-13364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59C374-C853-4BD0-8A19-391EE3BC8D8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FA8855B-2A08-427A-B510-A08C525D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49D87-E18E-496E-B536-0C06C93C1661}">
  <ds:schemaRefs>
    <ds:schemaRef ds:uri="Microsoft.SharePoint.Taxonomy.ContentTypeSync"/>
  </ds:schemaRefs>
</ds:datastoreItem>
</file>

<file path=customXml/itemProps4.xml><?xml version="1.0" encoding="utf-8"?>
<ds:datastoreItem xmlns:ds="http://schemas.openxmlformats.org/officeDocument/2006/customXml" ds:itemID="{24FA2BCE-508D-4933-A262-98A6E33395B6}">
  <ds:schemaRefs>
    <ds:schemaRef ds:uri="http://schemas.microsoft.com/sharepoint/events"/>
  </ds:schemaRefs>
</ds:datastoreItem>
</file>

<file path=customXml/itemProps5.xml><?xml version="1.0" encoding="utf-8"?>
<ds:datastoreItem xmlns:ds="http://schemas.openxmlformats.org/officeDocument/2006/customXml" ds:itemID="{7BB66931-C81E-45B8-B45F-4F1E036461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2373</Words>
  <Characters>13529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15871</CharactersWithSpaces>
  <SharedDoc>false</SharedDoc>
  <HLinks>
    <vt:vector size="12" baseType="variant">
      <vt:variant>
        <vt:i4>5242930</vt:i4>
      </vt:variant>
      <vt:variant>
        <vt:i4>3</vt:i4>
      </vt:variant>
      <vt:variant>
        <vt:i4>0</vt:i4>
      </vt:variant>
      <vt:variant>
        <vt:i4>5</vt:i4>
      </vt:variant>
      <vt:variant>
        <vt:lpwstr>mailto:mads.lauridsen@nokia.com</vt:lpwstr>
      </vt:variant>
      <vt:variant>
        <vt:lpwstr/>
      </vt:variant>
      <vt:variant>
        <vt:i4>1704063</vt:i4>
      </vt:variant>
      <vt:variant>
        <vt:i4>0</vt:i4>
      </vt:variant>
      <vt:variant>
        <vt:i4>0</vt:i4>
      </vt:variant>
      <vt:variant>
        <vt:i4>5</vt:i4>
      </vt:variant>
      <vt:variant>
        <vt:lpwstr>mailto:enric.juan@nokia.com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4</cp:revision>
  <dcterms:created xsi:type="dcterms:W3CDTF">2023-02-17T05:28:00Z</dcterms:created>
  <dcterms:modified xsi:type="dcterms:W3CDTF">2023-02-17T05:29:00Z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602f06f7-35bf-478c-bbcc-701e5e637a6d</vt:lpwstr>
  </property>
  <property fmtid="{D5CDD505-2E9C-101B-9397-08002B2CF9AE}" pid="3" name="ContentTypeId">
    <vt:lpwstr>0x01010054371E7EC0F13943B87F9D9F2BE005B3</vt:lpwstr>
  </property>
  <property fmtid="{D5CDD505-2E9C-101B-9397-08002B2CF9AE}" pid="4" name="_dlc_DocIdItemGuid">
    <vt:lpwstr>824133c1-7dce-4815-875e-d034670746df</vt:lpwstr>
  </property>
</Properties>
</file>