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CC097" w14:textId="7745FDCF" w:rsidR="00A2617F" w:rsidRDefault="00A2617F" w:rsidP="00A2617F">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w:t>
      </w:r>
      <w:r w:rsidR="00EF5CA5">
        <w:rPr>
          <w:rFonts w:eastAsia="SimSun" w:cs="Arial"/>
          <w:b/>
          <w:kern w:val="0"/>
          <w:sz w:val="28"/>
          <w:szCs w:val="28"/>
          <w:lang w:val="en-US" w:eastAsia="en-US"/>
        </w:rPr>
        <w:t>1</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366108" w:rsidRPr="00366108">
        <w:rPr>
          <w:rFonts w:eastAsia="SimSun" w:cs="Arial"/>
          <w:b/>
          <w:kern w:val="0"/>
          <w:sz w:val="28"/>
          <w:szCs w:val="28"/>
          <w:lang w:val="en-US" w:eastAsia="en-US"/>
        </w:rPr>
        <w:t>R2-2300560</w:t>
      </w:r>
    </w:p>
    <w:p w14:paraId="556BEADC" w14:textId="4FCEA5B3" w:rsidR="00034CF0" w:rsidRDefault="00EF5CA5" w:rsidP="00A2617F">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Athens</w:t>
      </w:r>
      <w:r w:rsidR="00A2617F" w:rsidRPr="001A2DFD">
        <w:rPr>
          <w:rFonts w:eastAsia="SimSun" w:cs="Arial"/>
          <w:b/>
          <w:kern w:val="0"/>
          <w:sz w:val="28"/>
          <w:szCs w:val="28"/>
          <w:lang w:val="en-US" w:eastAsia="en-US"/>
        </w:rPr>
        <w:t>,</w:t>
      </w:r>
      <w:r w:rsidR="00A2617F">
        <w:rPr>
          <w:rFonts w:eastAsia="SimSun" w:cs="Arial"/>
          <w:b/>
          <w:kern w:val="0"/>
          <w:sz w:val="28"/>
          <w:szCs w:val="28"/>
          <w:lang w:val="en-US" w:eastAsia="en-US"/>
        </w:rPr>
        <w:t xml:space="preserve"> </w:t>
      </w:r>
      <w:r w:rsidR="00366108">
        <w:rPr>
          <w:rFonts w:eastAsia="SimSun" w:cs="Arial"/>
          <w:b/>
          <w:kern w:val="0"/>
          <w:sz w:val="28"/>
          <w:szCs w:val="28"/>
          <w:lang w:val="en-US" w:eastAsia="en-US"/>
        </w:rPr>
        <w:t>GR, 27</w:t>
      </w:r>
      <w:r w:rsidR="00366108" w:rsidRPr="00366108">
        <w:rPr>
          <w:rFonts w:eastAsia="SimSun" w:cs="Arial"/>
          <w:b/>
          <w:kern w:val="0"/>
          <w:sz w:val="28"/>
          <w:szCs w:val="28"/>
          <w:vertAlign w:val="superscript"/>
          <w:lang w:val="en-US" w:eastAsia="en-US"/>
        </w:rPr>
        <w:t>th</w:t>
      </w:r>
      <w:r w:rsidR="00366108">
        <w:rPr>
          <w:rFonts w:eastAsia="SimSun" w:cs="Arial"/>
          <w:b/>
          <w:kern w:val="0"/>
          <w:sz w:val="28"/>
          <w:szCs w:val="28"/>
          <w:lang w:val="en-US" w:eastAsia="en-US"/>
        </w:rPr>
        <w:t xml:space="preserve"> Feb – 3</w:t>
      </w:r>
      <w:r w:rsidR="00366108" w:rsidRPr="00366108">
        <w:rPr>
          <w:rFonts w:eastAsia="SimSun" w:cs="Arial"/>
          <w:b/>
          <w:kern w:val="0"/>
          <w:sz w:val="28"/>
          <w:szCs w:val="28"/>
          <w:vertAlign w:val="superscript"/>
          <w:lang w:val="en-US" w:eastAsia="en-US"/>
        </w:rPr>
        <w:t>rd</w:t>
      </w:r>
      <w:r w:rsidR="00366108">
        <w:rPr>
          <w:rFonts w:eastAsia="SimSun" w:cs="Arial"/>
          <w:b/>
          <w:kern w:val="0"/>
          <w:sz w:val="28"/>
          <w:szCs w:val="28"/>
          <w:lang w:val="en-US" w:eastAsia="en-US"/>
        </w:rPr>
        <w:t xml:space="preserve"> Mar</w:t>
      </w:r>
      <w:r>
        <w:rPr>
          <w:rFonts w:eastAsia="SimSun" w:cs="Arial"/>
          <w:b/>
          <w:kern w:val="0"/>
          <w:sz w:val="28"/>
          <w:szCs w:val="28"/>
          <w:lang w:val="en-US" w:eastAsia="en-US"/>
        </w:rPr>
        <w:t xml:space="preserve"> 2023</w:t>
      </w:r>
      <w:r w:rsidR="00A2617F">
        <w:rPr>
          <w:rFonts w:eastAsia="SimSun" w:cs="Arial"/>
          <w:b/>
          <w:kern w:val="0"/>
          <w:sz w:val="28"/>
          <w:szCs w:val="28"/>
          <w:lang w:val="en-US" w:eastAsia="en-US"/>
        </w:rPr>
        <w:tab/>
      </w:r>
      <w:r w:rsidR="00C665F2">
        <w:rPr>
          <w:rFonts w:cs="Arial"/>
          <w:b/>
          <w:bCs/>
          <w:kern w:val="0"/>
          <w:sz w:val="28"/>
          <w:szCs w:val="28"/>
        </w:rPr>
        <w:tab/>
        <w:t xml:space="preserve">      </w:t>
      </w:r>
      <w:r w:rsidR="00C665F2">
        <w:rPr>
          <w:rFonts w:cs="Arial"/>
          <w:b/>
          <w:bCs/>
          <w:color w:val="D9D9D9" w:themeColor="background1" w:themeShade="D9"/>
          <w:kern w:val="0"/>
          <w:sz w:val="20"/>
          <w:szCs w:val="28"/>
        </w:rPr>
        <w:t xml:space="preserve">   </w:t>
      </w:r>
    </w:p>
    <w:p w14:paraId="281DEF7C" w14:textId="77777777" w:rsidR="00034CF0" w:rsidRDefault="00C665F2">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F7941AA" w14:textId="0533E4A7" w:rsidR="00034CF0" w:rsidRDefault="00C665F2">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EF5CA5">
        <w:rPr>
          <w:rFonts w:cs="Arial"/>
          <w:b/>
          <w:bCs/>
          <w:snapToGrid w:val="0"/>
          <w:kern w:val="0"/>
          <w:sz w:val="28"/>
          <w:szCs w:val="28"/>
        </w:rPr>
        <w:t>BSR enhancements for XR</w:t>
      </w:r>
      <w:r>
        <w:rPr>
          <w:rFonts w:cs="Arial"/>
          <w:b/>
          <w:bCs/>
          <w:snapToGrid w:val="0"/>
          <w:kern w:val="0"/>
          <w:sz w:val="28"/>
          <w:szCs w:val="28"/>
        </w:rPr>
        <w:t xml:space="preserve"> </w:t>
      </w:r>
    </w:p>
    <w:p w14:paraId="09D8D387" w14:textId="03F9D017" w:rsidR="00034CF0" w:rsidRDefault="00C665F2">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383924">
        <w:rPr>
          <w:rFonts w:cs="Arial"/>
          <w:b/>
          <w:bCs/>
          <w:snapToGrid w:val="0"/>
          <w:kern w:val="0"/>
          <w:sz w:val="28"/>
          <w:szCs w:val="28"/>
        </w:rPr>
        <w:t>8.5.4</w:t>
      </w:r>
    </w:p>
    <w:p w14:paraId="5E37A16E" w14:textId="77777777" w:rsidR="00034CF0" w:rsidRDefault="00C665F2">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738EC6E"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7DD2E7E9" w14:textId="4DFF9BAB" w:rsidR="00034CF0" w:rsidRDefault="00EF5CA5">
      <w:pPr>
        <w:pStyle w:val="NormalWeb"/>
        <w:spacing w:before="75" w:beforeAutospacing="0" w:after="75" w:afterAutospacing="0" w:line="315" w:lineRule="atLeast"/>
        <w:rPr>
          <w:rFonts w:cs="Arial"/>
          <w:color w:val="000000"/>
          <w:sz w:val="21"/>
        </w:rPr>
      </w:pPr>
      <w:r>
        <w:rPr>
          <w:rFonts w:cs="Arial"/>
          <w:color w:val="000000"/>
          <w:sz w:val="21"/>
        </w:rPr>
        <w:t xml:space="preserve">During the study item it was agreed that BSR enhancements including new BS Table(s) will benefit the capacity enhancements for XR. In this contribution, we study the potential BSR enhancements that seem promising. </w:t>
      </w:r>
      <w:r w:rsidR="00C665F2">
        <w:rPr>
          <w:rFonts w:cs="Arial"/>
          <w:color w:val="000000"/>
          <w:sz w:val="21"/>
        </w:rPr>
        <w:t xml:space="preserve"> </w:t>
      </w:r>
    </w:p>
    <w:p w14:paraId="67868ADE" w14:textId="44EEA7CC" w:rsidR="00034CF0" w:rsidRDefault="00EF5CA5">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BSR reporting</w:t>
      </w:r>
    </w:p>
    <w:p w14:paraId="0D8627FC" w14:textId="47B8FC53" w:rsidR="00EF5CA5" w:rsidRDefault="00EF5CA5" w:rsidP="00EF5CA5">
      <w:pPr>
        <w:pStyle w:val="NormalWeb"/>
        <w:spacing w:before="75" w:beforeAutospacing="0" w:after="75" w:afterAutospacing="0" w:line="315" w:lineRule="atLeast"/>
        <w:rPr>
          <w:rFonts w:cs="Arial"/>
          <w:color w:val="000000"/>
          <w:sz w:val="21"/>
        </w:rPr>
      </w:pPr>
      <w:r>
        <w:rPr>
          <w:rFonts w:cs="Arial"/>
          <w:color w:val="000000"/>
          <w:sz w:val="21"/>
        </w:rPr>
        <w:t>Currently BSR reporting uses either short BSR table or the long BSR table. The BSR values reported are quantized and the UE will have to report the code point representing the value just above the amount of buffered data in the UE buffer. Unfortunately, this results in over reporting of buffer status values</w:t>
      </w:r>
      <w:r w:rsidR="00EA2FB7">
        <w:rPr>
          <w:rFonts w:cs="Arial"/>
          <w:color w:val="000000"/>
          <w:sz w:val="21"/>
        </w:rPr>
        <w:t xml:space="preserve"> (referred to as the quantization error below)</w:t>
      </w:r>
      <w:r w:rsidR="00317602">
        <w:rPr>
          <w:rFonts w:cs="Arial"/>
          <w:color w:val="000000"/>
          <w:sz w:val="21"/>
        </w:rPr>
        <w:t xml:space="preserve"> </w:t>
      </w:r>
      <w:r>
        <w:rPr>
          <w:rFonts w:cs="Arial"/>
          <w:color w:val="000000"/>
          <w:sz w:val="21"/>
        </w:rPr>
        <w:t xml:space="preserve">and the issue is more critical at higher BSR values as shown below. </w:t>
      </w:r>
    </w:p>
    <w:tbl>
      <w:tblPr>
        <w:tblStyle w:val="TableGrid"/>
        <w:tblW w:w="0" w:type="auto"/>
        <w:tblLook w:val="04A0" w:firstRow="1" w:lastRow="0" w:firstColumn="1" w:lastColumn="0" w:noHBand="0" w:noVBand="1"/>
      </w:tblPr>
      <w:tblGrid>
        <w:gridCol w:w="4885"/>
        <w:gridCol w:w="4886"/>
      </w:tblGrid>
      <w:tr w:rsidR="004A05E7" w14:paraId="564EADC0" w14:textId="77777777" w:rsidTr="004A05E7">
        <w:tc>
          <w:tcPr>
            <w:tcW w:w="4885" w:type="dxa"/>
          </w:tcPr>
          <w:p w14:paraId="738168CF" w14:textId="09381021" w:rsidR="004A05E7" w:rsidRPr="004A05E7" w:rsidRDefault="004A05E7" w:rsidP="004A05E7">
            <w:pPr>
              <w:pStyle w:val="NormalWeb"/>
              <w:keepNext/>
              <w:spacing w:before="75" w:beforeAutospacing="0" w:after="75" w:afterAutospacing="0" w:line="315" w:lineRule="atLeast"/>
            </w:pPr>
            <w:r>
              <w:rPr>
                <w:noProof/>
              </w:rPr>
              <w:drawing>
                <wp:inline distT="0" distB="0" distL="0" distR="0" wp14:anchorId="32293FA7" wp14:editId="3803F6F2">
                  <wp:extent cx="2954741" cy="205720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9263" cy="2095160"/>
                          </a:xfrm>
                          <a:prstGeom prst="rect">
                            <a:avLst/>
                          </a:prstGeom>
                        </pic:spPr>
                      </pic:pic>
                    </a:graphicData>
                  </a:graphic>
                </wp:inline>
              </w:drawing>
            </w:r>
          </w:p>
        </w:tc>
        <w:tc>
          <w:tcPr>
            <w:tcW w:w="4886" w:type="dxa"/>
          </w:tcPr>
          <w:p w14:paraId="469ED498" w14:textId="352C1ACA" w:rsidR="004A05E7" w:rsidRDefault="004A05E7" w:rsidP="00EF5CA5">
            <w:pPr>
              <w:pStyle w:val="NormalWeb"/>
              <w:spacing w:before="75" w:beforeAutospacing="0" w:after="75" w:afterAutospacing="0" w:line="315" w:lineRule="atLeast"/>
              <w:rPr>
                <w:rFonts w:cs="Arial"/>
                <w:color w:val="000000"/>
                <w:sz w:val="21"/>
              </w:rPr>
            </w:pPr>
            <w:r>
              <w:rPr>
                <w:noProof/>
              </w:rPr>
              <w:drawing>
                <wp:inline distT="0" distB="0" distL="0" distR="0" wp14:anchorId="780C8AED" wp14:editId="2673C92C">
                  <wp:extent cx="2954117" cy="20567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73220" cy="2070065"/>
                          </a:xfrm>
                          <a:prstGeom prst="rect">
                            <a:avLst/>
                          </a:prstGeom>
                        </pic:spPr>
                      </pic:pic>
                    </a:graphicData>
                  </a:graphic>
                </wp:inline>
              </w:drawing>
            </w:r>
          </w:p>
        </w:tc>
      </w:tr>
      <w:tr w:rsidR="004A05E7" w14:paraId="1143B11C" w14:textId="77777777" w:rsidTr="00D52979">
        <w:tc>
          <w:tcPr>
            <w:tcW w:w="9771" w:type="dxa"/>
            <w:gridSpan w:val="2"/>
          </w:tcPr>
          <w:p w14:paraId="06193CF2" w14:textId="410A903C" w:rsidR="004A05E7" w:rsidRDefault="004A05E7" w:rsidP="004A05E7">
            <w:pPr>
              <w:pStyle w:val="Caption"/>
              <w:jc w:val="center"/>
              <w:rPr>
                <w:noProof/>
              </w:rPr>
            </w:pPr>
            <w:r>
              <w:t xml:space="preserve">Figure </w:t>
            </w:r>
            <w:fldSimple w:instr=" SEQ Figure \* ARABIC ">
              <w:r>
                <w:rPr>
                  <w:noProof/>
                </w:rPr>
                <w:t>1</w:t>
              </w:r>
            </w:fldSimple>
            <w:r>
              <w:t xml:space="preserve">: </w:t>
            </w:r>
            <w:r w:rsidR="00EA2FB7">
              <w:t>Quantization e</w:t>
            </w:r>
            <w:r>
              <w:t>rror</w:t>
            </w:r>
            <w:r w:rsidR="00B650C0">
              <w:t xml:space="preserve"> Values (i.e., amount of over reported buffer data)</w:t>
            </w:r>
            <w:r>
              <w:t xml:space="preserve"> with existing BSR tables</w:t>
            </w:r>
          </w:p>
        </w:tc>
      </w:tr>
    </w:tbl>
    <w:p w14:paraId="19D2080C" w14:textId="6860DF0E" w:rsidR="004A05E7" w:rsidRPr="004A05E7" w:rsidRDefault="004A05E7" w:rsidP="00EF5CA5">
      <w:pPr>
        <w:pStyle w:val="NormalWeb"/>
        <w:spacing w:before="75" w:beforeAutospacing="0" w:after="75" w:afterAutospacing="0" w:line="315" w:lineRule="atLeast"/>
        <w:rPr>
          <w:rFonts w:cs="Arial"/>
          <w:b/>
          <w:bCs/>
          <w:color w:val="000000"/>
          <w:sz w:val="21"/>
        </w:rPr>
      </w:pPr>
      <w:r w:rsidRPr="004A05E7">
        <w:rPr>
          <w:rFonts w:cs="Arial"/>
          <w:b/>
          <w:bCs/>
          <w:color w:val="000000"/>
          <w:sz w:val="21"/>
        </w:rPr>
        <w:t xml:space="preserve">Observation </w:t>
      </w:r>
      <w:r w:rsidR="0065784F">
        <w:rPr>
          <w:rFonts w:cs="Arial"/>
          <w:b/>
          <w:bCs/>
          <w:color w:val="000000"/>
          <w:sz w:val="21"/>
        </w:rPr>
        <w:t>1</w:t>
      </w:r>
      <w:r w:rsidRPr="004A05E7">
        <w:rPr>
          <w:rFonts w:cs="Arial"/>
          <w:b/>
          <w:bCs/>
          <w:color w:val="000000"/>
          <w:sz w:val="21"/>
        </w:rPr>
        <w:t xml:space="preserve">: The </w:t>
      </w:r>
      <w:r w:rsidR="00B650C0">
        <w:rPr>
          <w:rFonts w:cs="Arial"/>
          <w:b/>
          <w:bCs/>
          <w:color w:val="000000"/>
          <w:sz w:val="21"/>
        </w:rPr>
        <w:t>amount of over reported buffer data</w:t>
      </w:r>
      <w:r w:rsidR="00B650C0" w:rsidRPr="004A05E7">
        <w:rPr>
          <w:rFonts w:cs="Arial"/>
          <w:b/>
          <w:bCs/>
          <w:color w:val="000000"/>
          <w:sz w:val="21"/>
        </w:rPr>
        <w:t xml:space="preserve"> </w:t>
      </w:r>
      <w:r w:rsidR="00B650C0">
        <w:rPr>
          <w:rFonts w:cs="Arial"/>
          <w:b/>
          <w:bCs/>
          <w:color w:val="000000"/>
          <w:sz w:val="21"/>
        </w:rPr>
        <w:t>increases with</w:t>
      </w:r>
      <w:r w:rsidRPr="004A05E7">
        <w:rPr>
          <w:rFonts w:cs="Arial"/>
          <w:b/>
          <w:bCs/>
          <w:color w:val="000000"/>
          <w:sz w:val="21"/>
        </w:rPr>
        <w:t xml:space="preserve"> the higher BSR indices (i.e.</w:t>
      </w:r>
      <w:r w:rsidR="00B650C0">
        <w:rPr>
          <w:rFonts w:cs="Arial"/>
          <w:b/>
          <w:bCs/>
          <w:color w:val="000000"/>
          <w:sz w:val="21"/>
        </w:rPr>
        <w:t>,</w:t>
      </w:r>
      <w:r w:rsidRPr="004A05E7">
        <w:rPr>
          <w:rFonts w:cs="Arial"/>
          <w:b/>
          <w:bCs/>
          <w:color w:val="000000"/>
          <w:sz w:val="21"/>
        </w:rPr>
        <w:t xml:space="preserve"> </w:t>
      </w:r>
      <w:r w:rsidR="00B650C0">
        <w:rPr>
          <w:rFonts w:cs="Arial"/>
          <w:b/>
          <w:bCs/>
          <w:color w:val="000000"/>
          <w:sz w:val="21"/>
        </w:rPr>
        <w:t xml:space="preserve">the error is larger </w:t>
      </w:r>
      <w:r w:rsidRPr="004A05E7">
        <w:rPr>
          <w:rFonts w:cs="Arial"/>
          <w:b/>
          <w:bCs/>
          <w:color w:val="000000"/>
          <w:sz w:val="21"/>
        </w:rPr>
        <w:t xml:space="preserve">when there is </w:t>
      </w:r>
      <w:r w:rsidR="00317602">
        <w:rPr>
          <w:rFonts w:cs="Arial"/>
          <w:b/>
          <w:bCs/>
          <w:color w:val="000000"/>
          <w:sz w:val="21"/>
        </w:rPr>
        <w:t>large amount of</w:t>
      </w:r>
      <w:r w:rsidRPr="004A05E7">
        <w:rPr>
          <w:rFonts w:cs="Arial"/>
          <w:b/>
          <w:bCs/>
          <w:color w:val="000000"/>
          <w:sz w:val="21"/>
        </w:rPr>
        <w:t xml:space="preserve"> buffered data at the UE)</w:t>
      </w:r>
    </w:p>
    <w:p w14:paraId="61908DFD" w14:textId="675A0DC0" w:rsidR="004A05E7" w:rsidRDefault="004A05E7" w:rsidP="00EF5CA5">
      <w:pPr>
        <w:pStyle w:val="NormalWeb"/>
        <w:spacing w:before="75" w:beforeAutospacing="0" w:after="75" w:afterAutospacing="0" w:line="315" w:lineRule="atLeast"/>
        <w:rPr>
          <w:rFonts w:cs="Arial"/>
          <w:color w:val="000000"/>
          <w:sz w:val="21"/>
        </w:rPr>
      </w:pPr>
      <w:r>
        <w:rPr>
          <w:rFonts w:cs="Arial"/>
          <w:color w:val="000000"/>
          <w:sz w:val="21"/>
        </w:rPr>
        <w:t xml:space="preserve">Based on the above observation, we can conclude that the enhancement schemes should mainly target the higher </w:t>
      </w:r>
      <w:r w:rsidR="003A59B5">
        <w:rPr>
          <w:rFonts w:cs="Arial"/>
          <w:color w:val="000000"/>
          <w:sz w:val="21"/>
        </w:rPr>
        <w:t>BSR indices</w:t>
      </w:r>
      <w:r>
        <w:rPr>
          <w:rFonts w:cs="Arial"/>
          <w:color w:val="000000"/>
          <w:sz w:val="21"/>
        </w:rPr>
        <w:t xml:space="preserve"> (</w:t>
      </w:r>
      <w:r w:rsidR="003A59B5">
        <w:rPr>
          <w:rFonts w:cs="Arial"/>
          <w:color w:val="000000"/>
          <w:sz w:val="21"/>
        </w:rPr>
        <w:t>e.g</w:t>
      </w:r>
      <w:r>
        <w:rPr>
          <w:rFonts w:cs="Arial"/>
          <w:color w:val="000000"/>
          <w:sz w:val="21"/>
        </w:rPr>
        <w:t>.</w:t>
      </w:r>
      <w:r w:rsidR="00B650C0">
        <w:rPr>
          <w:rFonts w:cs="Arial"/>
          <w:color w:val="000000"/>
          <w:sz w:val="21"/>
        </w:rPr>
        <w:t>,</w:t>
      </w:r>
      <w:r>
        <w:rPr>
          <w:rFonts w:cs="Arial"/>
          <w:color w:val="000000"/>
          <w:sz w:val="21"/>
        </w:rPr>
        <w:t xml:space="preserve"> the buffer status values that are above BSR Index 150 or so in case of Long BSR</w:t>
      </w:r>
      <w:r w:rsidR="003A59B5">
        <w:rPr>
          <w:rFonts w:cs="Arial"/>
          <w:color w:val="000000"/>
          <w:sz w:val="21"/>
        </w:rPr>
        <w:t>)</w:t>
      </w:r>
      <w:r>
        <w:rPr>
          <w:rFonts w:cs="Arial"/>
          <w:color w:val="000000"/>
          <w:sz w:val="21"/>
        </w:rPr>
        <w:t xml:space="preserve">. </w:t>
      </w:r>
    </w:p>
    <w:p w14:paraId="25E8AEC6" w14:textId="6A85A404" w:rsidR="004A05E7" w:rsidRDefault="004A05E7" w:rsidP="00EF5CA5">
      <w:pPr>
        <w:pStyle w:val="NormalWeb"/>
        <w:spacing w:before="75" w:beforeAutospacing="0" w:after="75" w:afterAutospacing="0" w:line="315" w:lineRule="atLeast"/>
        <w:rPr>
          <w:rFonts w:cs="Arial"/>
          <w:color w:val="000000"/>
          <w:sz w:val="21"/>
        </w:rPr>
      </w:pPr>
    </w:p>
    <w:p w14:paraId="23F20F3D" w14:textId="4DF38EF3" w:rsidR="004A05E7" w:rsidRDefault="004A05E7" w:rsidP="00EF5CA5">
      <w:pPr>
        <w:pStyle w:val="NormalWeb"/>
        <w:spacing w:before="75" w:beforeAutospacing="0" w:after="75" w:afterAutospacing="0" w:line="315" w:lineRule="atLeast"/>
        <w:rPr>
          <w:rFonts w:cs="Arial"/>
          <w:color w:val="000000"/>
          <w:sz w:val="21"/>
        </w:rPr>
      </w:pPr>
      <w:r>
        <w:rPr>
          <w:rFonts w:cs="Arial"/>
          <w:color w:val="000000"/>
          <w:sz w:val="21"/>
        </w:rPr>
        <w:lastRenderedPageBreak/>
        <w:t>Then, one solution</w:t>
      </w:r>
      <w:r w:rsidR="00B650C0">
        <w:rPr>
          <w:rFonts w:cs="Arial"/>
          <w:color w:val="000000"/>
          <w:sz w:val="21"/>
        </w:rPr>
        <w:t xml:space="preserve"> to the above problem</w:t>
      </w:r>
      <w:r>
        <w:rPr>
          <w:rFonts w:cs="Arial"/>
          <w:color w:val="000000"/>
          <w:sz w:val="21"/>
        </w:rPr>
        <w:t xml:space="preserve"> is for the UE to include more than one BSR to reduce the quantization error. Together with the first BSR value, the additional BSR value (pointing to the same logical channel) would indicate the total buffered data volume for the corresponding logical channel. With just two BSR MAC CEs included, the quantization error can be reduced quite significantly and this is depicted in the figure below. </w:t>
      </w:r>
    </w:p>
    <w:tbl>
      <w:tblPr>
        <w:tblStyle w:val="TableGrid"/>
        <w:tblW w:w="0" w:type="auto"/>
        <w:tblLook w:val="04A0" w:firstRow="1" w:lastRow="0" w:firstColumn="1" w:lastColumn="0" w:noHBand="0" w:noVBand="1"/>
      </w:tblPr>
      <w:tblGrid>
        <w:gridCol w:w="4953"/>
        <w:gridCol w:w="4818"/>
      </w:tblGrid>
      <w:tr w:rsidR="00EA6498" w14:paraId="14EC5EBE" w14:textId="77777777" w:rsidTr="00EA6498">
        <w:tc>
          <w:tcPr>
            <w:tcW w:w="5240" w:type="dxa"/>
          </w:tcPr>
          <w:p w14:paraId="348EAD9F" w14:textId="01E7A40F" w:rsidR="00EA6498" w:rsidRDefault="00EA6498" w:rsidP="004A05E7">
            <w:pPr>
              <w:pStyle w:val="NormalWeb"/>
              <w:keepNext/>
              <w:spacing w:before="75" w:beforeAutospacing="0" w:after="75" w:afterAutospacing="0" w:line="315" w:lineRule="atLeast"/>
              <w:jc w:val="center"/>
            </w:pPr>
            <w:r>
              <w:rPr>
                <w:noProof/>
              </w:rPr>
              <w:drawing>
                <wp:inline distT="0" distB="0" distL="0" distR="0" wp14:anchorId="2E8D94DD" wp14:editId="62319781">
                  <wp:extent cx="2881223" cy="2106302"/>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98320" cy="2118801"/>
                          </a:xfrm>
                          <a:prstGeom prst="rect">
                            <a:avLst/>
                          </a:prstGeom>
                        </pic:spPr>
                      </pic:pic>
                    </a:graphicData>
                  </a:graphic>
                </wp:inline>
              </w:drawing>
            </w:r>
          </w:p>
        </w:tc>
        <w:tc>
          <w:tcPr>
            <w:tcW w:w="4531" w:type="dxa"/>
          </w:tcPr>
          <w:p w14:paraId="60A78028" w14:textId="6C570432" w:rsidR="00EA6498" w:rsidRDefault="00EA6498" w:rsidP="004A05E7">
            <w:pPr>
              <w:pStyle w:val="NormalWeb"/>
              <w:keepNext/>
              <w:spacing w:before="75" w:beforeAutospacing="0" w:after="75" w:afterAutospacing="0" w:line="315" w:lineRule="atLeast"/>
              <w:jc w:val="center"/>
            </w:pPr>
            <w:r>
              <w:rPr>
                <w:noProof/>
              </w:rPr>
              <w:drawing>
                <wp:inline distT="0" distB="0" distL="0" distR="0" wp14:anchorId="6148EBB2" wp14:editId="332EE0FD">
                  <wp:extent cx="2922677" cy="21396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98220" cy="2194972"/>
                          </a:xfrm>
                          <a:prstGeom prst="rect">
                            <a:avLst/>
                          </a:prstGeom>
                        </pic:spPr>
                      </pic:pic>
                    </a:graphicData>
                  </a:graphic>
                </wp:inline>
              </w:drawing>
            </w:r>
          </w:p>
        </w:tc>
      </w:tr>
    </w:tbl>
    <w:p w14:paraId="61727153" w14:textId="4E842AE1" w:rsidR="004A05E7" w:rsidRDefault="004A05E7" w:rsidP="004A05E7">
      <w:pPr>
        <w:pStyle w:val="Caption"/>
        <w:jc w:val="center"/>
        <w:rPr>
          <w:color w:val="000000"/>
          <w:sz w:val="21"/>
        </w:rPr>
      </w:pPr>
      <w:r>
        <w:t xml:space="preserve">Figure </w:t>
      </w:r>
      <w:fldSimple w:instr=" SEQ Figure \* ARABIC ">
        <w:r>
          <w:rPr>
            <w:noProof/>
          </w:rPr>
          <w:t>2</w:t>
        </w:r>
      </w:fldSimple>
      <w:r>
        <w:t>: Reduction in quantization error with two BSRs</w:t>
      </w:r>
    </w:p>
    <w:p w14:paraId="4AB5E12D" w14:textId="2247E7D6" w:rsidR="004A05E7" w:rsidRDefault="004A05E7" w:rsidP="004A05E7">
      <w:pPr>
        <w:pStyle w:val="NormalWeb"/>
        <w:spacing w:before="75" w:beforeAutospacing="0" w:after="75" w:afterAutospacing="0" w:line="315" w:lineRule="atLeast"/>
        <w:rPr>
          <w:rFonts w:cs="Arial"/>
          <w:b/>
          <w:bCs/>
          <w:color w:val="000000"/>
          <w:sz w:val="21"/>
        </w:rPr>
      </w:pPr>
      <w:r w:rsidRPr="004A05E7">
        <w:rPr>
          <w:rFonts w:cs="Arial"/>
          <w:b/>
          <w:bCs/>
          <w:color w:val="000000"/>
          <w:sz w:val="21"/>
        </w:rPr>
        <w:t xml:space="preserve">Observation </w:t>
      </w:r>
      <w:r w:rsidR="0065784F">
        <w:rPr>
          <w:rFonts w:cs="Arial"/>
          <w:b/>
          <w:bCs/>
          <w:color w:val="000000"/>
          <w:sz w:val="21"/>
        </w:rPr>
        <w:t>2</w:t>
      </w:r>
      <w:r w:rsidRPr="004A05E7">
        <w:rPr>
          <w:rFonts w:cs="Arial"/>
          <w:b/>
          <w:bCs/>
          <w:color w:val="000000"/>
          <w:sz w:val="21"/>
        </w:rPr>
        <w:t xml:space="preserve">: </w:t>
      </w:r>
      <w:r>
        <w:rPr>
          <w:rFonts w:cs="Arial"/>
          <w:b/>
          <w:bCs/>
          <w:color w:val="000000"/>
          <w:sz w:val="21"/>
        </w:rPr>
        <w:t xml:space="preserve">With just one additional BSR included for the same logical channel, the quantization error for BSR reporting is </w:t>
      </w:r>
      <w:r w:rsidR="0065784F">
        <w:rPr>
          <w:rFonts w:cs="Arial"/>
          <w:b/>
          <w:bCs/>
          <w:color w:val="000000"/>
          <w:sz w:val="21"/>
        </w:rPr>
        <w:t>significantly</w:t>
      </w:r>
      <w:r>
        <w:rPr>
          <w:rFonts w:cs="Arial"/>
          <w:b/>
          <w:bCs/>
          <w:color w:val="000000"/>
          <w:sz w:val="21"/>
        </w:rPr>
        <w:t xml:space="preserve"> reduced (even with existing BSR tables)</w:t>
      </w:r>
    </w:p>
    <w:p w14:paraId="434C7E00" w14:textId="7A341364" w:rsidR="00B3631B" w:rsidRDefault="00B3631B" w:rsidP="004A05E7">
      <w:pPr>
        <w:pStyle w:val="NormalWeb"/>
        <w:spacing w:before="75" w:beforeAutospacing="0" w:after="75" w:afterAutospacing="0" w:line="315" w:lineRule="atLeast"/>
        <w:rPr>
          <w:rFonts w:cs="Arial"/>
          <w:b/>
          <w:bCs/>
          <w:color w:val="000000"/>
          <w:sz w:val="21"/>
        </w:rPr>
      </w:pPr>
      <w:r>
        <w:rPr>
          <w:rFonts w:cs="Arial"/>
          <w:b/>
          <w:bCs/>
          <w:color w:val="000000"/>
          <w:sz w:val="21"/>
        </w:rPr>
        <w:t xml:space="preserve">Observation </w:t>
      </w:r>
      <w:r w:rsidR="0065784F">
        <w:rPr>
          <w:rFonts w:cs="Arial"/>
          <w:b/>
          <w:bCs/>
          <w:color w:val="000000"/>
          <w:sz w:val="21"/>
        </w:rPr>
        <w:t>3</w:t>
      </w:r>
      <w:r>
        <w:rPr>
          <w:rFonts w:cs="Arial"/>
          <w:b/>
          <w:bCs/>
          <w:color w:val="000000"/>
          <w:sz w:val="21"/>
        </w:rPr>
        <w:t>: The quantization error is fairly negligible at low values of BSR and hence the gains with the 2</w:t>
      </w:r>
      <w:r w:rsidRPr="00B3631B">
        <w:rPr>
          <w:rFonts w:cs="Arial"/>
          <w:b/>
          <w:bCs/>
          <w:color w:val="000000"/>
          <w:sz w:val="21"/>
          <w:vertAlign w:val="superscript"/>
        </w:rPr>
        <w:t>nd</w:t>
      </w:r>
      <w:r>
        <w:rPr>
          <w:rFonts w:cs="Arial"/>
          <w:b/>
          <w:bCs/>
          <w:color w:val="000000"/>
          <w:sz w:val="21"/>
        </w:rPr>
        <w:t xml:space="preserve"> BSR being included for such small BSR values is also negligible. </w:t>
      </w:r>
    </w:p>
    <w:p w14:paraId="0B79BDC0" w14:textId="4F6DCF64" w:rsidR="004A05E7" w:rsidRDefault="004A05E7" w:rsidP="004A05E7">
      <w:pPr>
        <w:pStyle w:val="NormalWeb"/>
        <w:spacing w:before="75" w:beforeAutospacing="0" w:after="75" w:afterAutospacing="0" w:line="315" w:lineRule="atLeast"/>
        <w:rPr>
          <w:rFonts w:cs="Arial"/>
          <w:color w:val="000000"/>
          <w:sz w:val="21"/>
        </w:rPr>
      </w:pPr>
      <w:r>
        <w:rPr>
          <w:rFonts w:cs="Arial"/>
          <w:color w:val="000000"/>
          <w:sz w:val="21"/>
        </w:rPr>
        <w:t xml:space="preserve">Based on the above, the following proposals are made: </w:t>
      </w:r>
    </w:p>
    <w:p w14:paraId="42BA0904" w14:textId="11004D9C" w:rsidR="004A05E7" w:rsidRPr="00A13FAE" w:rsidRDefault="004A05E7" w:rsidP="004A05E7">
      <w:pPr>
        <w:pStyle w:val="NormalWeb"/>
        <w:spacing w:before="75" w:beforeAutospacing="0" w:after="75" w:afterAutospacing="0" w:line="315" w:lineRule="atLeast"/>
        <w:rPr>
          <w:rFonts w:cs="Arial"/>
          <w:b/>
          <w:bCs/>
          <w:color w:val="000000"/>
          <w:sz w:val="21"/>
        </w:rPr>
      </w:pPr>
      <w:r w:rsidRPr="00A13FAE">
        <w:rPr>
          <w:rFonts w:cs="Arial"/>
          <w:b/>
          <w:bCs/>
          <w:color w:val="000000"/>
          <w:sz w:val="21"/>
        </w:rPr>
        <w:t xml:space="preserve">Proposal 1: RAN 2 should </w:t>
      </w:r>
      <w:r w:rsidR="0065784F">
        <w:rPr>
          <w:rFonts w:cs="Arial"/>
          <w:b/>
          <w:bCs/>
          <w:color w:val="000000"/>
          <w:sz w:val="21"/>
        </w:rPr>
        <w:t>define</w:t>
      </w:r>
      <w:r w:rsidRPr="00A13FAE">
        <w:rPr>
          <w:rFonts w:cs="Arial"/>
          <w:b/>
          <w:bCs/>
          <w:color w:val="000000"/>
          <w:sz w:val="21"/>
        </w:rPr>
        <w:t xml:space="preserve"> a mechanism where the UE </w:t>
      </w:r>
      <w:r w:rsidR="00B3631B">
        <w:rPr>
          <w:rFonts w:cs="Arial"/>
          <w:b/>
          <w:bCs/>
          <w:color w:val="000000"/>
          <w:sz w:val="21"/>
        </w:rPr>
        <w:t>may</w:t>
      </w:r>
      <w:r w:rsidRPr="00A13FAE">
        <w:rPr>
          <w:rFonts w:cs="Arial"/>
          <w:b/>
          <w:bCs/>
          <w:color w:val="000000"/>
          <w:sz w:val="21"/>
        </w:rPr>
        <w:t xml:space="preserve"> include </w:t>
      </w:r>
      <w:r w:rsidR="0065784F">
        <w:rPr>
          <w:rFonts w:cs="Arial"/>
          <w:b/>
          <w:bCs/>
          <w:color w:val="000000"/>
          <w:sz w:val="21"/>
        </w:rPr>
        <w:t>2</w:t>
      </w:r>
      <w:r w:rsidRPr="00A13FAE">
        <w:rPr>
          <w:rFonts w:cs="Arial"/>
          <w:b/>
          <w:bCs/>
          <w:color w:val="000000"/>
          <w:sz w:val="21"/>
        </w:rPr>
        <w:t xml:space="preserve"> BSRs</w:t>
      </w:r>
      <w:r w:rsidR="00B3631B">
        <w:rPr>
          <w:rFonts w:cs="Arial"/>
          <w:b/>
          <w:bCs/>
          <w:color w:val="000000"/>
          <w:sz w:val="21"/>
        </w:rPr>
        <w:t xml:space="preserve"> </w:t>
      </w:r>
      <w:r w:rsidRPr="00A13FAE">
        <w:rPr>
          <w:rFonts w:cs="Arial"/>
          <w:b/>
          <w:bCs/>
          <w:color w:val="000000"/>
          <w:sz w:val="21"/>
        </w:rPr>
        <w:t>for the same logical channel to minimize the quantization errors for the BSR</w:t>
      </w:r>
      <w:r w:rsidR="0001602E" w:rsidRPr="00A13FAE">
        <w:rPr>
          <w:rFonts w:cs="Arial"/>
          <w:b/>
          <w:bCs/>
          <w:color w:val="000000"/>
          <w:sz w:val="21"/>
        </w:rPr>
        <w:t xml:space="preserve"> reporting</w:t>
      </w:r>
    </w:p>
    <w:p w14:paraId="4C877AE8" w14:textId="33D5DC41" w:rsidR="0001602E" w:rsidRPr="00A13FAE" w:rsidRDefault="0001602E" w:rsidP="004A05E7">
      <w:pPr>
        <w:pStyle w:val="NormalWeb"/>
        <w:spacing w:before="75" w:beforeAutospacing="0" w:after="75" w:afterAutospacing="0" w:line="315" w:lineRule="atLeast"/>
        <w:rPr>
          <w:rFonts w:cs="Arial"/>
          <w:b/>
          <w:bCs/>
          <w:color w:val="000000"/>
          <w:sz w:val="21"/>
        </w:rPr>
      </w:pPr>
      <w:r w:rsidRPr="00294A68">
        <w:rPr>
          <w:rFonts w:cs="Arial"/>
          <w:b/>
          <w:bCs/>
          <w:color w:val="000000"/>
          <w:sz w:val="21"/>
        </w:rPr>
        <w:t>Proposal 2: The UE should include the 2</w:t>
      </w:r>
      <w:r w:rsidRPr="00294A68">
        <w:rPr>
          <w:rFonts w:cs="Arial"/>
          <w:b/>
          <w:bCs/>
          <w:color w:val="000000"/>
          <w:sz w:val="21"/>
          <w:vertAlign w:val="superscript"/>
        </w:rPr>
        <w:t>nd</w:t>
      </w:r>
      <w:r w:rsidRPr="00294A68">
        <w:rPr>
          <w:rFonts w:cs="Arial"/>
          <w:b/>
          <w:bCs/>
          <w:color w:val="000000"/>
          <w:sz w:val="21"/>
        </w:rPr>
        <w:t xml:space="preserve"> BSR only if the quantization error is larger than a threshold </w:t>
      </w:r>
      <w:r w:rsidR="00CE0D3E" w:rsidRPr="00294A68">
        <w:rPr>
          <w:rFonts w:cs="Arial"/>
          <w:b/>
          <w:bCs/>
          <w:color w:val="000000"/>
          <w:sz w:val="21"/>
        </w:rPr>
        <w:t>that is configured by the network</w:t>
      </w:r>
    </w:p>
    <w:p w14:paraId="0E9CE4CA" w14:textId="7711FAFA" w:rsidR="00B57665" w:rsidRDefault="00B57665" w:rsidP="00B57665">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0F964F70" w14:textId="77777777" w:rsidR="00EA2FB7" w:rsidRPr="004A05E7" w:rsidRDefault="00EA2FB7" w:rsidP="00EA2FB7">
      <w:pPr>
        <w:pStyle w:val="NormalWeb"/>
        <w:spacing w:before="75" w:beforeAutospacing="0" w:after="75" w:afterAutospacing="0" w:line="315" w:lineRule="atLeast"/>
        <w:rPr>
          <w:rFonts w:cs="Arial"/>
          <w:b/>
          <w:bCs/>
          <w:color w:val="000000"/>
          <w:sz w:val="21"/>
        </w:rPr>
      </w:pPr>
      <w:bookmarkStart w:id="6" w:name="_Toc18404543"/>
      <w:bookmarkStart w:id="7" w:name="_Toc18413612"/>
      <w:bookmarkStart w:id="8" w:name="_Toc18403976"/>
      <w:r w:rsidRPr="004A05E7">
        <w:rPr>
          <w:rFonts w:cs="Arial"/>
          <w:b/>
          <w:bCs/>
          <w:color w:val="000000"/>
          <w:sz w:val="21"/>
        </w:rPr>
        <w:t xml:space="preserve">Observation </w:t>
      </w:r>
      <w:r>
        <w:rPr>
          <w:rFonts w:cs="Arial"/>
          <w:b/>
          <w:bCs/>
          <w:color w:val="000000"/>
          <w:sz w:val="21"/>
        </w:rPr>
        <w:t>1</w:t>
      </w:r>
      <w:r w:rsidRPr="004A05E7">
        <w:rPr>
          <w:rFonts w:cs="Arial"/>
          <w:b/>
          <w:bCs/>
          <w:color w:val="000000"/>
          <w:sz w:val="21"/>
        </w:rPr>
        <w:t xml:space="preserve">: The </w:t>
      </w:r>
      <w:r>
        <w:rPr>
          <w:rFonts w:cs="Arial"/>
          <w:b/>
          <w:bCs/>
          <w:color w:val="000000"/>
          <w:sz w:val="21"/>
        </w:rPr>
        <w:t>amount of over reported buffer data</w:t>
      </w:r>
      <w:r w:rsidRPr="004A05E7">
        <w:rPr>
          <w:rFonts w:cs="Arial"/>
          <w:b/>
          <w:bCs/>
          <w:color w:val="000000"/>
          <w:sz w:val="21"/>
        </w:rPr>
        <w:t xml:space="preserve"> </w:t>
      </w:r>
      <w:r>
        <w:rPr>
          <w:rFonts w:cs="Arial"/>
          <w:b/>
          <w:bCs/>
          <w:color w:val="000000"/>
          <w:sz w:val="21"/>
        </w:rPr>
        <w:t>increases with</w:t>
      </w:r>
      <w:r w:rsidRPr="004A05E7">
        <w:rPr>
          <w:rFonts w:cs="Arial"/>
          <w:b/>
          <w:bCs/>
          <w:color w:val="000000"/>
          <w:sz w:val="21"/>
        </w:rPr>
        <w:t xml:space="preserve"> the higher BSR indices (i.e.</w:t>
      </w:r>
      <w:r>
        <w:rPr>
          <w:rFonts w:cs="Arial"/>
          <w:b/>
          <w:bCs/>
          <w:color w:val="000000"/>
          <w:sz w:val="21"/>
        </w:rPr>
        <w:t>,</w:t>
      </w:r>
      <w:r w:rsidRPr="004A05E7">
        <w:rPr>
          <w:rFonts w:cs="Arial"/>
          <w:b/>
          <w:bCs/>
          <w:color w:val="000000"/>
          <w:sz w:val="21"/>
        </w:rPr>
        <w:t xml:space="preserve"> </w:t>
      </w:r>
      <w:r>
        <w:rPr>
          <w:rFonts w:cs="Arial"/>
          <w:b/>
          <w:bCs/>
          <w:color w:val="000000"/>
          <w:sz w:val="21"/>
        </w:rPr>
        <w:t xml:space="preserve">the error is larger </w:t>
      </w:r>
      <w:r w:rsidRPr="004A05E7">
        <w:rPr>
          <w:rFonts w:cs="Arial"/>
          <w:b/>
          <w:bCs/>
          <w:color w:val="000000"/>
          <w:sz w:val="21"/>
        </w:rPr>
        <w:t xml:space="preserve">when there is </w:t>
      </w:r>
      <w:r>
        <w:rPr>
          <w:rFonts w:cs="Arial"/>
          <w:b/>
          <w:bCs/>
          <w:color w:val="000000"/>
          <w:sz w:val="21"/>
        </w:rPr>
        <w:t>large amount of</w:t>
      </w:r>
      <w:r w:rsidRPr="004A05E7">
        <w:rPr>
          <w:rFonts w:cs="Arial"/>
          <w:b/>
          <w:bCs/>
          <w:color w:val="000000"/>
          <w:sz w:val="21"/>
        </w:rPr>
        <w:t xml:space="preserve"> buffered data at the UE)</w:t>
      </w:r>
    </w:p>
    <w:p w14:paraId="147245A6" w14:textId="77777777" w:rsidR="00EA2FB7" w:rsidRDefault="00EA2FB7" w:rsidP="00EA2FB7">
      <w:pPr>
        <w:pStyle w:val="NormalWeb"/>
        <w:spacing w:before="75" w:beforeAutospacing="0" w:after="75" w:afterAutospacing="0" w:line="315" w:lineRule="atLeast"/>
        <w:rPr>
          <w:rFonts w:cs="Arial"/>
          <w:b/>
          <w:bCs/>
          <w:color w:val="000000"/>
          <w:sz w:val="21"/>
        </w:rPr>
      </w:pPr>
      <w:r w:rsidRPr="004A05E7">
        <w:rPr>
          <w:rFonts w:cs="Arial"/>
          <w:b/>
          <w:bCs/>
          <w:color w:val="000000"/>
          <w:sz w:val="21"/>
        </w:rPr>
        <w:t xml:space="preserve">Observation </w:t>
      </w:r>
      <w:r>
        <w:rPr>
          <w:rFonts w:cs="Arial"/>
          <w:b/>
          <w:bCs/>
          <w:color w:val="000000"/>
          <w:sz w:val="21"/>
        </w:rPr>
        <w:t>2</w:t>
      </w:r>
      <w:r w:rsidRPr="004A05E7">
        <w:rPr>
          <w:rFonts w:cs="Arial"/>
          <w:b/>
          <w:bCs/>
          <w:color w:val="000000"/>
          <w:sz w:val="21"/>
        </w:rPr>
        <w:t xml:space="preserve">: </w:t>
      </w:r>
      <w:r>
        <w:rPr>
          <w:rFonts w:cs="Arial"/>
          <w:b/>
          <w:bCs/>
          <w:color w:val="000000"/>
          <w:sz w:val="21"/>
        </w:rPr>
        <w:t>With just one additional BSR included for the same logical channel, the quantization error for BSR reporting is significantly reduced (even with existing BSR tables)</w:t>
      </w:r>
    </w:p>
    <w:p w14:paraId="7EE6A022" w14:textId="77777777" w:rsidR="00EA2FB7" w:rsidRDefault="00EA2FB7" w:rsidP="00EA2FB7">
      <w:pPr>
        <w:pStyle w:val="NormalWeb"/>
        <w:spacing w:before="75" w:beforeAutospacing="0" w:after="75" w:afterAutospacing="0" w:line="315" w:lineRule="atLeast"/>
        <w:rPr>
          <w:rFonts w:cs="Arial"/>
          <w:b/>
          <w:bCs/>
          <w:color w:val="000000"/>
          <w:sz w:val="21"/>
        </w:rPr>
      </w:pPr>
      <w:r>
        <w:rPr>
          <w:rFonts w:cs="Arial"/>
          <w:b/>
          <w:bCs/>
          <w:color w:val="000000"/>
          <w:sz w:val="21"/>
        </w:rPr>
        <w:t>Observation 3: The quantization error is fairly negligible at low values of BSR and hence the gains with the 2</w:t>
      </w:r>
      <w:r w:rsidRPr="00B3631B">
        <w:rPr>
          <w:rFonts w:cs="Arial"/>
          <w:b/>
          <w:bCs/>
          <w:color w:val="000000"/>
          <w:sz w:val="21"/>
          <w:vertAlign w:val="superscript"/>
        </w:rPr>
        <w:t>nd</w:t>
      </w:r>
      <w:r>
        <w:rPr>
          <w:rFonts w:cs="Arial"/>
          <w:b/>
          <w:bCs/>
          <w:color w:val="000000"/>
          <w:sz w:val="21"/>
        </w:rPr>
        <w:t xml:space="preserve"> BSR being included for such small BSR values is also negligible. </w:t>
      </w:r>
    </w:p>
    <w:p w14:paraId="709A2658" w14:textId="77777777" w:rsidR="00EA2FB7" w:rsidRPr="00A13FAE" w:rsidRDefault="00EA2FB7" w:rsidP="00EA2FB7">
      <w:pPr>
        <w:pStyle w:val="NormalWeb"/>
        <w:spacing w:before="75" w:beforeAutospacing="0" w:after="75" w:afterAutospacing="0" w:line="315" w:lineRule="atLeast"/>
        <w:rPr>
          <w:rFonts w:cs="Arial"/>
          <w:b/>
          <w:bCs/>
          <w:color w:val="000000"/>
          <w:sz w:val="21"/>
        </w:rPr>
      </w:pPr>
      <w:r w:rsidRPr="00A13FAE">
        <w:rPr>
          <w:rFonts w:cs="Arial"/>
          <w:b/>
          <w:bCs/>
          <w:color w:val="000000"/>
          <w:sz w:val="21"/>
        </w:rPr>
        <w:t xml:space="preserve">Proposal 1: RAN 2 should </w:t>
      </w:r>
      <w:r>
        <w:rPr>
          <w:rFonts w:cs="Arial"/>
          <w:b/>
          <w:bCs/>
          <w:color w:val="000000"/>
          <w:sz w:val="21"/>
        </w:rPr>
        <w:t>define</w:t>
      </w:r>
      <w:r w:rsidRPr="00A13FAE">
        <w:rPr>
          <w:rFonts w:cs="Arial"/>
          <w:b/>
          <w:bCs/>
          <w:color w:val="000000"/>
          <w:sz w:val="21"/>
        </w:rPr>
        <w:t xml:space="preserve"> a mechanism where the UE </w:t>
      </w:r>
      <w:r>
        <w:rPr>
          <w:rFonts w:cs="Arial"/>
          <w:b/>
          <w:bCs/>
          <w:color w:val="000000"/>
          <w:sz w:val="21"/>
        </w:rPr>
        <w:t>may</w:t>
      </w:r>
      <w:r w:rsidRPr="00A13FAE">
        <w:rPr>
          <w:rFonts w:cs="Arial"/>
          <w:b/>
          <w:bCs/>
          <w:color w:val="000000"/>
          <w:sz w:val="21"/>
        </w:rPr>
        <w:t xml:space="preserve"> include </w:t>
      </w:r>
      <w:r>
        <w:rPr>
          <w:rFonts w:cs="Arial"/>
          <w:b/>
          <w:bCs/>
          <w:color w:val="000000"/>
          <w:sz w:val="21"/>
        </w:rPr>
        <w:t>2</w:t>
      </w:r>
      <w:r w:rsidRPr="00A13FAE">
        <w:rPr>
          <w:rFonts w:cs="Arial"/>
          <w:b/>
          <w:bCs/>
          <w:color w:val="000000"/>
          <w:sz w:val="21"/>
        </w:rPr>
        <w:t xml:space="preserve"> BSRs</w:t>
      </w:r>
      <w:r>
        <w:rPr>
          <w:rFonts w:cs="Arial"/>
          <w:b/>
          <w:bCs/>
          <w:color w:val="000000"/>
          <w:sz w:val="21"/>
        </w:rPr>
        <w:t xml:space="preserve"> </w:t>
      </w:r>
      <w:r w:rsidRPr="00A13FAE">
        <w:rPr>
          <w:rFonts w:cs="Arial"/>
          <w:b/>
          <w:bCs/>
          <w:color w:val="000000"/>
          <w:sz w:val="21"/>
        </w:rPr>
        <w:t>for the same logical channel to minimize the quantization errors for the BSR reporting</w:t>
      </w:r>
    </w:p>
    <w:p w14:paraId="64BDF0AF" w14:textId="77777777" w:rsidR="00EA2FB7" w:rsidRPr="00A13FAE" w:rsidRDefault="00EA2FB7" w:rsidP="00EA2FB7">
      <w:pPr>
        <w:pStyle w:val="NormalWeb"/>
        <w:spacing w:before="75" w:beforeAutospacing="0" w:after="75" w:afterAutospacing="0" w:line="315" w:lineRule="atLeast"/>
        <w:rPr>
          <w:rFonts w:cs="Arial"/>
          <w:b/>
          <w:bCs/>
          <w:color w:val="000000"/>
          <w:sz w:val="21"/>
        </w:rPr>
      </w:pPr>
      <w:r w:rsidRPr="00294A68">
        <w:rPr>
          <w:rFonts w:cs="Arial"/>
          <w:b/>
          <w:bCs/>
          <w:color w:val="000000"/>
          <w:sz w:val="21"/>
        </w:rPr>
        <w:t>Proposal 2: The UE should include the 2</w:t>
      </w:r>
      <w:r w:rsidRPr="00294A68">
        <w:rPr>
          <w:rFonts w:cs="Arial"/>
          <w:b/>
          <w:bCs/>
          <w:color w:val="000000"/>
          <w:sz w:val="21"/>
          <w:vertAlign w:val="superscript"/>
        </w:rPr>
        <w:t>nd</w:t>
      </w:r>
      <w:r w:rsidRPr="00294A68">
        <w:rPr>
          <w:rFonts w:cs="Arial"/>
          <w:b/>
          <w:bCs/>
          <w:color w:val="000000"/>
          <w:sz w:val="21"/>
        </w:rPr>
        <w:t xml:space="preserve"> BSR only if the quantization error is larger than a threshold that is configured by the network</w:t>
      </w:r>
    </w:p>
    <w:p w14:paraId="6BF7D3D7"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References</w:t>
      </w:r>
      <w:bookmarkEnd w:id="6"/>
      <w:bookmarkEnd w:id="7"/>
      <w:bookmarkEnd w:id="8"/>
    </w:p>
    <w:p w14:paraId="5A02798B" w14:textId="296E027C" w:rsidR="00034CF0" w:rsidRDefault="00830C96">
      <w:pPr>
        <w:pStyle w:val="NormalWeb"/>
        <w:spacing w:before="75" w:beforeAutospacing="0" w:after="75" w:afterAutospacing="0" w:line="315" w:lineRule="atLeast"/>
        <w:rPr>
          <w:rFonts w:cs="Arial"/>
          <w:color w:val="000000"/>
          <w:sz w:val="21"/>
        </w:rPr>
      </w:pPr>
      <w:r>
        <w:rPr>
          <w:rFonts w:cs="Arial"/>
          <w:color w:val="000000"/>
          <w:sz w:val="21"/>
        </w:rPr>
        <w:t>[1] xxx</w:t>
      </w:r>
    </w:p>
    <w:p w14:paraId="7C622702" w14:textId="77777777" w:rsidR="00830C96" w:rsidRDefault="00830C96">
      <w:pPr>
        <w:pStyle w:val="NormalWeb"/>
        <w:spacing w:before="75" w:beforeAutospacing="0" w:after="75" w:afterAutospacing="0" w:line="315" w:lineRule="atLeast"/>
        <w:rPr>
          <w:rFonts w:cs="Arial"/>
          <w:color w:val="000000"/>
          <w:sz w:val="21"/>
        </w:rPr>
      </w:pPr>
    </w:p>
    <w:sectPr w:rsidR="00830C96">
      <w:headerReference w:type="even" r:id="rId13"/>
      <w:headerReference w:type="default" r:id="rId14"/>
      <w:footerReference w:type="even" r:id="rId15"/>
      <w:footerReference w:type="default" r:id="rId16"/>
      <w:headerReference w:type="first" r:id="rId17"/>
      <w:footerReference w:type="first" r:id="rId18"/>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97EEE" w14:textId="77777777" w:rsidR="001530A1" w:rsidRDefault="001530A1">
      <w:pPr>
        <w:spacing w:after="0" w:line="240" w:lineRule="auto"/>
      </w:pPr>
      <w:r>
        <w:separator/>
      </w:r>
    </w:p>
  </w:endnote>
  <w:endnote w:type="continuationSeparator" w:id="0">
    <w:p w14:paraId="281F4B19" w14:textId="77777777" w:rsidR="001530A1" w:rsidRDefault="00153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EC68C" w14:textId="77777777" w:rsidR="00034CF0" w:rsidRDefault="00C665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E3A2C8" w14:textId="77777777" w:rsidR="00034CF0" w:rsidRDefault="00034C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C0955" w14:textId="77777777" w:rsidR="00034CF0" w:rsidRDefault="00034CF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1C58E" w14:textId="77777777" w:rsidR="00366108" w:rsidRDefault="003661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75F2C" w14:textId="77777777" w:rsidR="001530A1" w:rsidRDefault="001530A1">
      <w:pPr>
        <w:spacing w:after="0" w:line="240" w:lineRule="auto"/>
      </w:pPr>
      <w:r>
        <w:separator/>
      </w:r>
    </w:p>
  </w:footnote>
  <w:footnote w:type="continuationSeparator" w:id="0">
    <w:p w14:paraId="3BEC7F2C" w14:textId="77777777" w:rsidR="001530A1" w:rsidRDefault="001530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3F69" w14:textId="77777777" w:rsidR="00366108" w:rsidRDefault="003661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0591" w14:textId="77777777" w:rsidR="00034CF0" w:rsidRDefault="00034CF0">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664B" w14:textId="77777777" w:rsidR="00366108" w:rsidRDefault="00366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96D8CD"/>
    <w:multiLevelType w:val="singleLevel"/>
    <w:tmpl w:val="DB96D8C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41211D"/>
    <w:multiLevelType w:val="hybridMultilevel"/>
    <w:tmpl w:val="821498E2"/>
    <w:lvl w:ilvl="0" w:tplc="B6FEE2EE">
      <w:start w:val="6"/>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4D448F3"/>
    <w:multiLevelType w:val="multilevel"/>
    <w:tmpl w:val="14D448F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C062BA5"/>
    <w:multiLevelType w:val="hybridMultilevel"/>
    <w:tmpl w:val="6AEA0C8E"/>
    <w:lvl w:ilvl="0" w:tplc="20D03262">
      <w:start w:val="15"/>
      <w:numFmt w:val="bullet"/>
      <w:lvlText w:val="-"/>
      <w:lvlJc w:val="left"/>
      <w:pPr>
        <w:ind w:left="360" w:hanging="360"/>
      </w:pPr>
      <w:rPr>
        <w:rFonts w:ascii="Arial" w:eastAsia="Malgun Gothic"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EAAA388"/>
    <w:multiLevelType w:val="singleLevel"/>
    <w:tmpl w:val="2EAAA388"/>
    <w:lvl w:ilvl="0">
      <w:start w:val="1"/>
      <w:numFmt w:val="bullet"/>
      <w:lvlText w:val=""/>
      <w:lvlJc w:val="left"/>
      <w:pPr>
        <w:ind w:left="420" w:hanging="420"/>
      </w:pPr>
      <w:rPr>
        <w:rFonts w:ascii="Wingdings" w:hAnsi="Wingdings" w:hint="default"/>
      </w:r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DCF7DCF"/>
    <w:multiLevelType w:val="multilevel"/>
    <w:tmpl w:val="3DCF7DCF"/>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6EA0993"/>
    <w:multiLevelType w:val="hybridMultilevel"/>
    <w:tmpl w:val="7E365010"/>
    <w:lvl w:ilvl="0" w:tplc="58D6A294">
      <w:start w:val="1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2F74BE"/>
    <w:multiLevelType w:val="hybridMultilevel"/>
    <w:tmpl w:val="E5EE91C4"/>
    <w:lvl w:ilvl="0" w:tplc="CC4070DA">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1B0E08"/>
    <w:multiLevelType w:val="hybridMultilevel"/>
    <w:tmpl w:val="41F2596E"/>
    <w:lvl w:ilvl="0" w:tplc="DF08D8B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159790">
    <w:abstractNumId w:val="1"/>
  </w:num>
  <w:num w:numId="2" w16cid:durableId="1816410524">
    <w:abstractNumId w:val="11"/>
  </w:num>
  <w:num w:numId="3" w16cid:durableId="500193634">
    <w:abstractNumId w:val="6"/>
  </w:num>
  <w:num w:numId="4" w16cid:durableId="270557084">
    <w:abstractNumId w:val="8"/>
  </w:num>
  <w:num w:numId="5" w16cid:durableId="1585604844">
    <w:abstractNumId w:val="3"/>
  </w:num>
  <w:num w:numId="6" w16cid:durableId="1424842569">
    <w:abstractNumId w:val="4"/>
  </w:num>
  <w:num w:numId="7" w16cid:durableId="363216240">
    <w:abstractNumId w:val="7"/>
  </w:num>
  <w:num w:numId="8" w16cid:durableId="106312186">
    <w:abstractNumId w:val="10"/>
  </w:num>
  <w:num w:numId="9" w16cid:durableId="675422098">
    <w:abstractNumId w:val="0"/>
  </w:num>
  <w:num w:numId="10" w16cid:durableId="1293487884">
    <w:abstractNumId w:val="9"/>
  </w:num>
  <w:num w:numId="11" w16cid:durableId="2050035284">
    <w:abstractNumId w:val="13"/>
  </w:num>
  <w:num w:numId="12" w16cid:durableId="1964536862">
    <w:abstractNumId w:val="14"/>
  </w:num>
  <w:num w:numId="13" w16cid:durableId="1738822155">
    <w:abstractNumId w:val="12"/>
  </w:num>
  <w:num w:numId="14" w16cid:durableId="1928271946">
    <w:abstractNumId w:val="5"/>
  </w:num>
  <w:num w:numId="15" w16cid:durableId="28256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108"/>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5784F"/>
    <w:rsid w:val="006608AE"/>
    <w:rsid w:val="006674E5"/>
    <w:rsid w:val="00667906"/>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3DA8"/>
    <w:rsid w:val="0098564A"/>
    <w:rsid w:val="00985DB7"/>
    <w:rsid w:val="009861C6"/>
    <w:rsid w:val="00986B3C"/>
    <w:rsid w:val="0099022D"/>
    <w:rsid w:val="009903A8"/>
    <w:rsid w:val="00991070"/>
    <w:rsid w:val="00992DCD"/>
    <w:rsid w:val="009933A4"/>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0C0"/>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1E4"/>
    <w:rsid w:val="00DE5939"/>
    <w:rsid w:val="00DE5EAE"/>
    <w:rsid w:val="00DE6492"/>
    <w:rsid w:val="00DE7154"/>
    <w:rsid w:val="00DE7200"/>
    <w:rsid w:val="00DF1E17"/>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2FB7"/>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F2F85"/>
  <w15:docId w15:val="{1A862143-C0DE-4A14-A30C-8CC96B83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styleId="Revision">
    <w:name w:val="Revision"/>
    <w:hidden/>
    <w:uiPriority w:val="99"/>
    <w:semiHidden/>
    <w:rsid w:val="00E836C6"/>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767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1299</TotalTime>
  <Pages>3</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ZTE_Liuyu</cp:lastModifiedBy>
  <cp:revision>63</cp:revision>
  <cp:lastPrinted>2113-01-01T00:00:00Z</cp:lastPrinted>
  <dcterms:created xsi:type="dcterms:W3CDTF">2022-09-22T15:05:00Z</dcterms:created>
  <dcterms:modified xsi:type="dcterms:W3CDTF">2023-02-16T16:05:00Z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